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4004C4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4004C4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4004C4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4004C4">
              <w:rPr>
                <w:rFonts w:ascii="Verdana" w:hAnsi="Verdana"/>
                <w:rtl/>
              </w:rPr>
              <w:t xml:space="preserve">الإضافة </w:t>
            </w:r>
            <w:r w:rsidRPr="004004C4">
              <w:rPr>
                <w:rFonts w:ascii="Verdana" w:hAnsi="Verdana"/>
              </w:rPr>
              <w:t>2</w:t>
            </w:r>
            <w:r w:rsidRPr="004004C4">
              <w:rPr>
                <w:rFonts w:ascii="Verdana" w:hAnsi="Verdana"/>
              </w:rPr>
              <w:br/>
            </w:r>
            <w:r w:rsidRPr="004004C4">
              <w:rPr>
                <w:rFonts w:ascii="Verdana" w:hAnsi="Verdana"/>
                <w:rtl/>
              </w:rPr>
              <w:t xml:space="preserve">للوثيقة </w:t>
            </w:r>
            <w:r w:rsidRPr="004004C4">
              <w:rPr>
                <w:rFonts w:ascii="Verdana" w:hAnsi="Verdana"/>
              </w:rPr>
              <w:t>107(Add.6)-</w:t>
            </w:r>
            <w:r w:rsidR="004004C4" w:rsidRPr="004004C4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4004C4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4004C4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4004C4">
              <w:rPr>
                <w:rFonts w:ascii="Verdana" w:eastAsia="SimSun" w:hAnsi="Verdana"/>
              </w:rPr>
              <w:t>19</w:t>
            </w:r>
            <w:r w:rsidRPr="004004C4">
              <w:rPr>
                <w:rFonts w:ascii="Verdana" w:eastAsia="SimSun" w:hAnsi="Verdana"/>
                <w:rtl/>
              </w:rPr>
              <w:t xml:space="preserve"> أكتوبر </w:t>
            </w:r>
            <w:r w:rsidRPr="004004C4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4004C4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4004C4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4004C4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4004C4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الهند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4004C4" w:rsidP="004004C4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975097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975097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4004C4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4004C4">
              <w:t>2.6.1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3361E3" w:rsidP="004004C4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6.1</w:t>
      </w:r>
      <w:r w:rsidRPr="00431196">
        <w:rPr>
          <w:rFonts w:eastAsia="SimSun" w:hint="cs"/>
          <w:rtl/>
        </w:rPr>
        <w:tab/>
      </w:r>
      <w:r w:rsidRPr="00431196">
        <w:rPr>
          <w:rFonts w:eastAsia="SimSun"/>
          <w:rtl/>
        </w:rPr>
        <w:t>النظر في إمكانية منح توزيعات إضافية أولية</w:t>
      </w:r>
      <w:r w:rsidRPr="00431196">
        <w:rPr>
          <w:rFonts w:eastAsia="SimSun" w:hint="cs"/>
          <w:rtl/>
        </w:rPr>
        <w:t xml:space="preserve"> على النحو التالي:</w:t>
      </w:r>
    </w:p>
    <w:p w:rsidR="001D597A" w:rsidRPr="00431196" w:rsidRDefault="003361E3" w:rsidP="007D528E">
      <w:pPr>
        <w:rPr>
          <w:rFonts w:eastAsia="SimSun"/>
          <w:rtl/>
        </w:rPr>
      </w:pPr>
      <w:r w:rsidRPr="00431196">
        <w:rPr>
          <w:rFonts w:eastAsia="SimSun"/>
        </w:rPr>
        <w:t>2.6.1</w:t>
      </w:r>
      <w:r w:rsidRPr="00431196">
        <w:rPr>
          <w:rFonts w:eastAsia="SimSun" w:hint="cs"/>
          <w:rtl/>
        </w:rPr>
        <w:tab/>
        <w:t>و</w:t>
      </w:r>
      <w:r w:rsidRPr="00431196">
        <w:rPr>
          <w:rFonts w:eastAsia="SimSun"/>
          <w:rtl/>
        </w:rPr>
        <w:t xml:space="preserve">للخدمة الثابتة الساتلية (أرض-فضاء) </w:t>
      </w:r>
      <w:r w:rsidRPr="00431196">
        <w:rPr>
          <w:rFonts w:eastAsia="SimSun" w:hint="cs"/>
          <w:rtl/>
        </w:rPr>
        <w:t xml:space="preserve">بمقدار </w:t>
      </w:r>
      <w:r w:rsidRPr="00431196">
        <w:rPr>
          <w:rFonts w:eastAsia="SimSun"/>
        </w:rPr>
        <w:t>MHz 250</w:t>
      </w:r>
      <w:r w:rsidRPr="00431196">
        <w:rPr>
          <w:rFonts w:eastAsia="SimSun" w:hint="cs"/>
          <w:rtl/>
        </w:rPr>
        <w:t xml:space="preserve"> في الإقليم</w:t>
      </w:r>
      <w:r w:rsidR="00CC78F5">
        <w:rPr>
          <w:rFonts w:eastAsia="SimSun" w:hint="eastAsia"/>
          <w:rtl/>
        </w:rPr>
        <w:t> </w:t>
      </w:r>
      <w:r w:rsidRPr="00431196">
        <w:rPr>
          <w:rFonts w:eastAsia="SimSun"/>
        </w:rPr>
        <w:t>2</w:t>
      </w:r>
      <w:r w:rsidRPr="00431196">
        <w:rPr>
          <w:rFonts w:eastAsia="SimSun" w:hint="cs"/>
          <w:rtl/>
        </w:rPr>
        <w:t xml:space="preserve"> و</w:t>
      </w:r>
      <w:r w:rsidRPr="00431196">
        <w:rPr>
          <w:rFonts w:eastAsia="SimSun"/>
        </w:rPr>
        <w:t xml:space="preserve"> MHz 300</w:t>
      </w:r>
      <w:r w:rsidRPr="00431196">
        <w:rPr>
          <w:rFonts w:eastAsia="SimSun" w:hint="cs"/>
          <w:rtl/>
        </w:rPr>
        <w:t xml:space="preserve"> في الإقليم</w:t>
      </w:r>
      <w:r w:rsidR="00CC78F5">
        <w:rPr>
          <w:rFonts w:eastAsia="SimSun" w:hint="eastAsia"/>
          <w:rtl/>
        </w:rPr>
        <w:t> </w:t>
      </w:r>
      <w:r w:rsidRPr="00431196">
        <w:rPr>
          <w:rFonts w:eastAsia="SimSun"/>
        </w:rPr>
        <w:t>3</w:t>
      </w:r>
      <w:r w:rsidRPr="00431196">
        <w:rPr>
          <w:rFonts w:eastAsia="SimSun" w:hint="cs"/>
          <w:rtl/>
        </w:rPr>
        <w:t xml:space="preserve"> في المدى </w:t>
      </w:r>
      <w:r w:rsidR="007D528E" w:rsidRPr="007D528E">
        <w:rPr>
          <w:rFonts w:eastAsia="SimSun" w:hint="cs"/>
          <w:rtl/>
        </w:rPr>
        <w:t>بين </w:t>
      </w:r>
      <w:r w:rsidR="007D528E" w:rsidRPr="007D528E">
        <w:rPr>
          <w:rFonts w:eastAsia="SimSun"/>
        </w:rPr>
        <w:t>GHz 13</w:t>
      </w:r>
      <w:r w:rsidR="007D528E" w:rsidRPr="007D528E">
        <w:rPr>
          <w:rFonts w:eastAsia="SimSun" w:hint="cs"/>
          <w:rtl/>
          <w:lang w:bidi="ar-SY"/>
        </w:rPr>
        <w:t xml:space="preserve"> و</w:t>
      </w:r>
      <w:r w:rsidR="007D528E" w:rsidRPr="007D528E">
        <w:rPr>
          <w:rFonts w:eastAsia="SimSun"/>
        </w:rPr>
        <w:t>GHz 17</w:t>
      </w:r>
      <w:r w:rsidR="007D528E" w:rsidRPr="007D528E">
        <w:rPr>
          <w:rFonts w:eastAsia="SimSun" w:hint="cs"/>
          <w:rtl/>
        </w:rPr>
        <w:t>؛</w:t>
      </w:r>
      <w:r w:rsidRPr="00431196">
        <w:rPr>
          <w:rFonts w:eastAsia="SimSun" w:hint="cs"/>
          <w:rtl/>
        </w:rPr>
        <w:t>؛</w:t>
      </w:r>
    </w:p>
    <w:p w:rsidR="001D597A" w:rsidRPr="00431196" w:rsidRDefault="003361E3" w:rsidP="001D597A">
      <w:pPr>
        <w:tabs>
          <w:tab w:val="left" w:pos="1703"/>
        </w:tabs>
        <w:rPr>
          <w:rFonts w:eastAsia="SimSun"/>
          <w:lang w:bidi="ar-SY"/>
        </w:rPr>
      </w:pPr>
      <w:r w:rsidRPr="00431196">
        <w:rPr>
          <w:rFonts w:eastAsia="SimSun" w:hint="cs"/>
          <w:rtl/>
        </w:rPr>
        <w:t>و</w:t>
      </w:r>
      <w:r w:rsidRPr="00431196">
        <w:rPr>
          <w:rFonts w:eastAsia="SimSun"/>
          <w:rtl/>
        </w:rPr>
        <w:t>إعادة النظر في </w:t>
      </w:r>
      <w:r w:rsidRPr="00431196">
        <w:rPr>
          <w:rFonts w:eastAsia="SimSun" w:hint="cs"/>
          <w:rtl/>
        </w:rPr>
        <w:t>الأحكام</w:t>
      </w:r>
      <w:r w:rsidRPr="00431196">
        <w:rPr>
          <w:rFonts w:eastAsia="SimSun"/>
          <w:rtl/>
        </w:rPr>
        <w:t xml:space="preserve"> التنظيمية بشأن التوزيعات الحالية للخدمة الثابتة الساتلية في </w:t>
      </w:r>
      <w:r w:rsidRPr="00431196">
        <w:rPr>
          <w:rFonts w:eastAsia="SimSun" w:hint="cs"/>
          <w:rtl/>
        </w:rPr>
        <w:t>كل مدى، مع مراعاة نتائج دراسات قطاع الاتصالات الراديوية</w:t>
      </w:r>
      <w:r w:rsidRPr="00431196">
        <w:rPr>
          <w:rFonts w:eastAsia="SimSun"/>
          <w:rtl/>
        </w:rPr>
        <w:t xml:space="preserve"> وفقاً للقرار</w:t>
      </w:r>
      <w:r w:rsidRPr="00431196">
        <w:rPr>
          <w:rFonts w:eastAsia="SimSun" w:hint="cs"/>
          <w:rtl/>
        </w:rPr>
        <w:t xml:space="preserve">ين </w:t>
      </w:r>
      <w:r w:rsidRPr="00431196">
        <w:rPr>
          <w:rFonts w:eastAsia="SimSun"/>
          <w:b/>
          <w:bCs/>
        </w:rPr>
        <w:t>151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rtl/>
        </w:rPr>
        <w:t xml:space="preserve"> و</w:t>
      </w:r>
      <w:r w:rsidRPr="00431196">
        <w:rPr>
          <w:rFonts w:eastAsia="SimSun"/>
          <w:b/>
          <w:bCs/>
        </w:rPr>
        <w:t>152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b/>
          <w:bCs/>
          <w:rtl/>
        </w:rPr>
        <w:t xml:space="preserve"> </w:t>
      </w:r>
      <w:r w:rsidRPr="00431196">
        <w:rPr>
          <w:rFonts w:eastAsia="SimSun" w:hint="cs"/>
          <w:rtl/>
        </w:rPr>
        <w:t>على التوالي؛</w:t>
      </w:r>
    </w:p>
    <w:p w:rsidR="00F16602" w:rsidRDefault="004004C4" w:rsidP="00CC78F5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4004C4" w:rsidRDefault="003F4831" w:rsidP="00CC78F5">
      <w:pPr>
        <w:rPr>
          <w:lang w:bidi="ar-EG"/>
        </w:rPr>
      </w:pPr>
      <w:r>
        <w:rPr>
          <w:rFonts w:hint="cs"/>
          <w:rtl/>
          <w:lang w:bidi="ar-EG"/>
        </w:rPr>
        <w:t>تؤيد الهند أسلوب عدم التغيير في النطاقين التردديين</w:t>
      </w:r>
      <w:r w:rsidR="00CC78F5">
        <w:rPr>
          <w:rFonts w:hint="eastAsia"/>
          <w:rtl/>
          <w:lang w:bidi="ar-EG"/>
        </w:rPr>
        <w:t> </w:t>
      </w:r>
      <w:r w:rsidRPr="001C43EF">
        <w:rPr>
          <w:lang w:eastAsia="ko-KR"/>
        </w:rPr>
        <w:t>GHz</w:t>
      </w:r>
      <w:r w:rsidR="00CC78F5">
        <w:rPr>
          <w:lang w:eastAsia="ko-KR"/>
        </w:rPr>
        <w:t> 13,4</w:t>
      </w:r>
      <w:r w:rsidR="00CC78F5">
        <w:rPr>
          <w:lang w:eastAsia="ko-KR"/>
        </w:rPr>
        <w:noBreakHyphen/>
        <w:t>13,25</w:t>
      </w:r>
      <w:r>
        <w:rPr>
          <w:rFonts w:hint="cs"/>
          <w:rtl/>
          <w:lang w:eastAsia="ko-KR"/>
        </w:rPr>
        <w:t xml:space="preserve"> و</w:t>
      </w:r>
      <w:r w:rsidR="00CC78F5" w:rsidRPr="001C43EF">
        <w:rPr>
          <w:lang w:eastAsia="ko-KR"/>
        </w:rPr>
        <w:t>GHz</w:t>
      </w:r>
      <w:r w:rsidR="00CC78F5">
        <w:rPr>
          <w:lang w:eastAsia="ko-KR"/>
        </w:rPr>
        <w:t> 17</w:t>
      </w:r>
      <w:r w:rsidR="00CC78F5">
        <w:rPr>
          <w:lang w:eastAsia="ko-KR"/>
        </w:rPr>
        <w:noBreakHyphen/>
        <w:t>14,8</w:t>
      </w:r>
      <w:r w:rsidR="00CC78F5">
        <w:rPr>
          <w:rFonts w:hint="cs"/>
          <w:rtl/>
          <w:lang w:eastAsia="ko-KR"/>
        </w:rPr>
        <w:t xml:space="preserve"> </w:t>
      </w:r>
      <w:r>
        <w:rPr>
          <w:rFonts w:hint="cs"/>
          <w:rtl/>
          <w:lang w:eastAsia="ko-KR"/>
        </w:rPr>
        <w:t>بسبب عدم التوافق بين الخدمات القائمة.</w:t>
      </w:r>
    </w:p>
    <w:p w:rsidR="00C52BF3" w:rsidRDefault="003F4831" w:rsidP="00CC78F5">
      <w:pPr>
        <w:rPr>
          <w:lang w:bidi="ar-EG"/>
        </w:rPr>
      </w:pPr>
      <w:r>
        <w:rPr>
          <w:rFonts w:hint="cs"/>
          <w:rtl/>
          <w:lang w:bidi="ar-EG"/>
        </w:rPr>
        <w:t xml:space="preserve">ولا تؤيد الهند التغيير في وضع التوزيع </w:t>
      </w:r>
      <w:r w:rsidRPr="00431196">
        <w:rPr>
          <w:rFonts w:eastAsia="SimSun"/>
          <w:rtl/>
        </w:rPr>
        <w:t>للخدمة الثابتة الساتلية</w:t>
      </w:r>
      <w:r>
        <w:rPr>
          <w:rFonts w:eastAsia="SimSun" w:hint="cs"/>
          <w:rtl/>
        </w:rPr>
        <w:t xml:space="preserve"> </w:t>
      </w:r>
      <w:r w:rsidR="001E4727">
        <w:rPr>
          <w:rFonts w:eastAsia="SimSun" w:hint="cs"/>
          <w:rtl/>
        </w:rPr>
        <w:t>ف</w:t>
      </w:r>
      <w:r>
        <w:rPr>
          <w:rFonts w:eastAsia="SimSun" w:hint="cs"/>
          <w:rtl/>
        </w:rPr>
        <w:t>ي النطاق</w:t>
      </w:r>
      <w:r w:rsidR="00CC78F5">
        <w:rPr>
          <w:rFonts w:eastAsia="SimSun" w:hint="eastAsia"/>
          <w:rtl/>
        </w:rPr>
        <w:t> </w:t>
      </w:r>
      <w:r w:rsidR="00CC78F5">
        <w:rPr>
          <w:rFonts w:eastAsia="SimSun"/>
        </w:rPr>
        <w:t>GHz 14,8</w:t>
      </w:r>
      <w:r w:rsidR="00CC78F5">
        <w:rPr>
          <w:rFonts w:eastAsia="SimSun"/>
        </w:rPr>
        <w:noBreakHyphen/>
        <w:t>14,5</w:t>
      </w:r>
      <w:r>
        <w:rPr>
          <w:rFonts w:eastAsia="SimSun" w:hint="cs"/>
          <w:rtl/>
        </w:rPr>
        <w:t xml:space="preserve"> </w:t>
      </w:r>
      <w:r w:rsidR="001E4727">
        <w:rPr>
          <w:rFonts w:hint="cs"/>
          <w:rtl/>
          <w:lang w:eastAsia="ko-KR"/>
        </w:rPr>
        <w:t>بسبب التوزيع الحالي لوصلة التغذية في</w:t>
      </w:r>
      <w:r w:rsidR="00CC78F5">
        <w:rPr>
          <w:rFonts w:hint="eastAsia"/>
          <w:rtl/>
          <w:lang w:eastAsia="ko-KR"/>
        </w:rPr>
        <w:t> </w:t>
      </w:r>
      <w:r w:rsidR="001E4727">
        <w:rPr>
          <w:rFonts w:hint="cs"/>
          <w:rtl/>
          <w:lang w:eastAsia="ko-KR"/>
        </w:rPr>
        <w:t>خطة الخدمة الإذاعية الساتلية بموجب التذييل</w:t>
      </w:r>
      <w:r w:rsidR="00CC78F5">
        <w:rPr>
          <w:rFonts w:hint="eastAsia"/>
          <w:rtl/>
          <w:lang w:eastAsia="ko-KR"/>
        </w:rPr>
        <w:t> </w:t>
      </w:r>
      <w:r w:rsidR="001E4727">
        <w:rPr>
          <w:rFonts w:eastAsia="BatangChe"/>
          <w:szCs w:val="24"/>
        </w:rPr>
        <w:t>30A</w:t>
      </w:r>
      <w:r w:rsidR="001E4727">
        <w:rPr>
          <w:rFonts w:hint="cs"/>
          <w:rtl/>
          <w:lang w:eastAsia="ko-KR"/>
        </w:rPr>
        <w:t>.</w:t>
      </w:r>
    </w:p>
    <w:p w:rsidR="00131B7E" w:rsidRPr="00131B7E" w:rsidRDefault="00131B7E" w:rsidP="00CC78F5">
      <w:pPr>
        <w:rPr>
          <w:spacing w:val="-2"/>
          <w:rtl/>
          <w:lang w:bidi="ar"/>
        </w:rPr>
      </w:pPr>
      <w:r w:rsidRPr="00131B7E">
        <w:rPr>
          <w:rFonts w:hint="cs"/>
          <w:rtl/>
        </w:rPr>
        <w:t>ويصف تقرير الاجتماع التحضيري ل</w:t>
      </w:r>
      <w:r w:rsidRPr="00131B7E">
        <w:rPr>
          <w:rtl/>
        </w:rPr>
        <w:t>لمؤتمر العالمي للاتصالات الراديوية</w:t>
      </w:r>
      <w:r w:rsidR="00CC78F5">
        <w:rPr>
          <w:rFonts w:hint="cs"/>
          <w:rtl/>
        </w:rPr>
        <w:t> </w:t>
      </w:r>
      <w:r w:rsidR="00CC78F5">
        <w:t>(</w:t>
      </w:r>
      <w:r w:rsidRPr="00131B7E">
        <w:t>WRC</w:t>
      </w:r>
      <w:r w:rsidR="00CC78F5">
        <w:noBreakHyphen/>
      </w:r>
      <w:r w:rsidRPr="00131B7E">
        <w:t>15</w:t>
      </w:r>
      <w:r w:rsidR="00CC78F5">
        <w:t>)</w:t>
      </w:r>
      <w:r w:rsidRPr="00131B7E">
        <w:rPr>
          <w:rFonts w:hint="cs"/>
          <w:rtl/>
        </w:rPr>
        <w:t xml:space="preserve"> وضع التشارك بين الوصلة الصاعدة </w:t>
      </w:r>
      <w:r w:rsidRPr="00131B7E">
        <w:rPr>
          <w:rFonts w:eastAsia="SimSun"/>
          <w:rtl/>
        </w:rPr>
        <w:t>للخدمة الثابتة الساتلية</w:t>
      </w:r>
      <w:r w:rsidRPr="00131B7E">
        <w:rPr>
          <w:rFonts w:eastAsia="SimSun" w:hint="cs"/>
          <w:rtl/>
        </w:rPr>
        <w:t xml:space="preserve"> غير المشمولة بالخطة في النطاق</w:t>
      </w:r>
      <w:r w:rsidR="00CC78F5">
        <w:rPr>
          <w:rFonts w:eastAsia="SimSun" w:hint="eastAsia"/>
          <w:rtl/>
        </w:rPr>
        <w:t> </w:t>
      </w:r>
      <w:r w:rsidR="00CC78F5">
        <w:rPr>
          <w:rFonts w:eastAsia="SimSun"/>
        </w:rPr>
        <w:t>GHz 14,8</w:t>
      </w:r>
      <w:r w:rsidR="00CC78F5">
        <w:rPr>
          <w:rFonts w:eastAsia="SimSun"/>
        </w:rPr>
        <w:noBreakHyphen/>
        <w:t>14,5</w:t>
      </w:r>
      <w:r w:rsidRPr="00131B7E">
        <w:rPr>
          <w:rFonts w:hint="cs"/>
          <w:rtl/>
        </w:rPr>
        <w:t xml:space="preserve"> وبين التعيينات المدرجة في خطة التذييل</w:t>
      </w:r>
      <w:r w:rsidR="00CC78F5">
        <w:rPr>
          <w:rFonts w:hint="eastAsia"/>
          <w:rtl/>
        </w:rPr>
        <w:t> </w:t>
      </w:r>
      <w:r w:rsidRPr="00CD4EFC">
        <w:rPr>
          <w:rFonts w:eastAsia="BatangChe"/>
        </w:rPr>
        <w:t>30A</w:t>
      </w:r>
      <w:r w:rsidR="00CC78F5">
        <w:rPr>
          <w:rFonts w:eastAsia="BatangChe" w:hint="cs"/>
          <w:rtl/>
        </w:rPr>
        <w:t>، على أ</w:t>
      </w:r>
      <w:r w:rsidRPr="00131B7E">
        <w:rPr>
          <w:rFonts w:eastAsia="BatangChe" w:hint="cs"/>
          <w:rtl/>
        </w:rPr>
        <w:t xml:space="preserve">نه </w:t>
      </w:r>
      <w:r w:rsidR="00CC78F5">
        <w:rPr>
          <w:rFonts w:eastAsia="BatangChe" w:hint="cs"/>
          <w:rtl/>
        </w:rPr>
        <w:t>وضع صعب. ويُفيد أ</w:t>
      </w:r>
      <w:r w:rsidRPr="00131B7E">
        <w:rPr>
          <w:rFonts w:eastAsia="BatangChe" w:hint="cs"/>
          <w:rtl/>
        </w:rPr>
        <w:t>يضاً بأن</w:t>
      </w:r>
      <w:r w:rsidRPr="00131B7E">
        <w:rPr>
          <w:rFonts w:hint="cs"/>
          <w:spacing w:val="-2"/>
          <w:rtl/>
          <w:lang w:bidi="ar"/>
        </w:rPr>
        <w:t xml:space="preserve"> الحاجة تدعو لتطوير الإجراءات التنظيمية المناسبة إلى جانب أساليب حساب لتنفيذ أي</w:t>
      </w:r>
      <w:r w:rsidR="00CC78F5">
        <w:rPr>
          <w:rFonts w:hint="eastAsia"/>
          <w:spacing w:val="-2"/>
          <w:rtl/>
          <w:lang w:bidi="ar"/>
        </w:rPr>
        <w:t> </w:t>
      </w:r>
      <w:r w:rsidRPr="00131B7E">
        <w:rPr>
          <w:rFonts w:hint="cs"/>
          <w:spacing w:val="-2"/>
          <w:rtl/>
          <w:lang w:bidi="ar"/>
        </w:rPr>
        <w:t>معايير متفق عليها لحماية التخصيصات في خطة</w:t>
      </w:r>
      <w:r w:rsidRPr="00131B7E">
        <w:rPr>
          <w:spacing w:val="-2"/>
          <w:rtl/>
          <w:lang w:bidi="ar"/>
        </w:rPr>
        <w:t xml:space="preserve"> التذييل</w:t>
      </w:r>
      <w:r w:rsidR="00CC78F5">
        <w:rPr>
          <w:rFonts w:hint="cs"/>
          <w:spacing w:val="-2"/>
          <w:rtl/>
          <w:lang w:bidi="ar"/>
        </w:rPr>
        <w:t> </w:t>
      </w:r>
      <w:r w:rsidRPr="00CD4EFC">
        <w:rPr>
          <w:bCs/>
          <w:spacing w:val="-2"/>
          <w:lang w:bidi="ar"/>
        </w:rPr>
        <w:t>30A</w:t>
      </w:r>
      <w:r w:rsidRPr="00131B7E">
        <w:rPr>
          <w:rFonts w:hint="cs"/>
          <w:spacing w:val="-2"/>
          <w:rtl/>
          <w:lang w:bidi="ar"/>
        </w:rPr>
        <w:t xml:space="preserve"> </w:t>
      </w:r>
      <w:r w:rsidRPr="00131B7E">
        <w:rPr>
          <w:spacing w:val="-2"/>
          <w:rtl/>
          <w:lang w:bidi="ar"/>
        </w:rPr>
        <w:t>وقائمته</w:t>
      </w:r>
      <w:r w:rsidRPr="00131B7E">
        <w:rPr>
          <w:rFonts w:hint="cs"/>
          <w:spacing w:val="-2"/>
          <w:rtl/>
          <w:lang w:bidi="ar"/>
        </w:rPr>
        <w:t>.</w:t>
      </w:r>
      <w:r w:rsidRPr="00131B7E">
        <w:rPr>
          <w:spacing w:val="-2"/>
          <w:rtl/>
          <w:lang w:bidi="ar"/>
        </w:rPr>
        <w:t xml:space="preserve"> وحسب الإجراء النهائي </w:t>
      </w:r>
      <w:r w:rsidRPr="00131B7E">
        <w:rPr>
          <w:rFonts w:hint="cs"/>
          <w:spacing w:val="-2"/>
          <w:rtl/>
          <w:lang w:bidi="ar"/>
        </w:rPr>
        <w:t>المعمول</w:t>
      </w:r>
      <w:r w:rsidRPr="00131B7E">
        <w:rPr>
          <w:spacing w:val="-2"/>
          <w:rtl/>
          <w:lang w:bidi="ar"/>
        </w:rPr>
        <w:t xml:space="preserve"> به، قد يُتطلب</w:t>
      </w:r>
      <w:r w:rsidRPr="00131B7E">
        <w:rPr>
          <w:rtl/>
        </w:rPr>
        <w:t xml:space="preserve"> </w:t>
      </w:r>
      <w:r w:rsidRPr="00131B7E">
        <w:rPr>
          <w:spacing w:val="-2"/>
          <w:rtl/>
          <w:lang w:bidi="ar"/>
        </w:rPr>
        <w:t>تعديل برمجيات المكتب.</w:t>
      </w:r>
      <w:r w:rsidRPr="00131B7E">
        <w:rPr>
          <w:rFonts w:hint="cs"/>
          <w:spacing w:val="-2"/>
          <w:rtl/>
          <w:lang w:bidi="ar"/>
        </w:rPr>
        <w:t xml:space="preserve"> ولتحديد المعايير المناسبة، لا</w:t>
      </w:r>
      <w:r w:rsidRPr="00131B7E">
        <w:rPr>
          <w:rFonts w:hint="eastAsia"/>
          <w:spacing w:val="-2"/>
          <w:rtl/>
          <w:lang w:bidi="ar"/>
        </w:rPr>
        <w:t> </w:t>
      </w:r>
      <w:r w:rsidRPr="00131B7E">
        <w:rPr>
          <w:rFonts w:hint="cs"/>
          <w:spacing w:val="-2"/>
          <w:rtl/>
          <w:lang w:bidi="ar"/>
        </w:rPr>
        <w:t>بد من محاكاة تداخل الأثر التراكمي لنظام الخدمة الثابتة الساتلية الجديد لبيان أن حماية خطة</w:t>
      </w:r>
      <w:r w:rsidRPr="00131B7E">
        <w:rPr>
          <w:spacing w:val="-2"/>
          <w:rtl/>
          <w:lang w:bidi="ar"/>
        </w:rPr>
        <w:t xml:space="preserve"> التذييل</w:t>
      </w:r>
      <w:r w:rsidRPr="00131B7E">
        <w:rPr>
          <w:rFonts w:hint="cs"/>
          <w:spacing w:val="-2"/>
          <w:rtl/>
          <w:lang w:bidi="ar"/>
        </w:rPr>
        <w:t> </w:t>
      </w:r>
      <w:r w:rsidRPr="00CD4EFC">
        <w:rPr>
          <w:bCs/>
          <w:spacing w:val="-2"/>
          <w:lang w:bidi="ar"/>
        </w:rPr>
        <w:t>30A</w:t>
      </w:r>
      <w:r w:rsidRPr="00131B7E">
        <w:rPr>
          <w:rFonts w:hint="cs"/>
          <w:b/>
          <w:spacing w:val="-2"/>
          <w:rtl/>
          <w:lang w:bidi="ar"/>
        </w:rPr>
        <w:t xml:space="preserve"> مضمونة</w:t>
      </w:r>
      <w:r w:rsidRPr="00131B7E">
        <w:rPr>
          <w:rFonts w:hint="cs"/>
          <w:spacing w:val="-2"/>
          <w:rtl/>
          <w:lang w:bidi="ar"/>
        </w:rPr>
        <w:t xml:space="preserve"> في مستويات مماثلة للحماية بمعايير</w:t>
      </w:r>
      <w:r w:rsidRPr="00131B7E">
        <w:rPr>
          <w:spacing w:val="-2"/>
          <w:rtl/>
          <w:lang w:bidi="ar"/>
        </w:rPr>
        <w:t xml:space="preserve"> هامش الحماية المكافئ</w:t>
      </w:r>
      <w:r w:rsidRPr="00131B7E">
        <w:rPr>
          <w:rFonts w:hint="cs"/>
          <w:spacing w:val="-2"/>
          <w:rtl/>
          <w:lang w:bidi="ar"/>
        </w:rPr>
        <w:t xml:space="preserve"> في</w:t>
      </w:r>
      <w:r w:rsidRPr="00131B7E">
        <w:rPr>
          <w:rFonts w:hint="eastAsia"/>
          <w:spacing w:val="-2"/>
          <w:rtl/>
          <w:lang w:bidi="ar"/>
        </w:rPr>
        <w:t> </w:t>
      </w:r>
      <w:r w:rsidRPr="00131B7E">
        <w:rPr>
          <w:rFonts w:hint="cs"/>
          <w:spacing w:val="-2"/>
          <w:rtl/>
          <w:lang w:bidi="ar"/>
        </w:rPr>
        <w:t>لوائح الراديو بالوضع المرجعي ل</w:t>
      </w:r>
      <w:r w:rsidRPr="00131B7E">
        <w:rPr>
          <w:spacing w:val="-2"/>
          <w:rtl/>
          <w:lang w:bidi="ar"/>
        </w:rPr>
        <w:t>هامش الحماية المكافئ</w:t>
      </w:r>
      <w:r w:rsidRPr="00131B7E">
        <w:rPr>
          <w:rFonts w:hint="cs"/>
          <w:spacing w:val="-2"/>
          <w:rtl/>
          <w:lang w:bidi="ar"/>
        </w:rPr>
        <w:t xml:space="preserve"> لخطة التخصيصات وقائمتها.</w:t>
      </w:r>
      <w:r w:rsidRPr="00131B7E">
        <w:rPr>
          <w:rFonts w:hint="cs"/>
          <w:rtl/>
          <w:lang w:bidi="ar"/>
        </w:rPr>
        <w:t xml:space="preserve"> ومن صعوبات استخدام نهج </w:t>
      </w:r>
      <w:r w:rsidRPr="00131B7E">
        <w:rPr>
          <w:rtl/>
          <w:lang w:bidi="ar"/>
        </w:rPr>
        <w:t>هامش الحماية المكافئ</w:t>
      </w:r>
      <w:r w:rsidRPr="00131B7E">
        <w:rPr>
          <w:rFonts w:hint="cs"/>
          <w:rtl/>
          <w:lang w:bidi="ar"/>
        </w:rPr>
        <w:t xml:space="preserve"> لتحديد الإدارات المتأثرة، تعذُّر تحديد التخصيصات التي ينخفض </w:t>
      </w:r>
      <w:r w:rsidRPr="00131B7E">
        <w:rPr>
          <w:rFonts w:hint="cs"/>
          <w:rtl/>
          <w:lang w:bidi="ar"/>
        </w:rPr>
        <w:lastRenderedPageBreak/>
        <w:t>فيها هذا الهامش كثيراً على أنها تخصيصات متأثرة، بسبب هيكل برمجيات</w:t>
      </w:r>
      <w:r w:rsidR="00CC78F5">
        <w:rPr>
          <w:rFonts w:hint="eastAsia"/>
          <w:rtl/>
          <w:lang w:bidi="ar"/>
        </w:rPr>
        <w:t> </w:t>
      </w:r>
      <w:r w:rsidRPr="00131B7E">
        <w:rPr>
          <w:rFonts w:hint="cs"/>
          <w:lang w:bidi="ar"/>
        </w:rPr>
        <w:t>MSPACE</w:t>
      </w:r>
      <w:r w:rsidRPr="00131B7E">
        <w:rPr>
          <w:rFonts w:hint="cs"/>
          <w:rtl/>
          <w:lang w:bidi="ar"/>
        </w:rPr>
        <w:t xml:space="preserve"> وتنفيذها. وقد طُرحت هذه القضية على مؤتمرات عالمية سابقة للاتصالات الراديوية. وحتى الآن لم يتح حل عملي وقابل للتنفيذ.</w:t>
      </w:r>
    </w:p>
    <w:p w:rsidR="00C52BF3" w:rsidRPr="00131B7E" w:rsidRDefault="00131B7E" w:rsidP="00CC78F5">
      <w:pPr>
        <w:rPr>
          <w:rtl/>
        </w:rPr>
      </w:pPr>
      <w:r w:rsidRPr="00131B7E">
        <w:rPr>
          <w:rFonts w:hint="cs"/>
          <w:rtl/>
        </w:rPr>
        <w:t>وفي ضوء ما ذُكر أعلاه، تُعتبر حماية وصلة تغذية الخدمة الإذاعية الساتلية بموجب خطة التذييل</w:t>
      </w:r>
      <w:r w:rsidR="00CC78F5">
        <w:rPr>
          <w:rFonts w:hint="eastAsia"/>
          <w:rtl/>
        </w:rPr>
        <w:t> </w:t>
      </w:r>
      <w:r w:rsidRPr="00CD4EFC">
        <w:rPr>
          <w:rFonts w:eastAsia="BatangChe"/>
        </w:rPr>
        <w:t>30A</w:t>
      </w:r>
      <w:r w:rsidRPr="00131B7E">
        <w:rPr>
          <w:rFonts w:eastAsia="BatangChe" w:hint="cs"/>
          <w:rtl/>
        </w:rPr>
        <w:t xml:space="preserve"> متطلباً </w:t>
      </w:r>
      <w:r>
        <w:rPr>
          <w:rFonts w:eastAsia="BatangChe" w:hint="cs"/>
          <w:rtl/>
        </w:rPr>
        <w:t>بالغ الأهمية، و</w:t>
      </w:r>
      <w:r>
        <w:rPr>
          <w:rFonts w:hint="cs"/>
          <w:rtl/>
          <w:lang w:bidi="ar-EG"/>
        </w:rPr>
        <w:t>تؤيد الهند أسلوب عدم التغيير (الأسلوب</w:t>
      </w:r>
      <w:r w:rsidR="00CC78F5">
        <w:rPr>
          <w:rFonts w:hint="eastAsia"/>
          <w:rtl/>
          <w:lang w:bidi="ar-EG"/>
        </w:rPr>
        <w:t> </w:t>
      </w:r>
      <w:r>
        <w:t>FF1</w:t>
      </w:r>
      <w:r>
        <w:rPr>
          <w:rFonts w:hint="cs"/>
          <w:rtl/>
        </w:rPr>
        <w:t xml:space="preserve"> في </w:t>
      </w:r>
      <w:r w:rsidRPr="00131B7E">
        <w:rPr>
          <w:rFonts w:hint="cs"/>
          <w:rtl/>
        </w:rPr>
        <w:t>تقرير الاجتماع التحضيري ل</w:t>
      </w:r>
      <w:r w:rsidRPr="00131B7E">
        <w:rPr>
          <w:rtl/>
        </w:rPr>
        <w:t>لمؤتمر</w:t>
      </w:r>
      <w:r>
        <w:rPr>
          <w:rFonts w:hint="cs"/>
          <w:rtl/>
        </w:rPr>
        <w:t>)</w:t>
      </w:r>
      <w:r>
        <w:rPr>
          <w:rFonts w:hint="cs"/>
          <w:rtl/>
          <w:lang w:bidi="ar-EG"/>
        </w:rPr>
        <w:t xml:space="preserve"> في النطاق </w:t>
      </w:r>
      <w:r w:rsidR="00CC78F5">
        <w:rPr>
          <w:rFonts w:eastAsia="SimSun"/>
        </w:rPr>
        <w:t>GHz 14,8</w:t>
      </w:r>
      <w:r w:rsidR="00CC78F5">
        <w:rPr>
          <w:rFonts w:eastAsia="SimSun"/>
        </w:rPr>
        <w:noBreakHyphen/>
        <w:t>14,5</w:t>
      </w:r>
      <w:r>
        <w:rPr>
          <w:rFonts w:hint="cs"/>
          <w:rtl/>
          <w:lang w:bidi="ar-EG"/>
        </w:rPr>
        <w:t>.</w:t>
      </w:r>
    </w:p>
    <w:p w:rsidR="002919E1" w:rsidRPr="002919E1" w:rsidRDefault="00C52BF3" w:rsidP="00CC78F5">
      <w:pPr>
        <w:pStyle w:val="Headingb"/>
        <w:rPr>
          <w:noProof/>
          <w:rtl/>
        </w:rPr>
      </w:pPr>
      <w:r>
        <w:rPr>
          <w:rFonts w:hint="cs"/>
          <w:rtl/>
        </w:rPr>
        <w:t>المقترحات</w:t>
      </w:r>
    </w:p>
    <w:p w:rsidR="009F37C9" w:rsidRDefault="003361E3" w:rsidP="008A6056">
      <w:pPr>
        <w:pStyle w:val="ArtNo"/>
        <w:rPr>
          <w:rtl/>
        </w:rPr>
      </w:pPr>
      <w:r>
        <w:rPr>
          <w:rtl/>
        </w:rPr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3361E3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3361E3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D51179" w:rsidRDefault="003361E3">
      <w:pPr>
        <w:pStyle w:val="Proposal"/>
      </w:pPr>
      <w:r>
        <w:rPr>
          <w:u w:val="single"/>
        </w:rPr>
        <w:t>NOC</w:t>
      </w:r>
      <w:r>
        <w:tab/>
        <w:t>IND/107A6A2/1</w:t>
      </w:r>
    </w:p>
    <w:p w:rsidR="009F37C9" w:rsidRPr="00151CDF" w:rsidRDefault="003361E3">
      <w:pPr>
        <w:pStyle w:val="Tabletitle"/>
        <w:rPr>
          <w:rtl/>
        </w:rPr>
        <w:pPrChange w:id="2" w:author="El Wardany, Samy" w:date="2011-08-01T14:42:00Z">
          <w:pPr/>
        </w:pPrChange>
      </w:pPr>
      <w:r w:rsidRPr="00151CDF">
        <w:t>GHz 14-11,7</w:t>
      </w:r>
    </w:p>
    <w:tbl>
      <w:tblPr>
        <w:bidiVisual/>
        <w:tblW w:w="937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087"/>
        <w:gridCol w:w="3146"/>
      </w:tblGrid>
      <w:tr w:rsidR="00EB384F" w:rsidTr="00EB384F">
        <w:trPr>
          <w:cantSplit/>
        </w:trPr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F" w:rsidRDefault="003361E3" w:rsidP="00CC78F5">
            <w:pPr>
              <w:pStyle w:val="Tablehead"/>
              <w:keepNext/>
              <w:spacing w:before="40" w:after="40"/>
            </w:pPr>
            <w:r>
              <w:rPr>
                <w:rtl/>
              </w:rPr>
              <w:t>التوزيع على الخدمات</w:t>
            </w:r>
          </w:p>
        </w:tc>
      </w:tr>
      <w:tr w:rsidR="00EB384F" w:rsidTr="00EB384F">
        <w:trPr>
          <w:cantSplit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F" w:rsidRDefault="003361E3" w:rsidP="00CC78F5">
            <w:pPr>
              <w:pStyle w:val="Tablehead"/>
              <w:keepNext/>
              <w:spacing w:before="40" w:after="40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F" w:rsidRDefault="003361E3" w:rsidP="00CC78F5">
            <w:pPr>
              <w:pStyle w:val="Tablehead"/>
              <w:keepNext/>
              <w:spacing w:before="40" w:after="40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F" w:rsidRDefault="003361E3" w:rsidP="00CC78F5">
            <w:pPr>
              <w:pStyle w:val="Tablehead"/>
              <w:keepNext/>
              <w:spacing w:before="40" w:after="40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EB384F" w:rsidTr="00EB384F">
        <w:trPr>
          <w:cantSplit/>
        </w:trPr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F" w:rsidRDefault="003361E3" w:rsidP="00CC78F5">
            <w:pPr>
              <w:pStyle w:val="TabletextS5"/>
              <w:spacing w:before="40" w:after="40" w:line="260" w:lineRule="exact"/>
              <w:ind w:left="3261" w:hanging="3261"/>
            </w:pPr>
            <w:r w:rsidRPr="0048256A">
              <w:rPr>
                <w:rStyle w:val="Tablefreq"/>
              </w:rPr>
              <w:t>13,4-13,25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(نشيطة)</w:t>
            </w:r>
          </w:p>
          <w:p w:rsidR="00EB384F" w:rsidRDefault="003361E3" w:rsidP="00CC78F5">
            <w:pPr>
              <w:pStyle w:val="TabletextS5"/>
              <w:spacing w:before="40" w:after="40" w:line="260" w:lineRule="exact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ملاحة راديوية للطيران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 </w:t>
            </w:r>
            <w:r w:rsidRPr="00C52BF3">
              <w:rPr>
                <w:rStyle w:val="Artref"/>
                <w:b w:val="0"/>
                <w:bCs w:val="0"/>
              </w:rPr>
              <w:t>497.5</w:t>
            </w:r>
          </w:p>
          <w:p w:rsidR="00EB384F" w:rsidRDefault="003361E3" w:rsidP="00CC78F5">
            <w:pPr>
              <w:pStyle w:val="TabletextS5"/>
              <w:spacing w:before="40" w:after="40" w:line="260" w:lineRule="exact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(نشيطة)</w:t>
            </w:r>
          </w:p>
          <w:p w:rsidR="00EB384F" w:rsidRPr="00C52BF3" w:rsidRDefault="003361E3" w:rsidP="00CC78F5">
            <w:pPr>
              <w:pStyle w:val="TabletextS5"/>
              <w:spacing w:before="40" w:after="40" w:line="260" w:lineRule="exact"/>
              <w:ind w:left="3261" w:hanging="3261"/>
              <w:rPr>
                <w:rStyle w:val="Artref"/>
                <w:b w:val="0"/>
                <w:bCs w:val="0"/>
              </w:rPr>
            </w:pPr>
            <w:r>
              <w:tab/>
            </w:r>
            <w:r w:rsidRPr="00C52BF3">
              <w:rPr>
                <w:rStyle w:val="Artref"/>
                <w:b w:val="0"/>
                <w:bCs w:val="0"/>
              </w:rPr>
              <w:t>499.5  498A.5</w:t>
            </w:r>
          </w:p>
        </w:tc>
      </w:tr>
    </w:tbl>
    <w:p w:rsidR="00D51179" w:rsidRPr="00131B7E" w:rsidRDefault="003361E3" w:rsidP="00CC78F5">
      <w:pPr>
        <w:pStyle w:val="Reasons"/>
      </w:pPr>
      <w:r w:rsidRPr="00131B7E">
        <w:rPr>
          <w:rtl/>
        </w:rPr>
        <w:t>الأسباب:</w:t>
      </w:r>
      <w:r w:rsidRPr="00131B7E">
        <w:tab/>
      </w:r>
      <w:r w:rsidR="00131B7E" w:rsidRPr="00CC78F5">
        <w:rPr>
          <w:rFonts w:hint="cs"/>
          <w:b w:val="0"/>
          <w:bCs w:val="0"/>
          <w:rtl/>
          <w:lang w:bidi="ar-EG"/>
        </w:rPr>
        <w:t xml:space="preserve">عدم التغيير في النطاق </w:t>
      </w:r>
      <w:r w:rsidR="00131B7E" w:rsidRPr="00CC78F5">
        <w:rPr>
          <w:b w:val="0"/>
          <w:bCs w:val="0"/>
          <w:lang w:eastAsia="ko-KR"/>
        </w:rPr>
        <w:t>GHz</w:t>
      </w:r>
      <w:r w:rsidR="00CC78F5" w:rsidRPr="00CC78F5">
        <w:rPr>
          <w:b w:val="0"/>
          <w:bCs w:val="0"/>
          <w:lang w:eastAsia="ko-KR"/>
        </w:rPr>
        <w:t> 13,4</w:t>
      </w:r>
      <w:r w:rsidR="00CC78F5" w:rsidRPr="00CC78F5">
        <w:rPr>
          <w:b w:val="0"/>
          <w:bCs w:val="0"/>
          <w:lang w:eastAsia="ko-KR"/>
        </w:rPr>
        <w:noBreakHyphen/>
        <w:t>13,25</w:t>
      </w:r>
      <w:r w:rsidR="00131B7E" w:rsidRPr="00CC78F5">
        <w:rPr>
          <w:rFonts w:hint="cs"/>
          <w:b w:val="0"/>
          <w:bCs w:val="0"/>
          <w:rtl/>
          <w:lang w:eastAsia="ko-KR"/>
        </w:rPr>
        <w:t xml:space="preserve"> </w:t>
      </w:r>
      <w:r w:rsidR="0079018E" w:rsidRPr="00CC78F5">
        <w:rPr>
          <w:rFonts w:hint="cs"/>
          <w:b w:val="0"/>
          <w:bCs w:val="0"/>
          <w:rtl/>
          <w:lang w:eastAsia="ko-KR"/>
        </w:rPr>
        <w:t>نظراً</w:t>
      </w:r>
      <w:r w:rsidR="00131B7E" w:rsidRPr="00CC78F5">
        <w:rPr>
          <w:rFonts w:hint="cs"/>
          <w:b w:val="0"/>
          <w:bCs w:val="0"/>
          <w:rtl/>
          <w:lang w:eastAsia="ko-KR"/>
        </w:rPr>
        <w:t xml:space="preserve"> </w:t>
      </w:r>
      <w:r w:rsidR="0079018E" w:rsidRPr="00CC78F5">
        <w:rPr>
          <w:rFonts w:hint="cs"/>
          <w:b w:val="0"/>
          <w:bCs w:val="0"/>
          <w:rtl/>
          <w:lang w:eastAsia="ko-KR"/>
        </w:rPr>
        <w:t>ل</w:t>
      </w:r>
      <w:r w:rsidR="00131B7E" w:rsidRPr="00CC78F5">
        <w:rPr>
          <w:rFonts w:hint="cs"/>
          <w:b w:val="0"/>
          <w:bCs w:val="0"/>
          <w:rtl/>
          <w:lang w:eastAsia="ko-KR"/>
        </w:rPr>
        <w:t>عدم التوافق بين الخدمات القائمة.</w:t>
      </w:r>
    </w:p>
    <w:p w:rsidR="00D51179" w:rsidRDefault="003361E3">
      <w:pPr>
        <w:pStyle w:val="Proposal"/>
      </w:pPr>
      <w:r>
        <w:rPr>
          <w:u w:val="single"/>
        </w:rPr>
        <w:t>NOC</w:t>
      </w:r>
      <w:r>
        <w:tab/>
        <w:t>IND/107A6A2/2</w:t>
      </w:r>
    </w:p>
    <w:p w:rsidR="009F37C9" w:rsidRDefault="003361E3">
      <w:pPr>
        <w:pStyle w:val="Tabletitle"/>
        <w:rPr>
          <w:rtl/>
        </w:rPr>
        <w:pPrChange w:id="3" w:author="El Wardany, Samy" w:date="2011-08-01T14:42:00Z">
          <w:pPr/>
        </w:pPrChange>
      </w:pPr>
      <w:r>
        <w:t>GHz 15,4-14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w:rsidR="00C31634" w:rsidTr="00C31634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34" w:rsidRDefault="003361E3" w:rsidP="00CC78F5">
            <w:pPr>
              <w:pStyle w:val="Tablehead"/>
              <w:spacing w:before="40" w:after="40" w:line="240" w:lineRule="exact"/>
            </w:pPr>
            <w:r>
              <w:rPr>
                <w:rtl/>
              </w:rPr>
              <w:t>التوزيع على الخدمات</w:t>
            </w:r>
          </w:p>
        </w:tc>
      </w:tr>
      <w:tr w:rsidR="00C31634" w:rsidTr="00C31634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634" w:rsidRDefault="003361E3" w:rsidP="00CC78F5">
            <w:pPr>
              <w:pStyle w:val="Tablehead"/>
              <w:spacing w:before="40" w:after="40" w:line="240" w:lineRule="exact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634" w:rsidRDefault="003361E3" w:rsidP="00CC78F5">
            <w:pPr>
              <w:pStyle w:val="Tablehead"/>
              <w:spacing w:before="40" w:after="40" w:line="240" w:lineRule="exact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634" w:rsidRDefault="003361E3" w:rsidP="00CC78F5">
            <w:pPr>
              <w:pStyle w:val="Tablehead"/>
              <w:spacing w:before="40" w:after="40" w:line="240" w:lineRule="exact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C31634" w:rsidTr="00C31634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634" w:rsidRDefault="003361E3" w:rsidP="00CC78F5">
            <w:pPr>
              <w:pStyle w:val="TabletextS5"/>
              <w:spacing w:before="40" w:after="40" w:line="240" w:lineRule="exact"/>
              <w:ind w:left="3261" w:hanging="3261"/>
            </w:pPr>
            <w:r w:rsidRPr="0048256A">
              <w:rPr>
                <w:rStyle w:val="Tablefreq"/>
              </w:rPr>
              <w:t>14,8-14,5</w:t>
            </w:r>
            <w:r>
              <w:rPr>
                <w:rStyle w:val="Tablefreq"/>
              </w:rPr>
              <w:tab/>
            </w:r>
            <w:r>
              <w:rPr>
                <w:b/>
                <w:bCs/>
                <w:rtl/>
              </w:rPr>
              <w:t>ثابتة</w:t>
            </w:r>
          </w:p>
          <w:p w:rsidR="00C31634" w:rsidRDefault="003361E3" w:rsidP="00CC78F5">
            <w:pPr>
              <w:pStyle w:val="TabletextS5"/>
              <w:spacing w:before="40" w:after="40" w:line="240" w:lineRule="exact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(أرض-فضاء) </w:t>
            </w:r>
            <w:r>
              <w:rPr>
                <w:rFonts w:hint="cs"/>
                <w:rtl/>
              </w:rPr>
              <w:t xml:space="preserve"> </w:t>
            </w:r>
            <w:r w:rsidRPr="00C52BF3">
              <w:rPr>
                <w:rStyle w:val="Artref"/>
                <w:b w:val="0"/>
                <w:bCs w:val="0"/>
              </w:rPr>
              <w:t>510.5</w:t>
            </w:r>
          </w:p>
          <w:p w:rsidR="00C31634" w:rsidRDefault="003361E3" w:rsidP="00CC78F5">
            <w:pPr>
              <w:pStyle w:val="TabletextS5"/>
              <w:spacing w:before="40" w:after="40" w:line="240" w:lineRule="exact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متنقلة</w:t>
            </w:r>
          </w:p>
          <w:p w:rsidR="00C31634" w:rsidRDefault="003361E3" w:rsidP="00CC78F5">
            <w:pPr>
              <w:pStyle w:val="TabletextS5"/>
              <w:spacing w:before="40" w:after="40" w:line="240" w:lineRule="exact"/>
              <w:ind w:left="3261" w:hanging="3261"/>
            </w:pPr>
            <w:r>
              <w:tab/>
            </w:r>
            <w:r>
              <w:rPr>
                <w:rtl/>
              </w:rPr>
              <w:t>أبحاث فضائية</w:t>
            </w:r>
          </w:p>
        </w:tc>
      </w:tr>
      <w:tr w:rsidR="00C31634" w:rsidTr="00C31634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34" w:rsidRDefault="003361E3" w:rsidP="00CC78F5">
            <w:pPr>
              <w:pStyle w:val="TabletextS5"/>
              <w:spacing w:before="40" w:after="40" w:line="240" w:lineRule="exact"/>
              <w:ind w:left="3261" w:hanging="3261"/>
            </w:pPr>
            <w:r w:rsidRPr="0048256A">
              <w:rPr>
                <w:rStyle w:val="Tablefreq"/>
              </w:rPr>
              <w:t>15,35-14,8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</w:p>
          <w:p w:rsidR="00C31634" w:rsidRDefault="003361E3" w:rsidP="00CC78F5">
            <w:pPr>
              <w:pStyle w:val="TabletextS5"/>
              <w:spacing w:before="40" w:after="40" w:line="240" w:lineRule="exact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متنقلة</w:t>
            </w:r>
          </w:p>
          <w:p w:rsidR="00C31634" w:rsidRDefault="003361E3" w:rsidP="00CC78F5">
            <w:pPr>
              <w:pStyle w:val="TabletextS5"/>
              <w:spacing w:before="40" w:after="40" w:line="240" w:lineRule="exact"/>
              <w:ind w:left="3261" w:hanging="3261"/>
            </w:pPr>
            <w:r>
              <w:tab/>
            </w:r>
            <w:r>
              <w:rPr>
                <w:rtl/>
              </w:rPr>
              <w:t>أبحاث فضائية</w:t>
            </w:r>
          </w:p>
          <w:p w:rsidR="00C31634" w:rsidRPr="00C52BF3" w:rsidRDefault="003361E3" w:rsidP="00CC78F5">
            <w:pPr>
              <w:pStyle w:val="TabletextS5"/>
              <w:spacing w:before="40" w:after="40" w:line="240" w:lineRule="exact"/>
              <w:ind w:left="3261" w:hanging="3261"/>
              <w:rPr>
                <w:rStyle w:val="Artref"/>
                <w:b w:val="0"/>
                <w:bCs w:val="0"/>
              </w:rPr>
            </w:pPr>
            <w:r>
              <w:tab/>
            </w:r>
            <w:r w:rsidRPr="00C52BF3">
              <w:rPr>
                <w:rStyle w:val="Artref"/>
                <w:b w:val="0"/>
                <w:bCs w:val="0"/>
              </w:rPr>
              <w:t>339.5</w:t>
            </w:r>
          </w:p>
        </w:tc>
      </w:tr>
      <w:tr w:rsidR="00C31634" w:rsidTr="00C31634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34" w:rsidRDefault="003361E3" w:rsidP="00CC78F5">
            <w:pPr>
              <w:pStyle w:val="TabletextS5"/>
              <w:spacing w:before="40" w:after="40" w:line="240" w:lineRule="exact"/>
              <w:ind w:left="3261" w:hanging="3261"/>
            </w:pPr>
            <w:r w:rsidRPr="0048256A">
              <w:rPr>
                <w:rStyle w:val="Tablefreq"/>
              </w:rPr>
              <w:t>15,4-15,35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(منفعلة)</w:t>
            </w:r>
          </w:p>
          <w:p w:rsidR="00C31634" w:rsidRDefault="003361E3" w:rsidP="00CC78F5">
            <w:pPr>
              <w:pStyle w:val="TabletextS5"/>
              <w:spacing w:before="40" w:after="40" w:line="240" w:lineRule="exact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فلك راديوي</w:t>
            </w:r>
          </w:p>
          <w:p w:rsidR="00C31634" w:rsidRDefault="003361E3" w:rsidP="00CC78F5">
            <w:pPr>
              <w:pStyle w:val="TabletextS5"/>
              <w:spacing w:before="40" w:after="40" w:line="240" w:lineRule="exact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(منفعلة)</w:t>
            </w:r>
          </w:p>
          <w:p w:rsidR="00C31634" w:rsidRPr="00C52BF3" w:rsidRDefault="003361E3" w:rsidP="00CC78F5">
            <w:pPr>
              <w:pStyle w:val="TabletextS5"/>
              <w:spacing w:before="40" w:after="40" w:line="240" w:lineRule="exact"/>
              <w:ind w:left="3261" w:hanging="3261"/>
              <w:rPr>
                <w:rStyle w:val="Artref"/>
                <w:b w:val="0"/>
                <w:bCs w:val="0"/>
              </w:rPr>
            </w:pPr>
            <w:r>
              <w:tab/>
            </w:r>
            <w:r w:rsidRPr="00C52BF3">
              <w:rPr>
                <w:rStyle w:val="Artref"/>
                <w:b w:val="0"/>
                <w:bCs w:val="0"/>
              </w:rPr>
              <w:t>511.5  340.5</w:t>
            </w:r>
          </w:p>
        </w:tc>
      </w:tr>
    </w:tbl>
    <w:p w:rsidR="00D51179" w:rsidRPr="0079018E" w:rsidRDefault="003361E3" w:rsidP="00867A88">
      <w:pPr>
        <w:pStyle w:val="Reasons"/>
      </w:pPr>
      <w:r w:rsidRPr="0079018E">
        <w:rPr>
          <w:rtl/>
        </w:rPr>
        <w:t>الأسباب:</w:t>
      </w:r>
      <w:r w:rsidRPr="0079018E">
        <w:tab/>
      </w:r>
      <w:r w:rsidR="0079018E" w:rsidRPr="00027B7A">
        <w:rPr>
          <w:rFonts w:hint="cs"/>
          <w:b w:val="0"/>
          <w:bCs w:val="0"/>
          <w:rtl/>
          <w:lang w:bidi="ar-EG"/>
        </w:rPr>
        <w:t xml:space="preserve">عدم التغيير في النطاق </w:t>
      </w:r>
      <w:r w:rsidR="00027B7A" w:rsidRPr="00027B7A">
        <w:rPr>
          <w:rFonts w:eastAsia="SimSun"/>
          <w:b w:val="0"/>
          <w:bCs w:val="0"/>
        </w:rPr>
        <w:t>GHz 14,8</w:t>
      </w:r>
      <w:r w:rsidR="00027B7A" w:rsidRPr="00027B7A">
        <w:rPr>
          <w:rFonts w:eastAsia="SimSun"/>
          <w:b w:val="0"/>
          <w:bCs w:val="0"/>
        </w:rPr>
        <w:noBreakHyphen/>
        <w:t>14,5</w:t>
      </w:r>
      <w:r w:rsidR="0079018E" w:rsidRPr="00027B7A">
        <w:rPr>
          <w:rFonts w:hint="cs"/>
          <w:b w:val="0"/>
          <w:bCs w:val="0"/>
          <w:rtl/>
        </w:rPr>
        <w:t xml:space="preserve"> لضمان حماية خطة الخدمة الإذاعية الساتلية بموجب التذييل</w:t>
      </w:r>
      <w:r w:rsidR="00867A88">
        <w:rPr>
          <w:rFonts w:hint="eastAsia"/>
          <w:b w:val="0"/>
          <w:bCs w:val="0"/>
          <w:rtl/>
        </w:rPr>
        <w:t> </w:t>
      </w:r>
      <w:bookmarkStart w:id="4" w:name="_GoBack"/>
      <w:bookmarkEnd w:id="4"/>
      <w:r w:rsidR="0079018E" w:rsidRPr="00027B7A">
        <w:rPr>
          <w:rFonts w:eastAsia="BatangChe"/>
          <w:b w:val="0"/>
          <w:bCs w:val="0"/>
        </w:rPr>
        <w:t>30A</w:t>
      </w:r>
      <w:r w:rsidR="0079018E" w:rsidRPr="00027B7A">
        <w:rPr>
          <w:rFonts w:eastAsia="BatangChe" w:hint="cs"/>
          <w:b w:val="0"/>
          <w:bCs w:val="0"/>
          <w:rtl/>
        </w:rPr>
        <w:t xml:space="preserve"> في هذا النطاق. و</w:t>
      </w:r>
      <w:r w:rsidR="0079018E" w:rsidRPr="00027B7A">
        <w:rPr>
          <w:rFonts w:hint="cs"/>
          <w:b w:val="0"/>
          <w:bCs w:val="0"/>
          <w:rtl/>
          <w:lang w:bidi="ar-EG"/>
        </w:rPr>
        <w:t xml:space="preserve">عدم التغيير في النطاق </w:t>
      </w:r>
      <w:r w:rsidR="00027B7A" w:rsidRPr="00027B7A">
        <w:rPr>
          <w:rFonts w:eastAsia="SimSun"/>
          <w:b w:val="0"/>
          <w:bCs w:val="0"/>
        </w:rPr>
        <w:t>GHz 1</w:t>
      </w:r>
      <w:r w:rsidR="00027B7A">
        <w:rPr>
          <w:rFonts w:eastAsia="SimSun"/>
          <w:b w:val="0"/>
          <w:bCs w:val="0"/>
        </w:rPr>
        <w:t>5</w:t>
      </w:r>
      <w:r w:rsidR="00027B7A" w:rsidRPr="00027B7A">
        <w:rPr>
          <w:rFonts w:eastAsia="SimSun"/>
          <w:b w:val="0"/>
          <w:bCs w:val="0"/>
        </w:rPr>
        <w:t>,</w:t>
      </w:r>
      <w:r w:rsidR="00027B7A">
        <w:rPr>
          <w:rFonts w:eastAsia="SimSun"/>
          <w:b w:val="0"/>
          <w:bCs w:val="0"/>
        </w:rPr>
        <w:t>4</w:t>
      </w:r>
      <w:r w:rsidR="00027B7A" w:rsidRPr="00027B7A">
        <w:rPr>
          <w:rFonts w:eastAsia="SimSun"/>
          <w:b w:val="0"/>
          <w:bCs w:val="0"/>
        </w:rPr>
        <w:noBreakHyphen/>
        <w:t>14,</w:t>
      </w:r>
      <w:r w:rsidR="00027B7A">
        <w:rPr>
          <w:rFonts w:eastAsia="SimSun"/>
          <w:b w:val="0"/>
          <w:bCs w:val="0"/>
        </w:rPr>
        <w:t>8</w:t>
      </w:r>
      <w:r w:rsidR="0079018E" w:rsidRPr="00027B7A">
        <w:rPr>
          <w:rFonts w:hint="cs"/>
          <w:b w:val="0"/>
          <w:bCs w:val="0"/>
          <w:rtl/>
          <w:lang w:eastAsia="ko-KR"/>
        </w:rPr>
        <w:t xml:space="preserve"> نظراً لعدم التوافق بين الخدمات القائمة.</w:t>
      </w:r>
    </w:p>
    <w:p w:rsidR="00D51179" w:rsidRDefault="003361E3">
      <w:pPr>
        <w:pStyle w:val="Proposal"/>
      </w:pPr>
      <w:r>
        <w:lastRenderedPageBreak/>
        <w:t>SUP</w:t>
      </w:r>
      <w:r>
        <w:tab/>
        <w:t>IND/107A6A2/3</w:t>
      </w:r>
    </w:p>
    <w:p w:rsidR="00622532" w:rsidRPr="003F0488" w:rsidRDefault="003361E3" w:rsidP="00622532">
      <w:pPr>
        <w:pStyle w:val="ResNo"/>
        <w:rPr>
          <w:rtl/>
        </w:rPr>
      </w:pPr>
      <w:bookmarkStart w:id="5" w:name="_Toc327956607"/>
      <w:r w:rsidRPr="003F0488">
        <w:rPr>
          <w:rFonts w:hint="cs"/>
          <w:rtl/>
        </w:rPr>
        <w:t>ا</w:t>
      </w:r>
      <w:r w:rsidRPr="003F0488">
        <w:rPr>
          <w:rtl/>
        </w:rPr>
        <w:t>لق</w:t>
      </w:r>
      <w:r>
        <w:rPr>
          <w:rFonts w:hint="cs"/>
          <w:rtl/>
        </w:rPr>
        <w:t>ـ</w:t>
      </w:r>
      <w:r w:rsidRPr="003F0488">
        <w:rPr>
          <w:rtl/>
        </w:rPr>
        <w:t>رار</w:t>
      </w:r>
      <w:r w:rsidRPr="003F0488">
        <w:rPr>
          <w:rFonts w:hint="cs"/>
          <w:rtl/>
        </w:rPr>
        <w:t xml:space="preserve"> </w:t>
      </w:r>
      <w:r w:rsidRPr="00622532">
        <w:rPr>
          <w:rStyle w:val="href"/>
        </w:rPr>
        <w:t>152</w:t>
      </w:r>
      <w:r>
        <w:t> </w:t>
      </w:r>
      <w:r w:rsidRPr="003F0488">
        <w:t>(WRC-12)</w:t>
      </w:r>
      <w:bookmarkEnd w:id="5"/>
    </w:p>
    <w:p w:rsidR="00622532" w:rsidRPr="003F0488" w:rsidRDefault="003361E3" w:rsidP="002608E7">
      <w:pPr>
        <w:pStyle w:val="Restitle"/>
        <w:rPr>
          <w:rtl/>
        </w:rPr>
      </w:pPr>
      <w:bookmarkStart w:id="6" w:name="_Toc327956608"/>
      <w:r w:rsidRPr="003F0488">
        <w:rPr>
          <w:rtl/>
        </w:rPr>
        <w:t xml:space="preserve">توزيعات أولية إضافية للخدمة الثابتة الساتلية </w:t>
      </w:r>
      <w:r>
        <w:rPr>
          <w:rFonts w:hint="cs"/>
          <w:rtl/>
        </w:rPr>
        <w:t xml:space="preserve">في </w:t>
      </w:r>
      <w:r w:rsidRPr="003F0488">
        <w:rPr>
          <w:rFonts w:hint="cs"/>
          <w:rtl/>
        </w:rPr>
        <w:t>ا</w:t>
      </w:r>
      <w:r>
        <w:rPr>
          <w:rFonts w:hint="cs"/>
          <w:rtl/>
        </w:rPr>
        <w:t>لا</w:t>
      </w:r>
      <w:r w:rsidRPr="003F0488">
        <w:rPr>
          <w:rFonts w:hint="cs"/>
          <w:rtl/>
        </w:rPr>
        <w:t xml:space="preserve">تجاه </w:t>
      </w:r>
      <w:r w:rsidRPr="003F0488">
        <w:rPr>
          <w:rtl/>
        </w:rPr>
        <w:t>أرض-فضاء</w:t>
      </w:r>
      <w:r>
        <w:rPr>
          <w:rFonts w:hint="cs"/>
          <w:rtl/>
        </w:rPr>
        <w:t xml:space="preserve"> </w:t>
      </w:r>
      <w:r>
        <w:rPr>
          <w:rtl/>
          <w:lang w:bidi="ar-SY"/>
        </w:rPr>
        <w:br/>
      </w:r>
      <w:r>
        <w:rPr>
          <w:rFonts w:hint="cs"/>
          <w:rtl/>
        </w:rPr>
        <w:t xml:space="preserve">في نطاقات التردد بين </w:t>
      </w:r>
      <w:r>
        <w:t>13</w:t>
      </w:r>
      <w:r>
        <w:rPr>
          <w:rFonts w:hint="cs"/>
          <w:rtl/>
        </w:rPr>
        <w:t xml:space="preserve"> و</w:t>
      </w:r>
      <w:r>
        <w:t>GHz 17</w:t>
      </w:r>
      <w:r w:rsidRPr="002608E7">
        <w:rPr>
          <w:rtl/>
        </w:rPr>
        <w:t xml:space="preserve"> </w:t>
      </w:r>
      <w:r w:rsidRPr="003F0488">
        <w:rPr>
          <w:rtl/>
        </w:rPr>
        <w:t xml:space="preserve">في الإقليم </w:t>
      </w:r>
      <w:r w:rsidRPr="003F0488">
        <w:t>2</w:t>
      </w:r>
      <w:r w:rsidRPr="003F0488">
        <w:rPr>
          <w:rFonts w:hint="cs"/>
          <w:rtl/>
        </w:rPr>
        <w:t xml:space="preserve"> والإقليم </w:t>
      </w:r>
      <w:r w:rsidRPr="003F0488">
        <w:t>3</w:t>
      </w:r>
      <w:bookmarkEnd w:id="6"/>
    </w:p>
    <w:p w:rsidR="00C52BF3" w:rsidRDefault="003361E3" w:rsidP="00027B7A">
      <w:pPr>
        <w:pStyle w:val="Reasons"/>
        <w:rPr>
          <w:rtl/>
        </w:rPr>
      </w:pPr>
      <w:r w:rsidRPr="0079018E">
        <w:rPr>
          <w:rtl/>
        </w:rPr>
        <w:t>الأسباب:</w:t>
      </w:r>
      <w:r w:rsidRPr="0079018E">
        <w:tab/>
      </w:r>
      <w:r w:rsidR="0079018E" w:rsidRPr="00027B7A">
        <w:rPr>
          <w:rFonts w:hint="cs"/>
          <w:b w:val="0"/>
          <w:bCs w:val="0"/>
          <w:rtl/>
        </w:rPr>
        <w:t>أُنجزت الدراسات في إطار هذا البند من جدول الأعمال.</w:t>
      </w:r>
    </w:p>
    <w:p w:rsidR="00C74C16" w:rsidRPr="00C74C16" w:rsidRDefault="00C74C16" w:rsidP="00C74C16">
      <w:pPr>
        <w:pStyle w:val="Reasons"/>
      </w:pPr>
    </w:p>
    <w:p w:rsidR="00C52BF3" w:rsidRPr="00C52BF3" w:rsidRDefault="00C52BF3" w:rsidP="00C52BF3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C52BF3" w:rsidRPr="00C52BF3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32E" w:rsidRDefault="002D532E" w:rsidP="002919E1">
      <w:r>
        <w:separator/>
      </w:r>
    </w:p>
    <w:p w:rsidR="002D532E" w:rsidRDefault="002D532E" w:rsidP="002919E1"/>
    <w:p w:rsidR="002D532E" w:rsidRDefault="002D532E" w:rsidP="002919E1"/>
    <w:p w:rsidR="002D532E" w:rsidRDefault="002D532E"/>
  </w:endnote>
  <w:endnote w:type="continuationSeparator" w:id="0">
    <w:p w:rsidR="002D532E" w:rsidRDefault="002D532E" w:rsidP="002919E1">
      <w:r>
        <w:continuationSeparator/>
      </w:r>
    </w:p>
    <w:p w:rsidR="002D532E" w:rsidRDefault="002D532E" w:rsidP="002919E1"/>
    <w:p w:rsidR="002D532E" w:rsidRDefault="002D532E" w:rsidP="002919E1"/>
    <w:p w:rsidR="002D532E" w:rsidRDefault="002D5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52BF3" w:rsidRDefault="00281F5F" w:rsidP="00C52BF3">
    <w:pPr>
      <w:pStyle w:val="Footer"/>
      <w:tabs>
        <w:tab w:val="clear" w:pos="5812"/>
        <w:tab w:val="left" w:pos="6379"/>
      </w:tabs>
    </w:pPr>
    <w:r w:rsidRPr="00CB4300">
      <w:fldChar w:fldCharType="begin"/>
    </w:r>
    <w:r w:rsidRPr="00C52BF3">
      <w:instrText xml:space="preserve"> FILENAME \p \* MERGEFORMAT </w:instrText>
    </w:r>
    <w:r w:rsidRPr="00CB4300">
      <w:fldChar w:fldCharType="separate"/>
    </w:r>
    <w:r w:rsidR="00027B7A">
      <w:rPr>
        <w:noProof/>
      </w:rPr>
      <w:t>P:\ARA\ITU-R\CONF-R\CMR15\100\107ADD06ADD02A.docx</w:t>
    </w:r>
    <w:r w:rsidRPr="00CB4300">
      <w:fldChar w:fldCharType="end"/>
    </w:r>
    <w:r w:rsidRPr="00C52BF3">
      <w:t xml:space="preserve">  (</w:t>
    </w:r>
    <w:r w:rsidR="00C52BF3">
      <w:t>388841</w:t>
    </w:r>
    <w:r w:rsidRPr="00C52BF3">
      <w:t>)</w:t>
    </w:r>
    <w:r w:rsidRPr="00C52BF3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C74C16">
      <w:rPr>
        <w:noProof/>
      </w:rPr>
      <w:t>30.10.15</w:t>
    </w:r>
    <w:r w:rsidRPr="00CB4300">
      <w:fldChar w:fldCharType="end"/>
    </w:r>
    <w:r w:rsidRPr="00C52BF3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027B7A">
      <w:rPr>
        <w:noProof/>
      </w:rPr>
      <w:t>30.10.15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4004C4" w:rsidRDefault="00281F5F" w:rsidP="00C52BF3">
    <w:pPr>
      <w:pStyle w:val="Footer"/>
      <w:tabs>
        <w:tab w:val="clear" w:pos="5812"/>
        <w:tab w:val="left" w:pos="6379"/>
      </w:tabs>
    </w:pPr>
    <w:r>
      <w:fldChar w:fldCharType="begin"/>
    </w:r>
    <w:r w:rsidRPr="00C52BF3">
      <w:instrText xml:space="preserve"> FILENAME \p \* MERGEFORMAT </w:instrText>
    </w:r>
    <w:r>
      <w:fldChar w:fldCharType="separate"/>
    </w:r>
    <w:r w:rsidR="00027B7A">
      <w:rPr>
        <w:noProof/>
      </w:rPr>
      <w:t>P:\ARA\ITU-R\CONF-R\CMR15\100\107ADD06ADD02A.docx</w:t>
    </w:r>
    <w:r>
      <w:fldChar w:fldCharType="end"/>
    </w:r>
    <w:r w:rsidRPr="004004C4">
      <w:t xml:space="preserve">   (</w:t>
    </w:r>
    <w:r w:rsidR="00C52BF3">
      <w:t>388841</w:t>
    </w:r>
    <w:r w:rsidRPr="004004C4">
      <w:t>)</w:t>
    </w:r>
    <w:r w:rsidRPr="004004C4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C74C16">
      <w:rPr>
        <w:noProof/>
      </w:rPr>
      <w:t>30.10.15</w:t>
    </w:r>
    <w:r w:rsidRPr="00B12661">
      <w:fldChar w:fldCharType="end"/>
    </w:r>
    <w:r w:rsidRPr="004004C4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027B7A">
      <w:rPr>
        <w:noProof/>
      </w:rPr>
      <w:t>30.10.15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32E" w:rsidRDefault="002D532E" w:rsidP="002919E1">
      <w:r>
        <w:t>___________________</w:t>
      </w:r>
    </w:p>
  </w:footnote>
  <w:footnote w:type="continuationSeparator" w:id="0">
    <w:p w:rsidR="002D532E" w:rsidRDefault="002D532E" w:rsidP="002919E1">
      <w:r>
        <w:continuationSeparator/>
      </w:r>
    </w:p>
    <w:p w:rsidR="002D532E" w:rsidRDefault="002D532E" w:rsidP="002919E1"/>
    <w:p w:rsidR="002D532E" w:rsidRDefault="002D532E" w:rsidP="002919E1"/>
    <w:p w:rsidR="002D532E" w:rsidRDefault="002D53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867A88">
      <w:rPr>
        <w:rStyle w:val="PageNumber"/>
        <w:noProof/>
      </w:rPr>
      <w:t>3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107(Add.6)(Add.2)-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 Wardany, Samy">
    <w15:presenceInfo w15:providerId="AD" w15:userId="S-1-5-21-8740799-900759487-1415713722-7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27B7A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31B7E"/>
    <w:rsid w:val="001464F2"/>
    <w:rsid w:val="001629EC"/>
    <w:rsid w:val="00167364"/>
    <w:rsid w:val="001903B2"/>
    <w:rsid w:val="001E190C"/>
    <w:rsid w:val="001E4727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C73CD"/>
    <w:rsid w:val="002D532E"/>
    <w:rsid w:val="002D5F64"/>
    <w:rsid w:val="002D6FBF"/>
    <w:rsid w:val="002E48BF"/>
    <w:rsid w:val="002E61C2"/>
    <w:rsid w:val="003361E3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3F0D84"/>
    <w:rsid w:val="003F4831"/>
    <w:rsid w:val="004004C4"/>
    <w:rsid w:val="00400CD4"/>
    <w:rsid w:val="004147B9"/>
    <w:rsid w:val="00422C04"/>
    <w:rsid w:val="00426144"/>
    <w:rsid w:val="00446F1E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15FE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9018E"/>
    <w:rsid w:val="007A0802"/>
    <w:rsid w:val="007B1FCA"/>
    <w:rsid w:val="007C2C12"/>
    <w:rsid w:val="007C3CFA"/>
    <w:rsid w:val="007D528E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67A88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75097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2BF3"/>
    <w:rsid w:val="00C53F6F"/>
    <w:rsid w:val="00C5489D"/>
    <w:rsid w:val="00C71759"/>
    <w:rsid w:val="00C74C16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8F5"/>
    <w:rsid w:val="00CC79A4"/>
    <w:rsid w:val="00CD0FDE"/>
    <w:rsid w:val="00CD4EFC"/>
    <w:rsid w:val="00CE0E68"/>
    <w:rsid w:val="00CE4410"/>
    <w:rsid w:val="00CE5BA4"/>
    <w:rsid w:val="00D25120"/>
    <w:rsid w:val="00D419CB"/>
    <w:rsid w:val="00D44350"/>
    <w:rsid w:val="00D44E3F"/>
    <w:rsid w:val="00D51179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D1576CF8-E8B6-44C1-8B89-D00CD77A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EFC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R15-WRC15-C-0107!A6-A2!MSW-A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6623A5B-26DA-48E7-BE99-7E6DEE3E619B}">
  <ds:schemaRefs>
    <ds:schemaRef ds:uri="http://purl.org/dc/terms/"/>
    <ds:schemaRef ds:uri="http://schemas.microsoft.com/office/infopath/2007/PartnerControls"/>
    <ds:schemaRef ds:uri="996b2e75-67fd-4955-a3b0-5ab9934cb50b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506DFE-AE5F-4BBB-A149-81ECC92D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503</Words>
  <Characters>2792</Characters>
  <Application>Microsoft Office Word</Application>
  <DocSecurity>0</DocSecurity>
  <Lines>93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R15-WRC15-C-0107!A6-A2!MSW-A</vt:lpstr>
    </vt:vector>
  </TitlesOfParts>
  <Manager>General Secretariat - Pool</Manager>
  <Company>International Telecommunication Union (ITU)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R15-WRC15-C-0107!A6-A2!MSW-A</dc:title>
  <dc:creator>Documents Proposals Manager (DPM)</dc:creator>
  <cp:keywords>DPM_v5.2015.10.230_prod</cp:keywords>
  <cp:lastModifiedBy>Awad, Samy</cp:lastModifiedBy>
  <cp:revision>7</cp:revision>
  <cp:lastPrinted>2015-10-30T14:29:00Z</cp:lastPrinted>
  <dcterms:created xsi:type="dcterms:W3CDTF">2015-10-30T14:18:00Z</dcterms:created>
  <dcterms:modified xsi:type="dcterms:W3CDTF">2015-10-30T22:43:00Z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