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D040DB" w:rsidTr="0050008E">
        <w:trPr>
          <w:cantSplit/>
        </w:trPr>
        <w:tc>
          <w:tcPr>
            <w:tcW w:w="6911" w:type="dxa"/>
          </w:tcPr>
          <w:p w:rsidR="0090121B" w:rsidRPr="00D040DB" w:rsidRDefault="005D46FB" w:rsidP="00530A32">
            <w:pPr>
              <w:spacing w:before="400" w:after="48"/>
              <w:rPr>
                <w:rFonts w:ascii="Verdana" w:hAnsi="Verdana"/>
                <w:position w:val="6"/>
              </w:rPr>
            </w:pPr>
            <w:r w:rsidRPr="00D040D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D040D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D040DB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D040DB" w:rsidRDefault="00CE7431" w:rsidP="00530A32">
            <w:pPr>
              <w:spacing w:before="0"/>
              <w:jc w:val="right"/>
            </w:pPr>
            <w:bookmarkStart w:id="0" w:name="ditulogo"/>
            <w:bookmarkEnd w:id="0"/>
            <w:r w:rsidRPr="00D040DB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040DB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D040DB" w:rsidRDefault="00CE7431" w:rsidP="00530A32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D040DB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D040DB" w:rsidRDefault="0090121B" w:rsidP="00530A3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D040DB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D040DB" w:rsidRDefault="0090121B" w:rsidP="00530A3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D040DB" w:rsidRDefault="0090121B" w:rsidP="00530A3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D040DB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D040DB" w:rsidRDefault="00AE658F" w:rsidP="00530A3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040DB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D040DB" w:rsidRDefault="00AE658F" w:rsidP="00530A32">
            <w:pPr>
              <w:spacing w:before="0"/>
              <w:rPr>
                <w:rFonts w:ascii="Verdana" w:hAnsi="Verdana"/>
                <w:sz w:val="20"/>
              </w:rPr>
            </w:pPr>
            <w:r w:rsidRPr="00D040DB">
              <w:rPr>
                <w:rFonts w:ascii="Verdana" w:eastAsia="SimSun" w:hAnsi="Verdana" w:cs="Traditional Arabic"/>
                <w:b/>
                <w:sz w:val="20"/>
              </w:rPr>
              <w:t>Addéndum 24 al</w:t>
            </w:r>
            <w:r w:rsidRPr="00D040DB">
              <w:rPr>
                <w:rFonts w:ascii="Verdana" w:eastAsia="SimSun" w:hAnsi="Verdana" w:cs="Traditional Arabic"/>
                <w:b/>
                <w:sz w:val="20"/>
              </w:rPr>
              <w:br/>
              <w:t>Documento 107</w:t>
            </w:r>
            <w:r w:rsidR="0090121B" w:rsidRPr="00D040DB">
              <w:rPr>
                <w:rFonts w:ascii="Verdana" w:hAnsi="Verdana"/>
                <w:b/>
                <w:sz w:val="20"/>
              </w:rPr>
              <w:t>-</w:t>
            </w:r>
            <w:r w:rsidRPr="00D040D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D040DB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D040DB" w:rsidRDefault="000A5B9A" w:rsidP="00530A3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D040DB" w:rsidRDefault="000A5B9A" w:rsidP="00530A3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040DB">
              <w:rPr>
                <w:rFonts w:ascii="Verdana" w:hAnsi="Verdana"/>
                <w:b/>
                <w:sz w:val="20"/>
              </w:rPr>
              <w:t>19 de octubre de 2015</w:t>
            </w:r>
          </w:p>
        </w:tc>
      </w:tr>
      <w:tr w:rsidR="000A5B9A" w:rsidRPr="00D040DB" w:rsidTr="0090121B">
        <w:trPr>
          <w:cantSplit/>
        </w:trPr>
        <w:tc>
          <w:tcPr>
            <w:tcW w:w="6911" w:type="dxa"/>
          </w:tcPr>
          <w:p w:rsidR="000A5B9A" w:rsidRPr="00D040DB" w:rsidRDefault="000A5B9A" w:rsidP="00530A3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D040DB" w:rsidRDefault="000A5B9A" w:rsidP="00530A3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040DB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D040DB" w:rsidTr="006744FC">
        <w:trPr>
          <w:cantSplit/>
        </w:trPr>
        <w:tc>
          <w:tcPr>
            <w:tcW w:w="10031" w:type="dxa"/>
            <w:gridSpan w:val="2"/>
          </w:tcPr>
          <w:p w:rsidR="000A5B9A" w:rsidRPr="00D040DB" w:rsidRDefault="000A5B9A" w:rsidP="00530A3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D040DB" w:rsidTr="0050008E">
        <w:trPr>
          <w:cantSplit/>
        </w:trPr>
        <w:tc>
          <w:tcPr>
            <w:tcW w:w="10031" w:type="dxa"/>
            <w:gridSpan w:val="2"/>
          </w:tcPr>
          <w:p w:rsidR="000A5B9A" w:rsidRPr="00D040DB" w:rsidRDefault="000A5B9A" w:rsidP="00530A32">
            <w:pPr>
              <w:pStyle w:val="Source"/>
            </w:pPr>
            <w:bookmarkStart w:id="2" w:name="dsource" w:colFirst="0" w:colLast="0"/>
            <w:r w:rsidRPr="00D040DB">
              <w:t>India (República de la)</w:t>
            </w:r>
          </w:p>
        </w:tc>
      </w:tr>
      <w:tr w:rsidR="000A5B9A" w:rsidRPr="00D040DB" w:rsidTr="0050008E">
        <w:trPr>
          <w:cantSplit/>
        </w:trPr>
        <w:tc>
          <w:tcPr>
            <w:tcW w:w="10031" w:type="dxa"/>
            <w:gridSpan w:val="2"/>
          </w:tcPr>
          <w:p w:rsidR="000A5B9A" w:rsidRPr="00D040DB" w:rsidRDefault="008B5690" w:rsidP="00530A32">
            <w:pPr>
              <w:pStyle w:val="Title1"/>
            </w:pPr>
            <w:bookmarkStart w:id="3" w:name="dtitle1" w:colFirst="0" w:colLast="0"/>
            <w:bookmarkEnd w:id="2"/>
            <w:r w:rsidRPr="00D040DB">
              <w:t>PROPUESTAS PARA LOS TRABAJOS DE LA CONFERENCIA</w:t>
            </w:r>
          </w:p>
        </w:tc>
      </w:tr>
      <w:tr w:rsidR="000A5B9A" w:rsidRPr="00D040DB" w:rsidTr="0050008E">
        <w:trPr>
          <w:cantSplit/>
        </w:trPr>
        <w:tc>
          <w:tcPr>
            <w:tcW w:w="10031" w:type="dxa"/>
            <w:gridSpan w:val="2"/>
          </w:tcPr>
          <w:p w:rsidR="000A5B9A" w:rsidRPr="00D040DB" w:rsidRDefault="000A5B9A" w:rsidP="00530A32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D040DB" w:rsidTr="0050008E">
        <w:trPr>
          <w:cantSplit/>
        </w:trPr>
        <w:tc>
          <w:tcPr>
            <w:tcW w:w="10031" w:type="dxa"/>
            <w:gridSpan w:val="2"/>
          </w:tcPr>
          <w:p w:rsidR="000A5B9A" w:rsidRPr="00D040DB" w:rsidRDefault="000A5B9A" w:rsidP="00530A32">
            <w:pPr>
              <w:pStyle w:val="Agendaitem"/>
            </w:pPr>
            <w:bookmarkStart w:id="5" w:name="dtitle3" w:colFirst="0" w:colLast="0"/>
            <w:bookmarkEnd w:id="4"/>
            <w:r w:rsidRPr="00D040DB">
              <w:t>Punto 10 del orden del día</w:t>
            </w:r>
          </w:p>
        </w:tc>
      </w:tr>
    </w:tbl>
    <w:bookmarkEnd w:id="5"/>
    <w:p w:rsidR="00E1398F" w:rsidRPr="00D040DB" w:rsidRDefault="00C10031" w:rsidP="00530A32">
      <w:r w:rsidRPr="00D040DB">
        <w:t>10</w:t>
      </w:r>
      <w:r w:rsidRPr="00D040DB">
        <w:tab/>
        <w:t>recomendar al Consejo los puntos que han de incluirse en el orden del día de la próxima CMR, y formular opiniones sobre el orden del día preliminar de la conferencia subsiguiente y sobre los posibles órdenes del día de futuras conferencias, de conformidad con el Artículo 7 del Convenio,</w:t>
      </w:r>
    </w:p>
    <w:p w:rsidR="005C53C8" w:rsidRPr="00D040DB" w:rsidRDefault="005C53C8" w:rsidP="00530A32"/>
    <w:p w:rsidR="00F71373" w:rsidRPr="00D040DB" w:rsidRDefault="00ED5BF9" w:rsidP="00530A32">
      <w:pPr>
        <w:pStyle w:val="Headingb"/>
        <w:rPr>
          <w:lang w:eastAsia="ko-KR"/>
        </w:rPr>
      </w:pPr>
      <w:r w:rsidRPr="00D040DB">
        <w:rPr>
          <w:lang w:eastAsia="ko-KR"/>
        </w:rPr>
        <w:t>Introducción</w:t>
      </w:r>
    </w:p>
    <w:p w:rsidR="00F71373" w:rsidRPr="00D040DB" w:rsidRDefault="00F71373" w:rsidP="00530A32">
      <w:r w:rsidRPr="00D040DB">
        <w:rPr>
          <w:lang w:eastAsia="ko-KR"/>
        </w:rPr>
        <w:t>En el punto 1.1 del orden del día de la CMR-15</w:t>
      </w:r>
      <w:r w:rsidR="00EC1FCC">
        <w:rPr>
          <w:lang w:eastAsia="ko-KR"/>
        </w:rPr>
        <w:t>,</w:t>
      </w:r>
      <w:r w:rsidR="00DB7181" w:rsidRPr="00D040DB">
        <w:rPr>
          <w:lang w:eastAsia="ko-KR"/>
        </w:rPr>
        <w:t xml:space="preserve"> </w:t>
      </w:r>
      <w:r w:rsidR="00DB7181" w:rsidRPr="00EC1FCC">
        <w:rPr>
          <w:lang w:eastAsia="ko-KR"/>
        </w:rPr>
        <w:t xml:space="preserve">de conformidad </w:t>
      </w:r>
      <w:r w:rsidR="00EC1FCC" w:rsidRPr="00EC1FCC">
        <w:rPr>
          <w:lang w:eastAsia="ko-KR"/>
        </w:rPr>
        <w:t>con la Resolución 233 (CMR-12)</w:t>
      </w:r>
      <w:r w:rsidR="00EC1FCC">
        <w:rPr>
          <w:lang w:eastAsia="ko-KR"/>
        </w:rPr>
        <w:t>,</w:t>
      </w:r>
      <w:r w:rsidRPr="00D040DB">
        <w:rPr>
          <w:lang w:eastAsia="ko-KR"/>
        </w:rPr>
        <w:t xml:space="preserve"> se estudian atribuciones de espectro adicionales al servicio móvil a título primario y se identifican bandas de frecuencia adicionales para las telecomunicaciones móviles internacionales (IMT)</w:t>
      </w:r>
      <w:r w:rsidRPr="00D040DB">
        <w:t xml:space="preserve">. </w:t>
      </w:r>
      <w:r w:rsidR="00EB02CF" w:rsidRPr="00D040DB">
        <w:t>La conferencia también permitirá determinar si puede debatirse la cuestión del espectro móvil futuro en la próxima CMR, en 2019, a través de un nuevo punto del orden del día</w:t>
      </w:r>
      <w:r w:rsidRPr="00D040DB">
        <w:t>.</w:t>
      </w:r>
    </w:p>
    <w:p w:rsidR="00F71373" w:rsidRPr="00D040DB" w:rsidRDefault="00EB02CF" w:rsidP="00530A32">
      <w:pPr>
        <w:pStyle w:val="Headingb"/>
      </w:pPr>
      <w:r w:rsidRPr="00D040DB">
        <w:t>Discusión</w:t>
      </w:r>
    </w:p>
    <w:p w:rsidR="00F71373" w:rsidRPr="00D040DB" w:rsidRDefault="00EB02CF" w:rsidP="002D11FB">
      <w:r w:rsidRPr="00D040DB">
        <w:t>En el marco de la labor que ya ha realizado la Oficina de Radiocomunicaciones de la UIT (UI</w:t>
      </w:r>
      <w:r w:rsidR="002D11FB">
        <w:t>T</w:t>
      </w:r>
      <w:r w:rsidRPr="00D040DB">
        <w:t xml:space="preserve">-R), </w:t>
      </w:r>
      <w:r w:rsidR="00DA628C" w:rsidRPr="00D040DB">
        <w:t>que se ocupa</w:t>
      </w:r>
      <w:r w:rsidRPr="00D040DB">
        <w:t xml:space="preserve"> de la planificación del espectro, en varios documentos de investigación se ha destacado la necesidad de identificar espectro para 2020 y </w:t>
      </w:r>
      <w:r w:rsidR="005E37EC" w:rsidRPr="00D040DB">
        <w:t>años posteriores</w:t>
      </w:r>
      <w:r w:rsidR="00F71373" w:rsidRPr="00D040DB">
        <w:t>.</w:t>
      </w:r>
    </w:p>
    <w:p w:rsidR="00F71373" w:rsidRPr="00D040DB" w:rsidRDefault="00EB02CF" w:rsidP="00530A32">
      <w:pPr>
        <w:pStyle w:val="Headingb"/>
      </w:pPr>
      <w:r w:rsidRPr="00D040DB">
        <w:t>Propuestas</w:t>
      </w:r>
    </w:p>
    <w:p w:rsidR="00363A65" w:rsidRPr="00D040DB" w:rsidRDefault="00EB02CF" w:rsidP="002D11FB">
      <w:r w:rsidRPr="00D040DB">
        <w:t xml:space="preserve">Habida cuenta de </w:t>
      </w:r>
      <w:r w:rsidR="00F71373" w:rsidRPr="00D040DB">
        <w:t xml:space="preserve">que, de conformidad con el número 118 del Convenio de la UIT, el ámbito general del orden del día de una conferencia mundial de radiocomunicaciones debe establecerse con una antelación de cuatro a seis años y que el orden del día definitivo deberá establecerlo el Consejo dos años antes de la Conferencia, </w:t>
      </w:r>
      <w:r w:rsidRPr="00D040DB">
        <w:t xml:space="preserve">la </w:t>
      </w:r>
      <w:r w:rsidR="00F71373" w:rsidRPr="00D040DB">
        <w:t xml:space="preserve">India </w:t>
      </w:r>
      <w:r w:rsidRPr="00D040DB">
        <w:t xml:space="preserve">propone </w:t>
      </w:r>
      <w:r w:rsidR="00DA628C" w:rsidRPr="00D040DB">
        <w:t xml:space="preserve">crear un nuevo punto del orden del día </w:t>
      </w:r>
      <w:r w:rsidRPr="00D040DB">
        <w:t xml:space="preserve">para la CMR-19 para identificar espectro para 2020 y </w:t>
      </w:r>
      <w:r w:rsidR="005E37EC" w:rsidRPr="00D040DB">
        <w:t>años posteriores</w:t>
      </w:r>
      <w:r w:rsidR="00F71373" w:rsidRPr="00D040DB">
        <w:t>.</w:t>
      </w:r>
    </w:p>
    <w:p w:rsidR="008750A8" w:rsidRPr="00D040DB" w:rsidRDefault="008750A8" w:rsidP="00530A3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040DB">
        <w:br w:type="page"/>
      </w:r>
    </w:p>
    <w:p w:rsidR="002771BE" w:rsidRPr="00D040DB" w:rsidRDefault="00C10031" w:rsidP="00530A32">
      <w:pPr>
        <w:pStyle w:val="Proposal"/>
      </w:pPr>
      <w:r w:rsidRPr="00D040DB">
        <w:lastRenderedPageBreak/>
        <w:t>SUP</w:t>
      </w:r>
      <w:r w:rsidRPr="00D040DB">
        <w:tab/>
        <w:t>IND/107A24/1</w:t>
      </w:r>
    </w:p>
    <w:p w:rsidR="000202E7" w:rsidRPr="00D040DB" w:rsidRDefault="00C10031" w:rsidP="00530A32">
      <w:pPr>
        <w:pStyle w:val="ResNo"/>
      </w:pPr>
      <w:bookmarkStart w:id="6" w:name="_Toc320536607"/>
      <w:r w:rsidRPr="00D040DB">
        <w:t xml:space="preserve">RESOLUCIÓN </w:t>
      </w:r>
      <w:r w:rsidRPr="00D040DB">
        <w:rPr>
          <w:rStyle w:val="href"/>
        </w:rPr>
        <w:t xml:space="preserve">806 </w:t>
      </w:r>
      <w:r w:rsidRPr="00D040DB">
        <w:t>(CMR-07)</w:t>
      </w:r>
      <w:bookmarkEnd w:id="6"/>
    </w:p>
    <w:p w:rsidR="000202E7" w:rsidRPr="00D040DB" w:rsidRDefault="00C10031" w:rsidP="00530A32">
      <w:pPr>
        <w:pStyle w:val="Restitle"/>
      </w:pPr>
      <w:bookmarkStart w:id="7" w:name="_Toc328141493"/>
      <w:r w:rsidRPr="00D040DB">
        <w:t xml:space="preserve">Orden del día preliminar de la Conferencia Mundial </w:t>
      </w:r>
      <w:r w:rsidRPr="00D040DB">
        <w:br/>
        <w:t>de Radiocomunicaciones de 2015</w:t>
      </w:r>
      <w:bookmarkEnd w:id="7"/>
    </w:p>
    <w:p w:rsidR="002771BE" w:rsidRPr="00D040DB" w:rsidRDefault="002771BE" w:rsidP="00530A32">
      <w:pPr>
        <w:pStyle w:val="Reasons"/>
      </w:pPr>
    </w:p>
    <w:p w:rsidR="002771BE" w:rsidRPr="00D040DB" w:rsidRDefault="00C10031" w:rsidP="00530A32">
      <w:pPr>
        <w:pStyle w:val="Proposal"/>
      </w:pPr>
      <w:r w:rsidRPr="00D040DB">
        <w:t>SUP</w:t>
      </w:r>
      <w:r w:rsidRPr="00D040DB">
        <w:tab/>
        <w:t>IND/107A24/2</w:t>
      </w:r>
    </w:p>
    <w:p w:rsidR="00E622F1" w:rsidRPr="00D040DB" w:rsidRDefault="00C10031" w:rsidP="00530A32">
      <w:pPr>
        <w:pStyle w:val="ResNo"/>
      </w:pPr>
      <w:bookmarkStart w:id="8" w:name="_Toc328141494"/>
      <w:r w:rsidRPr="00D040DB">
        <w:t xml:space="preserve">RESOLUCIÓN </w:t>
      </w:r>
      <w:r w:rsidRPr="00D040DB">
        <w:rPr>
          <w:rStyle w:val="href"/>
        </w:rPr>
        <w:t>807</w:t>
      </w:r>
      <w:r w:rsidRPr="00D040DB">
        <w:t xml:space="preserve"> (CMR-12)</w:t>
      </w:r>
      <w:bookmarkEnd w:id="8"/>
    </w:p>
    <w:p w:rsidR="00E622F1" w:rsidRPr="00D040DB" w:rsidRDefault="00C10031" w:rsidP="00530A32">
      <w:pPr>
        <w:pStyle w:val="Restitle"/>
      </w:pPr>
      <w:bookmarkStart w:id="9" w:name="_Toc328141495"/>
      <w:r w:rsidRPr="00D040DB">
        <w:t xml:space="preserve">Orden del día de la Conferencia Mundial </w:t>
      </w:r>
      <w:r w:rsidRPr="00D040DB">
        <w:br/>
        <w:t>de Radiocomunicaciones de 2015</w:t>
      </w:r>
      <w:bookmarkEnd w:id="9"/>
    </w:p>
    <w:p w:rsidR="002771BE" w:rsidRPr="00D040DB" w:rsidRDefault="002771BE" w:rsidP="00530A32">
      <w:pPr>
        <w:pStyle w:val="Reasons"/>
      </w:pPr>
    </w:p>
    <w:p w:rsidR="002771BE" w:rsidRPr="00D040DB" w:rsidRDefault="00C10031" w:rsidP="00530A32">
      <w:pPr>
        <w:pStyle w:val="Proposal"/>
      </w:pPr>
      <w:r w:rsidRPr="00D040DB">
        <w:t>SUP</w:t>
      </w:r>
      <w:r w:rsidRPr="00D040DB">
        <w:tab/>
        <w:t>IND/107A24/3</w:t>
      </w:r>
    </w:p>
    <w:p w:rsidR="00E622F1" w:rsidRPr="00D040DB" w:rsidRDefault="00C10031" w:rsidP="00530A32">
      <w:pPr>
        <w:pStyle w:val="ResNo"/>
      </w:pPr>
      <w:bookmarkStart w:id="10" w:name="_Toc328141496"/>
      <w:r w:rsidRPr="00D040DB">
        <w:t xml:space="preserve">RESOLUCIÓN </w:t>
      </w:r>
      <w:r w:rsidRPr="00D040DB">
        <w:rPr>
          <w:rStyle w:val="href"/>
        </w:rPr>
        <w:t>808</w:t>
      </w:r>
      <w:r w:rsidRPr="00D040DB">
        <w:t xml:space="preserve"> (CMR-12)</w:t>
      </w:r>
      <w:bookmarkEnd w:id="10"/>
    </w:p>
    <w:p w:rsidR="00E622F1" w:rsidRPr="00D040DB" w:rsidRDefault="00C10031" w:rsidP="00530A32">
      <w:pPr>
        <w:pStyle w:val="Restitle"/>
      </w:pPr>
      <w:bookmarkStart w:id="11" w:name="_Toc328141497"/>
      <w:r w:rsidRPr="00D040DB">
        <w:t>Orden del día preliminar de la Conferencia Mundial</w:t>
      </w:r>
      <w:r w:rsidRPr="00D040DB">
        <w:br/>
        <w:t>de Radiocomunicaciones de 2018</w:t>
      </w:r>
      <w:bookmarkEnd w:id="11"/>
    </w:p>
    <w:p w:rsidR="002771BE" w:rsidRPr="00D040DB" w:rsidRDefault="002771BE" w:rsidP="00530A32">
      <w:pPr>
        <w:pStyle w:val="Reasons"/>
      </w:pPr>
      <w:bookmarkStart w:id="12" w:name="_GoBack"/>
      <w:bookmarkEnd w:id="12"/>
    </w:p>
    <w:p w:rsidR="002771BE" w:rsidRPr="00D040DB" w:rsidRDefault="00C10031" w:rsidP="00530A32">
      <w:pPr>
        <w:pStyle w:val="Proposal"/>
      </w:pPr>
      <w:r w:rsidRPr="00D040DB">
        <w:t>ADD</w:t>
      </w:r>
      <w:r w:rsidRPr="00D040DB">
        <w:tab/>
        <w:t>IND/107A24/4</w:t>
      </w:r>
    </w:p>
    <w:p w:rsidR="002771BE" w:rsidRPr="00D040DB" w:rsidRDefault="00C10031" w:rsidP="00530A32">
      <w:pPr>
        <w:pStyle w:val="ResNo"/>
      </w:pPr>
      <w:r w:rsidRPr="00D040DB">
        <w:t xml:space="preserve">Proyecto de nueva Resolución </w:t>
      </w:r>
      <w:r w:rsidR="002D32B4" w:rsidRPr="00D040DB">
        <w:br/>
      </w:r>
      <w:r w:rsidRPr="00D040DB">
        <w:t>[</w:t>
      </w:r>
      <w:r w:rsidR="002D32B4" w:rsidRPr="00D040DB">
        <w:t>IND-A10-WRC-19_AGENDA</w:t>
      </w:r>
      <w:r w:rsidRPr="00D040DB">
        <w:t>]</w:t>
      </w:r>
      <w:r w:rsidR="002D32B4" w:rsidRPr="00D040DB">
        <w:t xml:space="preserve"> (CMR-15)</w:t>
      </w:r>
    </w:p>
    <w:p w:rsidR="002771BE" w:rsidRPr="002D11FB" w:rsidRDefault="002D32B4" w:rsidP="002D11FB">
      <w:pPr>
        <w:pStyle w:val="Restitle"/>
      </w:pPr>
      <w:r w:rsidRPr="002D11FB">
        <w:t>Orden del día de la Conferencia Mundial de Radiocomunicaciones de 2019</w:t>
      </w:r>
    </w:p>
    <w:p w:rsidR="002D32B4" w:rsidRPr="00D040DB" w:rsidRDefault="002D32B4" w:rsidP="002D11FB">
      <w:pPr>
        <w:pStyle w:val="Normalaftertitle"/>
      </w:pPr>
      <w:r w:rsidRPr="00D040DB">
        <w:t>La Conferencia Mundial de Radiocomunicaciones (Ginebra, 201</w:t>
      </w:r>
      <w:r w:rsidR="002D11FB">
        <w:t>5</w:t>
      </w:r>
      <w:r w:rsidRPr="00D040DB">
        <w:t xml:space="preserve">), </w:t>
      </w:r>
    </w:p>
    <w:p w:rsidR="002D32B4" w:rsidRPr="00D040DB" w:rsidRDefault="002D32B4" w:rsidP="00530A32">
      <w:pPr>
        <w:pStyle w:val="Call"/>
        <w:rPr>
          <w:rFonts w:ascii="GNNFF D+ Times New Roman PSMT" w:hAnsi="GNNFF D+ Times New Roman PSMT" w:cs="GNNFF D+ Times New Roman PSMT"/>
          <w:color w:val="000000"/>
          <w:sz w:val="17"/>
          <w:szCs w:val="17"/>
        </w:rPr>
      </w:pPr>
      <w:r w:rsidRPr="00D040DB">
        <w:t>considerando</w:t>
      </w:r>
      <w:r w:rsidRPr="00D040DB">
        <w:rPr>
          <w:rFonts w:ascii="GNNFF D+ Times New Roman PSMT" w:hAnsi="GNNFF D+ Times New Roman PSMT" w:cs="GNNFF D+ Times New Roman PSMT"/>
          <w:i w:val="0"/>
          <w:iCs/>
          <w:color w:val="000000"/>
          <w:sz w:val="17"/>
          <w:szCs w:val="17"/>
        </w:rPr>
        <w:t xml:space="preserve"> </w:t>
      </w:r>
    </w:p>
    <w:p w:rsidR="002D32B4" w:rsidRPr="00D040DB" w:rsidRDefault="002D32B4" w:rsidP="00530A32">
      <w:r w:rsidRPr="00D040DB">
        <w:rPr>
          <w:rFonts w:ascii="GNNFF D+ Times New Roman PSMT" w:hAnsi="GNNFF D+ Times New Roman PSMT" w:cs="GNNFF D+ Times New Roman PSMT"/>
          <w:i/>
          <w:iCs/>
        </w:rPr>
        <w:t>a)</w:t>
      </w:r>
      <w:r w:rsidRPr="00D040DB">
        <w:rPr>
          <w:rFonts w:ascii="GNNFF D+ Times New Roman PSMT" w:hAnsi="GNNFF D+ Times New Roman PSMT" w:cs="GNNFF D+ Times New Roman PSMT"/>
          <w:i/>
          <w:iCs/>
        </w:rPr>
        <w:tab/>
      </w:r>
      <w:r w:rsidRPr="00D040DB">
        <w:t xml:space="preserve">que, de conformidad con el número 118 del Convenio de la UIT, el ámbito general del orden del día de una conferencia mundial de radiocomunicaciones debe establecerse con una antelación de cuatro a seis años y que el orden del día definitivo deberá establecerlo el Consejo dos años antes de la Conferencia; </w:t>
      </w:r>
    </w:p>
    <w:p w:rsidR="002D32B4" w:rsidRPr="00D040DB" w:rsidRDefault="002D32B4" w:rsidP="00530A32">
      <w:r w:rsidRPr="00D040DB">
        <w:rPr>
          <w:rFonts w:ascii="GNNFF D+ Times New Roman PSMT" w:hAnsi="GNNFF D+ Times New Roman PSMT" w:cs="GNNFF D+ Times New Roman PSMT"/>
          <w:i/>
          <w:iCs/>
        </w:rPr>
        <w:t>b)</w:t>
      </w:r>
      <w:r w:rsidRPr="00D040DB">
        <w:rPr>
          <w:rFonts w:ascii="GNNFF D+ Times New Roman PSMT" w:hAnsi="GNNFF D+ Times New Roman PSMT" w:cs="GNNFF D+ Times New Roman PSMT"/>
          <w:i/>
          <w:iCs/>
        </w:rPr>
        <w:tab/>
      </w:r>
      <w:r w:rsidRPr="00D040DB">
        <w:t xml:space="preserve">el Artículo 13 de la Constitución de la UIT, sobre competencia y calendario de las conferencias mundiales de radiocomunicaciones, y el Artículo 7 del Convenio, relativo a sus órdenes del día; </w:t>
      </w:r>
    </w:p>
    <w:p w:rsidR="002D32B4" w:rsidRPr="00D040DB" w:rsidRDefault="002D32B4" w:rsidP="00530A32">
      <w:r w:rsidRPr="00D040DB">
        <w:rPr>
          <w:rFonts w:ascii="GNNFF D+ Times New Roman PSMT" w:hAnsi="GNNFF D+ Times New Roman PSMT" w:cs="GNNFF D+ Times New Roman PSMT"/>
          <w:i/>
          <w:iCs/>
        </w:rPr>
        <w:t>c)</w:t>
      </w:r>
      <w:r w:rsidRPr="00D040DB">
        <w:rPr>
          <w:rFonts w:ascii="GNNFF D+ Times New Roman PSMT" w:hAnsi="GNNFF D+ Times New Roman PSMT" w:cs="GNNFF D+ Times New Roman PSMT"/>
          <w:i/>
          <w:iCs/>
        </w:rPr>
        <w:tab/>
      </w:r>
      <w:r w:rsidRPr="00D040DB">
        <w:t xml:space="preserve">las Resoluciones y Recomendaciones pertinentes de las anteriores Conferencias Administrativas Mundiales de Radiocomunicaciones (CAMR) y Conferencias Mundiales de Radiocomunicaciones (CMR), </w:t>
      </w:r>
    </w:p>
    <w:p w:rsidR="002D32B4" w:rsidRPr="00D040DB" w:rsidRDefault="002D32B4" w:rsidP="00530A32">
      <w:pPr>
        <w:pStyle w:val="Call"/>
        <w:rPr>
          <w:rFonts w:ascii="GNNFF D+ Times New Roman PSMT" w:hAnsi="GNNFF D+ Times New Roman PSMT" w:cs="GNNFF D+ Times New Roman PSMT"/>
          <w:color w:val="000000"/>
          <w:sz w:val="17"/>
          <w:szCs w:val="17"/>
        </w:rPr>
      </w:pPr>
      <w:r w:rsidRPr="00D040DB">
        <w:lastRenderedPageBreak/>
        <w:t>reconociendo</w:t>
      </w:r>
      <w:r w:rsidRPr="00D040DB">
        <w:rPr>
          <w:rFonts w:ascii="GNNFF D+ Times New Roman PSMT" w:hAnsi="GNNFF D+ Times New Roman PSMT" w:cs="GNNFF D+ Times New Roman PSMT"/>
          <w:i w:val="0"/>
          <w:iCs/>
          <w:color w:val="000000"/>
          <w:sz w:val="17"/>
          <w:szCs w:val="17"/>
        </w:rPr>
        <w:t xml:space="preserve"> </w:t>
      </w:r>
    </w:p>
    <w:p w:rsidR="002D32B4" w:rsidRPr="00D040DB" w:rsidRDefault="002D32B4" w:rsidP="00530A32">
      <w:r w:rsidRPr="00D040DB">
        <w:rPr>
          <w:rFonts w:ascii="GNNFF D+ Times New Roman PSMT" w:hAnsi="GNNFF D+ Times New Roman PSMT" w:cs="GNNFF D+ Times New Roman PSMT"/>
          <w:i/>
          <w:iCs/>
        </w:rPr>
        <w:t>a)</w:t>
      </w:r>
      <w:r w:rsidRPr="00D040DB">
        <w:rPr>
          <w:rFonts w:ascii="GNNFF D+ Times New Roman PSMT" w:hAnsi="GNNFF D+ Times New Roman PSMT" w:cs="GNNFF D+ Times New Roman PSMT"/>
          <w:i/>
          <w:iCs/>
        </w:rPr>
        <w:tab/>
      </w:r>
      <w:r w:rsidRPr="00D040DB">
        <w:t>que la CMR-</w:t>
      </w:r>
      <w:r w:rsidR="00DF44AF" w:rsidRPr="00D040DB">
        <w:t>15</w:t>
      </w:r>
      <w:r w:rsidRPr="00D040DB">
        <w:t xml:space="preserve"> ha identificado varias cuestiones urgentes que requieren que la CMR-</w:t>
      </w:r>
      <w:r w:rsidR="00DF44AF" w:rsidRPr="00D040DB">
        <w:t>19</w:t>
      </w:r>
      <w:r w:rsidRPr="00D040DB">
        <w:t xml:space="preserve"> prosiga su examen; </w:t>
      </w:r>
    </w:p>
    <w:p w:rsidR="002D32B4" w:rsidRPr="00D040DB" w:rsidRDefault="002D32B4" w:rsidP="00530A32">
      <w:r w:rsidRPr="00D040DB">
        <w:rPr>
          <w:rFonts w:ascii="GNNFF D+ Times New Roman PSMT" w:hAnsi="GNNFF D+ Times New Roman PSMT" w:cs="GNNFF D+ Times New Roman PSMT"/>
          <w:i/>
          <w:iCs/>
        </w:rPr>
        <w:t>b)</w:t>
      </w:r>
      <w:r w:rsidRPr="00D040DB">
        <w:rPr>
          <w:rFonts w:ascii="GNNFF D+ Times New Roman PSMT" w:hAnsi="GNNFF D+ Times New Roman PSMT" w:cs="GNNFF D+ Times New Roman PSMT"/>
          <w:i/>
          <w:iCs/>
        </w:rPr>
        <w:tab/>
      </w:r>
      <w:r w:rsidRPr="00D040DB">
        <w:t xml:space="preserve">que, al preparar el presente orden del día, algunos de los puntos propuestos por las administraciones no pudieron incluirse, debiendo posponerse para órdenes del día de futuras conferencias, </w:t>
      </w:r>
    </w:p>
    <w:p w:rsidR="002D32B4" w:rsidRPr="00D040DB" w:rsidRDefault="002D32B4" w:rsidP="00530A32">
      <w:pPr>
        <w:pStyle w:val="Call"/>
        <w:rPr>
          <w:rFonts w:ascii="GNNFF D+ Times New Roman PSMT" w:hAnsi="GNNFF D+ Times New Roman PSMT" w:cs="GNNFF D+ Times New Roman PSMT"/>
          <w:color w:val="000000"/>
          <w:sz w:val="17"/>
          <w:szCs w:val="17"/>
        </w:rPr>
      </w:pPr>
      <w:r w:rsidRPr="00D040DB">
        <w:t>resuelve</w:t>
      </w:r>
    </w:p>
    <w:p w:rsidR="002D32B4" w:rsidRPr="00D040DB" w:rsidRDefault="002D32B4" w:rsidP="002D11FB">
      <w:r w:rsidRPr="00D040DB">
        <w:t>recomendar al Consejo la celebración de una Conferencia Mundial de Radiocomunicaciones en</w:t>
      </w:r>
      <w:r w:rsidR="002D11FB">
        <w:t> </w:t>
      </w:r>
      <w:r w:rsidR="00DF44AF" w:rsidRPr="00D040DB">
        <w:t>2019</w:t>
      </w:r>
      <w:r w:rsidRPr="00D040DB">
        <w:t xml:space="preserve"> con una duración máxima de cuatro semanas, y el siguiente orden del día: </w:t>
      </w:r>
    </w:p>
    <w:p w:rsidR="002D32B4" w:rsidRPr="00D040DB" w:rsidRDefault="002D32B4" w:rsidP="00530A32">
      <w:r w:rsidRPr="00D040DB">
        <w:t>1</w:t>
      </w:r>
      <w:r w:rsidRPr="00D040DB">
        <w:tab/>
        <w:t>sobre la base de las propuestas de las administraciones, teniendo en cuenta los resultados de la CMR-</w:t>
      </w:r>
      <w:r w:rsidR="00DF44AF" w:rsidRPr="00D040DB">
        <w:t>15</w:t>
      </w:r>
      <w:r w:rsidRPr="00D040DB">
        <w:t xml:space="preserve"> y del Informe de la Reunión Preparatoria de la Conferencia, y con la debida consideración a las necesidades de servicios existentes y futuros en las bandas consideradas, examinar y adoptar las medidas oportunas en relación con los temas siguientes:</w:t>
      </w:r>
    </w:p>
    <w:p w:rsidR="002771BE" w:rsidRPr="00D040DB" w:rsidRDefault="002771BE" w:rsidP="00530A32">
      <w:pPr>
        <w:pStyle w:val="Reasons"/>
      </w:pPr>
    </w:p>
    <w:p w:rsidR="002771BE" w:rsidRPr="00D040DB" w:rsidRDefault="00C10031" w:rsidP="00530A32">
      <w:pPr>
        <w:pStyle w:val="Proposal"/>
      </w:pPr>
      <w:r w:rsidRPr="00D040DB">
        <w:t>ADD</w:t>
      </w:r>
      <w:r w:rsidRPr="00D040DB">
        <w:tab/>
        <w:t>IND/107A24/5</w:t>
      </w:r>
    </w:p>
    <w:p w:rsidR="002771BE" w:rsidRPr="00D040DB" w:rsidRDefault="00253128" w:rsidP="00530A32">
      <w:r w:rsidRPr="00D040DB">
        <w:t>1.1</w:t>
      </w:r>
      <w:r w:rsidRPr="00D040DB">
        <w:tab/>
        <w:t xml:space="preserve">considerar la identificación de bandas de frecuencias para las IMT, incluidas posibles atribuciones adicionales al servicio móvil a título primario, de conformidad con la Resolución </w:t>
      </w:r>
      <w:r w:rsidRPr="00D040DB">
        <w:rPr>
          <w:rFonts w:eastAsia="SimSun"/>
          <w:b/>
          <w:bCs/>
          <w:lang w:eastAsia="zh-CN"/>
        </w:rPr>
        <w:t>[IND-B10- IMT_ABOVE_6GHz] (</w:t>
      </w:r>
      <w:r w:rsidR="00EB02CF" w:rsidRPr="00D040DB">
        <w:rPr>
          <w:rFonts w:eastAsia="SimSun"/>
          <w:b/>
          <w:bCs/>
          <w:lang w:eastAsia="zh-CN"/>
        </w:rPr>
        <w:t>CMR</w:t>
      </w:r>
      <w:r w:rsidRPr="00D040DB">
        <w:rPr>
          <w:rFonts w:eastAsia="SimSun"/>
          <w:b/>
          <w:bCs/>
          <w:lang w:eastAsia="zh-CN"/>
        </w:rPr>
        <w:t>-15)</w:t>
      </w:r>
      <w:r w:rsidRPr="00D040DB">
        <w:rPr>
          <w:rFonts w:eastAsia="MS Mincho"/>
          <w:b/>
          <w:lang w:eastAsia="ja-JP"/>
        </w:rPr>
        <w:t xml:space="preserve"> </w:t>
      </w:r>
      <w:r w:rsidRPr="00D040DB">
        <w:rPr>
          <w:rFonts w:eastAsia="MS Mincho"/>
          <w:bCs/>
          <w:lang w:eastAsia="ja-JP"/>
        </w:rPr>
        <w:t>(</w:t>
      </w:r>
      <w:r w:rsidR="00EB02CF" w:rsidRPr="00D040DB">
        <w:rPr>
          <w:rFonts w:eastAsia="MS Mincho"/>
          <w:bCs/>
          <w:lang w:eastAsia="ja-JP"/>
        </w:rPr>
        <w:t xml:space="preserve">Adjunto </w:t>
      </w:r>
      <w:r w:rsidRPr="00D040DB">
        <w:rPr>
          <w:rFonts w:eastAsia="MS Mincho"/>
          <w:bCs/>
          <w:lang w:eastAsia="ja-JP"/>
        </w:rPr>
        <w:t>1)</w:t>
      </w:r>
      <w:r w:rsidRPr="00D040DB">
        <w:rPr>
          <w:rFonts w:eastAsia="SimSun"/>
          <w:lang w:eastAsia="zh-CN"/>
        </w:rPr>
        <w:t>;</w:t>
      </w:r>
    </w:p>
    <w:p w:rsidR="002771BE" w:rsidRPr="00D040DB" w:rsidRDefault="002771BE" w:rsidP="00530A32">
      <w:pPr>
        <w:pStyle w:val="Reasons"/>
      </w:pPr>
    </w:p>
    <w:p w:rsidR="002771BE" w:rsidRPr="00D040DB" w:rsidRDefault="00C10031" w:rsidP="00530A32">
      <w:pPr>
        <w:pStyle w:val="Proposal"/>
      </w:pPr>
      <w:r w:rsidRPr="00D040DB">
        <w:t>ADD</w:t>
      </w:r>
      <w:r w:rsidRPr="00D040DB">
        <w:tab/>
        <w:t>IND/107A24/6</w:t>
      </w:r>
    </w:p>
    <w:p w:rsidR="002771BE" w:rsidRPr="00D040DB" w:rsidRDefault="00FC316B" w:rsidP="00530A32">
      <w:r w:rsidRPr="00D040DB">
        <w:t>1.2</w:t>
      </w:r>
      <w:r w:rsidRPr="00D040DB">
        <w:tab/>
      </w:r>
      <w:r w:rsidR="00EB02CF" w:rsidRPr="00D040DB">
        <w:t xml:space="preserve">considerar la identificación de bandas de frecuencias para aplicaciones ICM, incluidas posibles atribuciones adicionales a equipos ICM a título primario alrededor de la banda de </w:t>
      </w:r>
      <w:r w:rsidRPr="00D040DB">
        <w:t xml:space="preserve">60 GHz </w:t>
      </w:r>
      <w:r w:rsidR="00EB02CF" w:rsidRPr="00D040DB">
        <w:t>y de bandas superiores</w:t>
      </w:r>
      <w:r w:rsidRPr="00D040DB">
        <w:t>;</w:t>
      </w:r>
    </w:p>
    <w:p w:rsidR="002771BE" w:rsidRPr="00D040DB" w:rsidRDefault="00FC316B" w:rsidP="00530A32">
      <w:pPr>
        <w:pStyle w:val="Reasons"/>
      </w:pPr>
      <w:r w:rsidRPr="00D040DB">
        <w:rPr>
          <w:b/>
          <w:bCs/>
        </w:rPr>
        <w:t>Motivos:</w:t>
      </w:r>
      <w:r w:rsidRPr="00D040DB">
        <w:rPr>
          <w:b/>
          <w:bCs/>
        </w:rPr>
        <w:tab/>
      </w:r>
      <w:r w:rsidR="00DA628C" w:rsidRPr="00D040DB">
        <w:t xml:space="preserve">La necesidad de </w:t>
      </w:r>
      <w:r w:rsidR="00EB02CF" w:rsidRPr="00D040DB">
        <w:t xml:space="preserve">aplicaciones de corto alcance y gran velocidad de datos por parte de los ciudadanos con distintos fines, como redes de computadoras inalámbricas, comunicaciones de campo próximo o comunicaciones de máquina a máquina, entre otros, está aumentando exponencialmente. Por ese motivo, se necesitan atribuciones en bandas de frecuencia más altas, alrededor de 60 GHz y por encima de esta. Se sabe que algunos países ya han permitido en su territorio estas operaciones. Una atribución mundial </w:t>
      </w:r>
      <w:r w:rsidR="00597C12" w:rsidRPr="00D040DB">
        <w:t>permitiría seguir avanzando, así como unas economías de escala</w:t>
      </w:r>
      <w:r w:rsidRPr="00D040DB">
        <w:t>.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3</w:t>
      </w:r>
      <w:r w:rsidRPr="00D040DB">
        <w:rPr>
          <w:lang w:eastAsia="ja-JP"/>
        </w:rPr>
        <w:tab/>
        <w:t>examinar los cambios y las modificaciones consiguientes en el Reglamento de Radiocomunicaciones que exijan las decisiones de la Conferencia;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4</w:t>
      </w:r>
      <w:r w:rsidRPr="00D040DB">
        <w:rPr>
          <w:lang w:eastAsia="ja-JP"/>
        </w:rPr>
        <w:tab/>
        <w:t xml:space="preserve">de conformidad con la Resolución </w:t>
      </w:r>
      <w:r w:rsidRPr="00D040DB">
        <w:rPr>
          <w:b/>
          <w:bCs/>
          <w:lang w:eastAsia="ja-JP"/>
        </w:rPr>
        <w:t>95 (Rev.CMR-07)</w:t>
      </w:r>
      <w:r w:rsidRPr="00D040DB">
        <w:rPr>
          <w:lang w:eastAsia="ja-JP"/>
        </w:rPr>
        <w:t>, considerar las Resoluciones y Recomendaciones de las conferencias anteriores para su posible revisión, sustitución o supresión;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5</w:t>
      </w:r>
      <w:r w:rsidRPr="00D040DB">
        <w:rPr>
          <w:lang w:eastAsia="ja-JP"/>
        </w:rPr>
        <w:tab/>
        <w:t>examinar el Informe de la Asamblea de Radiocomunicaciones presentado de acuerdo con los números 135 y 136 del Convenio, y tomar las medidas adecuadas al respecto;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6</w:t>
      </w:r>
      <w:r w:rsidRPr="00D040DB">
        <w:rPr>
          <w:lang w:eastAsia="ja-JP"/>
        </w:rPr>
        <w:tab/>
        <w:t>identificar los temas que exigen medidas urgentes por parte de las Comisiones de Estudio de Radiocomunicaciones para la preparación de la próxima Conferencia Mundial de Radiocomunicaciones;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7</w:t>
      </w:r>
      <w:r w:rsidRPr="00D040DB">
        <w:rPr>
          <w:lang w:eastAsia="ja-JP"/>
        </w:rPr>
        <w:tab/>
        <w:t xml:space="preserve">considerar posibles modificaciones y otras opciones como consecuencia de la Resolución 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D040DB">
        <w:rPr>
          <w:b/>
          <w:bCs/>
          <w:lang w:eastAsia="ja-JP"/>
        </w:rPr>
        <w:t>86</w:t>
      </w:r>
      <w:r w:rsidRPr="00D040DB">
        <w:rPr>
          <w:lang w:eastAsia="ja-JP"/>
        </w:rPr>
        <w:t xml:space="preserve"> </w:t>
      </w:r>
      <w:r w:rsidRPr="00D040DB">
        <w:rPr>
          <w:b/>
          <w:bCs/>
          <w:lang w:eastAsia="ja-JP"/>
        </w:rPr>
        <w:t>(Rev.CMR-07)</w:t>
      </w:r>
      <w:r w:rsidRPr="00D040DB">
        <w:rPr>
          <w:lang w:eastAsia="ja-JP"/>
        </w:rPr>
        <w:t xml:space="preserve">, para </w:t>
      </w:r>
      <w:r w:rsidRPr="00D040DB">
        <w:rPr>
          <w:lang w:eastAsia="ja-JP"/>
        </w:rPr>
        <w:lastRenderedPageBreak/>
        <w:t>facilitar la utilización racional, eficaz y económica de las frecuencias radioeléctricas y toda órbita asociada, incluida la órbita de satélites geoestacionarios;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8</w:t>
      </w:r>
      <w:r w:rsidRPr="00D040DB">
        <w:rPr>
          <w:lang w:eastAsia="ja-JP"/>
        </w:rPr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D040DB">
        <w:rPr>
          <w:b/>
          <w:bCs/>
          <w:lang w:eastAsia="ja-JP"/>
        </w:rPr>
        <w:t>26</w:t>
      </w:r>
      <w:r w:rsidRPr="00D040DB">
        <w:rPr>
          <w:lang w:eastAsia="ja-JP"/>
        </w:rPr>
        <w:t xml:space="preserve"> </w:t>
      </w:r>
      <w:r w:rsidRPr="00D040DB">
        <w:rPr>
          <w:b/>
          <w:bCs/>
          <w:lang w:eastAsia="ja-JP"/>
        </w:rPr>
        <w:t>(Rev.CMR-07)</w:t>
      </w:r>
      <w:r w:rsidRPr="00D040DB">
        <w:rPr>
          <w:lang w:eastAsia="ja-JP"/>
        </w:rPr>
        <w:t>, y adoptar las medidas oportunas al respecto;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9</w:t>
      </w:r>
      <w:r w:rsidRPr="00D040DB">
        <w:rPr>
          <w:lang w:eastAsia="ja-JP"/>
        </w:rPr>
        <w:tab/>
        <w:t>examinar y aprobar el Informe del Director de la Oficina de Radiocomunicaciones, de conformidad con el Articulo 7 del Convenio: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9.1</w:t>
      </w:r>
      <w:r w:rsidRPr="00D040DB">
        <w:rPr>
          <w:lang w:eastAsia="ja-JP"/>
        </w:rPr>
        <w:tab/>
        <w:t>sobre las actividades del Sector de Radiocomunicaciones desde la CMR-15;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9.2</w:t>
      </w:r>
      <w:r w:rsidRPr="00D040DB">
        <w:rPr>
          <w:lang w:eastAsia="ja-JP"/>
        </w:rPr>
        <w:tab/>
        <w:t>sobre las dificultades o incoherencias observadas en la aplicación del Reglamento de Radiocomunicaciones; y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9.3</w:t>
      </w:r>
      <w:r w:rsidRPr="00D040DB">
        <w:rPr>
          <w:lang w:eastAsia="ja-JP"/>
        </w:rPr>
        <w:tab/>
        <w:t xml:space="preserve">sobre medidas en respuesta a la Resolución </w:t>
      </w:r>
      <w:r w:rsidRPr="00D040DB">
        <w:rPr>
          <w:b/>
          <w:bCs/>
          <w:lang w:eastAsia="ja-JP"/>
        </w:rPr>
        <w:t>80</w:t>
      </w:r>
      <w:r w:rsidRPr="00D040DB">
        <w:rPr>
          <w:lang w:eastAsia="ja-JP"/>
        </w:rPr>
        <w:t xml:space="preserve"> </w:t>
      </w:r>
      <w:r w:rsidRPr="00D040DB">
        <w:rPr>
          <w:b/>
          <w:bCs/>
          <w:lang w:eastAsia="ja-JP"/>
        </w:rPr>
        <w:t>(Rev.CMR-07)</w:t>
      </w:r>
      <w:r w:rsidRPr="00D040DB">
        <w:rPr>
          <w:lang w:eastAsia="ja-JP"/>
        </w:rPr>
        <w:t>;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10</w:t>
      </w:r>
      <w:r w:rsidRPr="00D040DB">
        <w:rPr>
          <w:lang w:eastAsia="ja-JP"/>
        </w:rPr>
        <w:tab/>
        <w:t>recomendar al Consejo los puntos que han de incluirse en el orden del día de la próxima CMR, y formular opiniones sobre el orden del día preliminar de la conferencia subsiguiente y sobre los posibles órdenes del día de futuras conferencias, de conformidad con el Articulo 7 del Convenio,</w:t>
      </w:r>
    </w:p>
    <w:p w:rsidR="00ED0E17" w:rsidRPr="00D040DB" w:rsidRDefault="00ED0E17" w:rsidP="00530A32">
      <w:pPr>
        <w:pStyle w:val="Call"/>
      </w:pPr>
      <w:r w:rsidRPr="00D040DB">
        <w:t>resuelve además</w:t>
      </w:r>
    </w:p>
    <w:p w:rsidR="00ED0E17" w:rsidRPr="00D040DB" w:rsidRDefault="00ED0E17" w:rsidP="00530A32">
      <w:r w:rsidRPr="00D040DB">
        <w:t>poner en funcionamiento la Reunión Preparatoria de la Conferencia,</w:t>
      </w:r>
    </w:p>
    <w:p w:rsidR="00ED0E17" w:rsidRPr="00D040DB" w:rsidRDefault="00ED0E17" w:rsidP="00530A32">
      <w:pPr>
        <w:pStyle w:val="Call"/>
      </w:pPr>
      <w:r w:rsidRPr="00D040DB">
        <w:t>invita al Consejo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a que ultime el orden del día y tome las disposiciones necesarias para convocar la CMR-19, y a que inicie a la mayor brevedad posible las consultas necesarias con los Estados Miembros,</w:t>
      </w:r>
    </w:p>
    <w:p w:rsidR="00ED0E17" w:rsidRPr="00D040DB" w:rsidRDefault="00ED0E17" w:rsidP="00530A32">
      <w:pPr>
        <w:pStyle w:val="Call"/>
      </w:pPr>
      <w:r w:rsidRPr="00D040DB">
        <w:t>encarga al Director de la Oficina de Radiocomunicaciones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que tome las medidas necesarias para convocar las sesiones de la Reunión Preparatoria de la Conferencia y elabore un informe a la CMR-19,</w:t>
      </w:r>
    </w:p>
    <w:p w:rsidR="00ED0E17" w:rsidRPr="00D040DB" w:rsidRDefault="00ED0E17" w:rsidP="00530A32">
      <w:pPr>
        <w:pStyle w:val="Call"/>
      </w:pPr>
      <w:r w:rsidRPr="00D040DB">
        <w:t>encarga al Secretario General</w:t>
      </w:r>
    </w:p>
    <w:p w:rsidR="00ED0E17" w:rsidRPr="00D040DB" w:rsidRDefault="00ED0E17" w:rsidP="00530A32">
      <w:pPr>
        <w:rPr>
          <w:lang w:eastAsia="ja-JP"/>
        </w:rPr>
      </w:pPr>
      <w:r w:rsidRPr="00D040DB">
        <w:rPr>
          <w:lang w:eastAsia="ja-JP"/>
        </w:rPr>
        <w:t>que comunique la presente Resolución a las organizaciones internacionales y regionales interesadas.</w:t>
      </w:r>
    </w:p>
    <w:p w:rsidR="00ED0E17" w:rsidRPr="00D040DB" w:rsidRDefault="00ED0E17" w:rsidP="00530A32">
      <w:pPr>
        <w:pStyle w:val="Reasons"/>
      </w:pPr>
    </w:p>
    <w:p w:rsidR="00DB7181" w:rsidRPr="00D040DB" w:rsidRDefault="00DB718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040DB">
        <w:br w:type="page"/>
      </w:r>
    </w:p>
    <w:p w:rsidR="00DB7181" w:rsidRPr="00D040DB" w:rsidRDefault="00D040DB" w:rsidP="00DB7181">
      <w:pPr>
        <w:pStyle w:val="AnnexNo"/>
      </w:pPr>
      <w:r>
        <w:lastRenderedPageBreak/>
        <w:t>ADJUNTO</w:t>
      </w:r>
      <w:r w:rsidR="00DB7181" w:rsidRPr="00D040DB">
        <w:t xml:space="preserve"> 1</w:t>
      </w:r>
    </w:p>
    <w:p w:rsidR="002771BE" w:rsidRPr="00D040DB" w:rsidRDefault="00C10031" w:rsidP="00530A32">
      <w:pPr>
        <w:pStyle w:val="Proposal"/>
      </w:pPr>
      <w:r w:rsidRPr="00D040DB">
        <w:t>ADD</w:t>
      </w:r>
      <w:r w:rsidRPr="00D040DB">
        <w:tab/>
        <w:t>IND/107A24/7</w:t>
      </w:r>
    </w:p>
    <w:p w:rsidR="002771BE" w:rsidRPr="00D040DB" w:rsidRDefault="00C10031" w:rsidP="00530A32">
      <w:pPr>
        <w:pStyle w:val="ResNo"/>
      </w:pPr>
      <w:r w:rsidRPr="00D040DB">
        <w:t>Proyecto de nueva Resolución [IND-B10-IMT_ABOVE_6GHz]</w:t>
      </w:r>
    </w:p>
    <w:p w:rsidR="0009478B" w:rsidRPr="00D040DB" w:rsidRDefault="0009478B" w:rsidP="00530A32">
      <w:pPr>
        <w:pStyle w:val="Restitle"/>
        <w:rPr>
          <w:lang w:eastAsia="ja-JP"/>
        </w:rPr>
      </w:pPr>
      <w:r w:rsidRPr="00D040DB">
        <w:rPr>
          <w:lang w:eastAsia="ja-JP"/>
        </w:rPr>
        <w:t xml:space="preserve">Estudios sobre asuntos relacionados con las frecuencias para la identificación de las IMT, incluidas posibles atribuciones adicionales al servicio móvil a título primario en partes de la gama de frecuencias comprendida </w:t>
      </w:r>
      <w:r w:rsidRPr="00D040DB">
        <w:rPr>
          <w:lang w:eastAsia="ja-JP"/>
        </w:rPr>
        <w:br/>
        <w:t xml:space="preserve">entre 25,25 y 86 GHz con miras al futuro desarrollo de las IMT </w:t>
      </w:r>
      <w:r w:rsidRPr="00D040DB">
        <w:rPr>
          <w:lang w:eastAsia="ja-JP"/>
        </w:rPr>
        <w:br/>
        <w:t xml:space="preserve">para 2020 y años posteriores </w:t>
      </w:r>
    </w:p>
    <w:p w:rsidR="0009478B" w:rsidRPr="00D040DB" w:rsidRDefault="0009478B" w:rsidP="00530A32">
      <w:pPr>
        <w:pStyle w:val="Normalaftertitle"/>
        <w:rPr>
          <w:lang w:eastAsia="nl-NL"/>
        </w:rPr>
      </w:pPr>
      <w:r w:rsidRPr="00D040DB">
        <w:t>La Conferencia Mundial de Radiocomunicaciones (Ginebra, 2015),</w:t>
      </w:r>
    </w:p>
    <w:p w:rsidR="0009478B" w:rsidRPr="00D040DB" w:rsidRDefault="0009478B" w:rsidP="00530A32">
      <w:pPr>
        <w:pStyle w:val="Call"/>
      </w:pPr>
      <w:r w:rsidRPr="00D040DB">
        <w:t>considerando</w:t>
      </w:r>
    </w:p>
    <w:p w:rsidR="0009478B" w:rsidRPr="00D040DB" w:rsidRDefault="0009478B" w:rsidP="00530A32">
      <w:pPr>
        <w:rPr>
          <w:lang w:eastAsia="ko-KR"/>
        </w:rPr>
      </w:pPr>
      <w:r w:rsidRPr="00D040DB">
        <w:rPr>
          <w:i/>
          <w:lang w:eastAsia="ko-KR"/>
        </w:rPr>
        <w:t>a</w:t>
      </w:r>
      <w:r w:rsidRPr="00D040DB">
        <w:rPr>
          <w:i/>
        </w:rPr>
        <w:t>)</w:t>
      </w:r>
      <w:r w:rsidRPr="00D040DB">
        <w:rPr>
          <w:i/>
        </w:rPr>
        <w:tab/>
      </w:r>
      <w:r w:rsidRPr="00D040DB">
        <w:rPr>
          <w:lang w:eastAsia="ko-KR"/>
        </w:rPr>
        <w:t>que los sistemas de telecomunicaciones móviles internacionales (IMT) contribuyeron al desarrollo socioeconómico mundial ya que han constituido la forma principal de ofrecer aplicaciones móviles de banda ancha;</w:t>
      </w:r>
    </w:p>
    <w:p w:rsidR="0009478B" w:rsidRPr="00D040DB" w:rsidRDefault="0009478B" w:rsidP="00530A32">
      <w:pPr>
        <w:rPr>
          <w:lang w:eastAsia="ko-KR"/>
        </w:rPr>
      </w:pPr>
      <w:r w:rsidRPr="00D040DB">
        <w:rPr>
          <w:i/>
          <w:iCs/>
          <w:lang w:eastAsia="ko-KR"/>
        </w:rPr>
        <w:t>b</w:t>
      </w:r>
      <w:r w:rsidRPr="00D040DB">
        <w:rPr>
          <w:i/>
          <w:iCs/>
        </w:rPr>
        <w:t>)</w:t>
      </w:r>
      <w:r w:rsidRPr="00D040DB">
        <w:tab/>
      </w:r>
      <w:r w:rsidRPr="00D040DB">
        <w:rPr>
          <w:lang w:eastAsia="ko-KR"/>
        </w:rPr>
        <w:t xml:space="preserve">que los sistemas IMT están evolucionado para proponer diversas posibilidades de utilización y aplicaciones como las comunicaciones móviles de banda ancha mejoradas, las comunicaciones masivas tipo máquina y las comunicaciones ultrafiables y de baja latencia; </w:t>
      </w:r>
    </w:p>
    <w:p w:rsidR="0009478B" w:rsidRPr="00D040DB" w:rsidRDefault="0009478B" w:rsidP="00530A32">
      <w:pPr>
        <w:rPr>
          <w:lang w:eastAsia="ko-KR"/>
        </w:rPr>
      </w:pPr>
      <w:r w:rsidRPr="00D040DB">
        <w:rPr>
          <w:i/>
          <w:lang w:eastAsia="ko-KR"/>
        </w:rPr>
        <w:t>c</w:t>
      </w:r>
      <w:r w:rsidRPr="00D040DB">
        <w:rPr>
          <w:i/>
        </w:rPr>
        <w:t>)</w:t>
      </w:r>
      <w:r w:rsidRPr="00D040DB">
        <w:tab/>
      </w:r>
      <w:r w:rsidRPr="00D040DB">
        <w:rPr>
          <w:lang w:eastAsia="ko-KR"/>
        </w:rPr>
        <w:t>que el UIT-R examinó el marco y los objetivos generales del futuro desarrollo de las IMT para 2020 y años posteriores en la Recomendación UIT-R M.2083 permitiendo velocidades de datos de usuario de gigabits por segundo y una elevada calidad percibida por el usuario proporcionada por un gran ancho de banda contigua en bandas de frecuencias por encima de 6 GHz;</w:t>
      </w:r>
    </w:p>
    <w:p w:rsidR="0009478B" w:rsidRPr="00D040DB" w:rsidRDefault="0009478B" w:rsidP="00530A32">
      <w:pPr>
        <w:rPr>
          <w:rFonts w:eastAsia="Malgun Gothic"/>
          <w:lang w:eastAsia="ko-KR"/>
        </w:rPr>
      </w:pPr>
      <w:r w:rsidRPr="00D040DB">
        <w:rPr>
          <w:i/>
          <w:lang w:eastAsia="ko-KR"/>
        </w:rPr>
        <w:t>d)</w:t>
      </w:r>
      <w:r w:rsidRPr="00D040DB">
        <w:rPr>
          <w:lang w:eastAsia="ko-KR"/>
        </w:rPr>
        <w:tab/>
        <w:t xml:space="preserve">que en el </w:t>
      </w:r>
      <w:r w:rsidRPr="00D040DB">
        <w:rPr>
          <w:rFonts w:eastAsia="Malgun Gothic"/>
          <w:lang w:eastAsia="ko-KR"/>
        </w:rPr>
        <w:t>Informe UIT-R M.2376 se examina la viabilidad técnica de las IMT en las bandas por encima de 6 GHz;</w:t>
      </w:r>
    </w:p>
    <w:p w:rsidR="0009478B" w:rsidRPr="00D040DB" w:rsidRDefault="0009478B" w:rsidP="00530A32">
      <w:pPr>
        <w:rPr>
          <w:lang w:eastAsia="ko-KR"/>
        </w:rPr>
      </w:pPr>
      <w:r w:rsidRPr="00D040DB">
        <w:rPr>
          <w:i/>
          <w:lang w:eastAsia="ko-KR"/>
        </w:rPr>
        <w:t>e)</w:t>
      </w:r>
      <w:r w:rsidRPr="00D040DB">
        <w:rPr>
          <w:lang w:eastAsia="ko-KR"/>
        </w:rPr>
        <w:tab/>
        <w:t>que tal vez sea necesario examinar nuevas necesidades en materia de espectro para responder a velocidades de datos de usuario de gigabits por segundo, a una elevada calidad percibida por el usuario y a sus demandas en zonas urbanas de gran densidad y/o en horas punta;</w:t>
      </w:r>
    </w:p>
    <w:p w:rsidR="0009478B" w:rsidRPr="00D040DB" w:rsidRDefault="0009478B" w:rsidP="00530A32">
      <w:pPr>
        <w:rPr>
          <w:lang w:eastAsia="ja-JP"/>
        </w:rPr>
      </w:pPr>
      <w:r w:rsidRPr="00D040DB">
        <w:rPr>
          <w:i/>
          <w:lang w:eastAsia="ko-KR"/>
        </w:rPr>
        <w:t>f</w:t>
      </w:r>
      <w:r w:rsidRPr="00D040DB">
        <w:rPr>
          <w:i/>
          <w:lang w:eastAsia="ja-JP"/>
        </w:rPr>
        <w:t>)</w:t>
      </w:r>
      <w:r w:rsidRPr="00D040DB">
        <w:rPr>
          <w:lang w:eastAsia="ja-JP"/>
        </w:rPr>
        <w:tab/>
        <w:t xml:space="preserve">que el UIT-R ha elaborado un plan de trabajo, un calendario y un proceso en relación con el desarrollo de las IMT-2020, así como los resultados que deben obtenerse, con objeto de convertir el marco y los objetivos generales indicados en la realidad de los sistemas IMT, cuya implantación está prevista a partir de 2020; </w:t>
      </w:r>
    </w:p>
    <w:p w:rsidR="0009478B" w:rsidRPr="00D040DB" w:rsidRDefault="0009478B" w:rsidP="002D11FB">
      <w:pPr>
        <w:rPr>
          <w:rFonts w:eastAsia="Malgun Gothic"/>
          <w:lang w:eastAsia="ko-KR"/>
        </w:rPr>
      </w:pPr>
      <w:r w:rsidRPr="00D040DB">
        <w:rPr>
          <w:i/>
          <w:lang w:eastAsia="ko-KR"/>
        </w:rPr>
        <w:t>g)</w:t>
      </w:r>
      <w:r w:rsidRPr="00D040DB">
        <w:rPr>
          <w:lang w:eastAsia="ko-KR"/>
        </w:rPr>
        <w:tab/>
      </w:r>
      <w:r w:rsidRPr="00D040DB">
        <w:rPr>
          <w:rFonts w:eastAsia="Malgun Gothic"/>
          <w:lang w:eastAsia="ko-KR"/>
        </w:rPr>
        <w:t>que el UIT-R ha iniciado los estudios sobre las características de propagación en frecuencias por encima de 6 GHz;</w:t>
      </w:r>
    </w:p>
    <w:p w:rsidR="0009478B" w:rsidRPr="00D040DB" w:rsidRDefault="0009478B" w:rsidP="002D11FB">
      <w:pPr>
        <w:rPr>
          <w:rFonts w:eastAsia="Malgun Gothic"/>
          <w:lang w:eastAsia="ko-KR"/>
        </w:rPr>
      </w:pPr>
      <w:r w:rsidRPr="00D040DB">
        <w:rPr>
          <w:i/>
          <w:lang w:eastAsia="ko-KR"/>
        </w:rPr>
        <w:t>h</w:t>
      </w:r>
      <w:r w:rsidRPr="00D040DB">
        <w:rPr>
          <w:i/>
        </w:rPr>
        <w:t>)</w:t>
      </w:r>
      <w:r w:rsidRPr="00D040DB">
        <w:rPr>
          <w:rFonts w:eastAsia="Malgun Gothic"/>
        </w:rPr>
        <w:tab/>
        <w:t>que el UIT-T ha iniciado el estudio de normalización de la red con miras a las IMT para</w:t>
      </w:r>
      <w:r w:rsidR="002D11FB">
        <w:rPr>
          <w:rFonts w:eastAsia="Malgun Gothic"/>
        </w:rPr>
        <w:t> </w:t>
      </w:r>
      <w:r w:rsidRPr="00D040DB">
        <w:rPr>
          <w:rFonts w:eastAsia="Malgun Gothic"/>
        </w:rPr>
        <w:t>2020 y años posteriores;</w:t>
      </w:r>
    </w:p>
    <w:p w:rsidR="0009478B" w:rsidRPr="00D040DB" w:rsidRDefault="002D11FB" w:rsidP="00530A32">
      <w:r>
        <w:rPr>
          <w:i/>
          <w:lang w:eastAsia="ko-KR"/>
        </w:rPr>
        <w:t>i</w:t>
      </w:r>
      <w:r w:rsidR="0009478B" w:rsidRPr="00D040DB">
        <w:rPr>
          <w:i/>
        </w:rPr>
        <w:t>)</w:t>
      </w:r>
      <w:r w:rsidR="0009478B" w:rsidRPr="00D040DB">
        <w:rPr>
          <w:i/>
        </w:rPr>
        <w:tab/>
      </w:r>
      <w:r w:rsidR="0009478B" w:rsidRPr="00D040DB">
        <w:t>que la adecuada y oportuna disponibilidad de espectro y de disposiciones reglamentarias pertinentes resulta indispensable para cumplir los objetivos descritos en la Recomendación UIT</w:t>
      </w:r>
      <w:r w:rsidR="0009478B" w:rsidRPr="00D040DB">
        <w:noBreakHyphen/>
        <w:t>R </w:t>
      </w:r>
      <w:r w:rsidR="0009478B" w:rsidRPr="00D040DB">
        <w:rPr>
          <w:lang w:eastAsia="ko-KR"/>
        </w:rPr>
        <w:t>M.2083</w:t>
      </w:r>
      <w:r w:rsidR="0009478B" w:rsidRPr="00D040DB">
        <w:t>;</w:t>
      </w:r>
    </w:p>
    <w:p w:rsidR="0009478B" w:rsidRPr="00D040DB" w:rsidRDefault="002D11FB" w:rsidP="00530A32">
      <w:pPr>
        <w:rPr>
          <w:lang w:eastAsia="ko-KR"/>
        </w:rPr>
      </w:pPr>
      <w:r>
        <w:rPr>
          <w:i/>
          <w:color w:val="000000" w:themeColor="text1"/>
          <w:lang w:eastAsia="ko-KR"/>
        </w:rPr>
        <w:t>j</w:t>
      </w:r>
      <w:r w:rsidR="0009478B" w:rsidRPr="00D040DB">
        <w:rPr>
          <w:i/>
          <w:color w:val="000000" w:themeColor="text1"/>
        </w:rPr>
        <w:t>)</w:t>
      </w:r>
      <w:r w:rsidR="0009478B" w:rsidRPr="00D040DB">
        <w:rPr>
          <w:i/>
          <w:color w:val="000000" w:themeColor="text1"/>
        </w:rPr>
        <w:tab/>
      </w:r>
      <w:r w:rsidR="0009478B" w:rsidRPr="00D040DB">
        <w:rPr>
          <w:lang w:eastAsia="ko-KR"/>
        </w:rPr>
        <w:t>que la armonización mundial de las bandas y de la disposición de frecuencias para las IMT resulta muy conveniente para lograr la itinerancia mundial y obtener los beneficios que suponen las economías de escala;</w:t>
      </w:r>
    </w:p>
    <w:p w:rsidR="0009478B" w:rsidRPr="00D040DB" w:rsidRDefault="002D11FB" w:rsidP="002D11FB">
      <w:pPr>
        <w:rPr>
          <w:lang w:eastAsia="ko-KR"/>
        </w:rPr>
      </w:pPr>
      <w:r w:rsidRPr="002D11FB">
        <w:rPr>
          <w:i/>
          <w:iCs/>
          <w:lang w:eastAsia="ko-KR"/>
        </w:rPr>
        <w:lastRenderedPageBreak/>
        <w:t>k</w:t>
      </w:r>
      <w:r w:rsidR="0009478B" w:rsidRPr="002D11FB">
        <w:rPr>
          <w:i/>
          <w:iCs/>
          <w:lang w:eastAsia="ko-KR"/>
        </w:rPr>
        <w:t>)</w:t>
      </w:r>
      <w:r w:rsidR="0009478B" w:rsidRPr="00D040DB">
        <w:rPr>
          <w:lang w:eastAsia="ko-KR"/>
        </w:rPr>
        <w:tab/>
        <w:t>la necesidad de proteger los servicios existentes a la hora de considerar estas bandas de frecuencias para posibles atribuciones adicionales a otros servicios</w:t>
      </w:r>
      <w:r>
        <w:rPr>
          <w:lang w:eastAsia="ko-KR"/>
        </w:rPr>
        <w:t>,</w:t>
      </w:r>
    </w:p>
    <w:p w:rsidR="0009478B" w:rsidRPr="00D040DB" w:rsidRDefault="0009478B" w:rsidP="00530A32">
      <w:pPr>
        <w:pStyle w:val="Call"/>
      </w:pPr>
      <w:r w:rsidRPr="00D040DB">
        <w:t>observando</w:t>
      </w:r>
    </w:p>
    <w:p w:rsidR="0009478B" w:rsidRPr="00D040DB" w:rsidRDefault="0009478B" w:rsidP="00530A32">
      <w:r w:rsidRPr="00D040DB">
        <w:rPr>
          <w:i/>
        </w:rPr>
        <w:t>a)</w:t>
      </w:r>
      <w:r w:rsidRPr="00D040DB">
        <w:tab/>
        <w:t>que la Cuestión UIT-R 229/5 pretende abordar el futuro desarrollo de las IMT;</w:t>
      </w:r>
    </w:p>
    <w:p w:rsidR="0009478B" w:rsidRPr="00D040DB" w:rsidRDefault="0009478B" w:rsidP="00530A32">
      <w:r w:rsidRPr="00D040DB">
        <w:rPr>
          <w:i/>
          <w:lang w:eastAsia="ja-JP"/>
        </w:rPr>
        <w:t>b</w:t>
      </w:r>
      <w:r w:rsidRPr="00D040DB">
        <w:rPr>
          <w:i/>
        </w:rPr>
        <w:t>)</w:t>
      </w:r>
      <w:r w:rsidRPr="00D040DB">
        <w:tab/>
        <w:t>que las Telecomunicaciones Móviles Internacionales (IMT) abarcan tanto las IMT-2000 como las IMT-Avanzadas de forma conjunta, como se describe en la Resolución UIT-R 56-2;</w:t>
      </w:r>
    </w:p>
    <w:p w:rsidR="0009478B" w:rsidRPr="00D040DB" w:rsidRDefault="0009478B" w:rsidP="00530A32">
      <w:pPr>
        <w:rPr>
          <w:lang w:eastAsia="ko-KR"/>
        </w:rPr>
      </w:pPr>
      <w:r w:rsidRPr="00D040DB">
        <w:rPr>
          <w:i/>
          <w:lang w:eastAsia="ja-JP"/>
        </w:rPr>
        <w:t>c</w:t>
      </w:r>
      <w:r w:rsidRPr="00D040DB">
        <w:rPr>
          <w:i/>
        </w:rPr>
        <w:t>)</w:t>
      </w:r>
      <w:r w:rsidRPr="00D040DB">
        <w:tab/>
        <w:t>que en la Resolución UIT-R [IMT.PRINCIPLES] se abordan los principios relativos al proceso de desarrollo</w:t>
      </w:r>
      <w:r w:rsidRPr="00D040DB">
        <w:rPr>
          <w:lang w:eastAsia="ja-JP"/>
        </w:rPr>
        <w:t xml:space="preserve"> de las IMT para 2020 y años posteriores, </w:t>
      </w:r>
    </w:p>
    <w:p w:rsidR="0009478B" w:rsidRPr="00D040DB" w:rsidRDefault="0009478B" w:rsidP="00530A32">
      <w:pPr>
        <w:pStyle w:val="Call"/>
      </w:pPr>
      <w:r w:rsidRPr="00D040DB">
        <w:t xml:space="preserve">reconociendo </w:t>
      </w:r>
    </w:p>
    <w:p w:rsidR="0009478B" w:rsidRPr="00D040DB" w:rsidRDefault="0009478B" w:rsidP="00530A32">
      <w:r w:rsidRPr="00D040DB">
        <w:rPr>
          <w:rFonts w:cs="Arial"/>
          <w:i/>
          <w:color w:val="000000" w:themeColor="text1"/>
        </w:rPr>
        <w:t>a)</w:t>
      </w:r>
      <w:r w:rsidRPr="00D040DB">
        <w:tab/>
        <w:t>que la disponibilidad de espectro a tiempo es de gran importancia para alcanzar el futuro desarrollo de las IMT;</w:t>
      </w:r>
    </w:p>
    <w:p w:rsidR="0009478B" w:rsidRPr="00D040DB" w:rsidRDefault="0009478B" w:rsidP="00530A32">
      <w:r w:rsidRPr="00D040DB">
        <w:rPr>
          <w:i/>
          <w:iCs/>
        </w:rPr>
        <w:t>b)</w:t>
      </w:r>
      <w:r w:rsidRPr="00D040DB">
        <w:tab/>
        <w:t>que la posibilidad de asegurar un gran ancho de banda contigua en gamas de frecuencias superiores es más prometedora;</w:t>
      </w:r>
    </w:p>
    <w:p w:rsidR="0009478B" w:rsidRPr="00D040DB" w:rsidRDefault="0009478B" w:rsidP="00530A32">
      <w:r w:rsidRPr="00D040DB">
        <w:rPr>
          <w:i/>
          <w:iCs/>
        </w:rPr>
        <w:t>c)</w:t>
      </w:r>
      <w:r w:rsidRPr="00D040DB">
        <w:tab/>
        <w:t>la utilización de partes pertinentes del espectro por otros servicios de radiocomunicaciones, muchos de los cuales suponen la realización de grandes inversiones en infraestructuras o aportan notables beneficios sociales, y las necesidades en permanente evolución de dichos servicios;</w:t>
      </w:r>
    </w:p>
    <w:p w:rsidR="0009478B" w:rsidRPr="00D040DB" w:rsidRDefault="0009478B" w:rsidP="00530A32">
      <w:r w:rsidRPr="00D040DB">
        <w:rPr>
          <w:i/>
          <w:iCs/>
        </w:rPr>
        <w:t>d)</w:t>
      </w:r>
      <w:r w:rsidRPr="00D040DB">
        <w:tab/>
        <w:t xml:space="preserve">que no se deben imponer nuevas disposiciones reglamentarias o técnicas a servicios en los cuales la banda está atribuida actualmente a título primario; </w:t>
      </w:r>
    </w:p>
    <w:p w:rsidR="0009478B" w:rsidRPr="00D040DB" w:rsidRDefault="0009478B" w:rsidP="00530A32">
      <w:r w:rsidRPr="00D040DB">
        <w:rPr>
          <w:i/>
          <w:iCs/>
        </w:rPr>
        <w:t>e)</w:t>
      </w:r>
      <w:r w:rsidRPr="00D040DB">
        <w:tab/>
        <w:t>que en el preámbulo del Reglamento de Radiocomunicaciones se enumeran una serie de objetivos, entre ellos:</w:t>
      </w:r>
    </w:p>
    <w:p w:rsidR="0009478B" w:rsidRPr="00D040DB" w:rsidRDefault="0009478B" w:rsidP="00530A32">
      <w:pPr>
        <w:pStyle w:val="enumlev1"/>
      </w:pPr>
      <w:r w:rsidRPr="00D040DB">
        <w:t>–</w:t>
      </w:r>
      <w:r w:rsidRPr="00D040DB">
        <w:tab/>
        <w:t>facilitar el funcionamiento efectivo y eficaz de todos los servicios de radiocomunicaciones; y</w:t>
      </w:r>
    </w:p>
    <w:p w:rsidR="0009478B" w:rsidRPr="00D040DB" w:rsidRDefault="0009478B" w:rsidP="00530A32">
      <w:pPr>
        <w:pStyle w:val="enumlev1"/>
      </w:pPr>
      <w:r w:rsidRPr="00D040DB">
        <w:t>–</w:t>
      </w:r>
      <w:r w:rsidRPr="00D040DB">
        <w:tab/>
        <w:t>tener en cuenta y, en caso necesario, reglamentar las nuevas aplicaciones de la tecnología de las radiocomunicaciones,</w:t>
      </w:r>
    </w:p>
    <w:p w:rsidR="0009478B" w:rsidRPr="00D040DB" w:rsidRDefault="0009478B" w:rsidP="00530A32">
      <w:pPr>
        <w:pStyle w:val="Call"/>
      </w:pPr>
      <w:r w:rsidRPr="00D040DB">
        <w:t>resuelve invitar al UIT</w:t>
      </w:r>
      <w:r w:rsidRPr="00D040DB">
        <w:noBreakHyphen/>
        <w:t>R</w:t>
      </w:r>
    </w:p>
    <w:p w:rsidR="0009478B" w:rsidRPr="00D040DB" w:rsidRDefault="0009478B" w:rsidP="00530A32">
      <w:r w:rsidRPr="00D040DB">
        <w:t>1</w:t>
      </w:r>
      <w:r w:rsidRPr="00D040DB">
        <w:tab/>
        <w:t>a estudiar las demandas de espectro asociadas a las capacidades necesarias para el desarrollo de la IMT-2020 teniendo en cuenta:</w:t>
      </w:r>
    </w:p>
    <w:p w:rsidR="0009478B" w:rsidRPr="00D040DB" w:rsidRDefault="0009478B" w:rsidP="00530A32">
      <w:pPr>
        <w:pStyle w:val="enumlev1"/>
      </w:pPr>
      <w:r w:rsidRPr="00D040DB">
        <w:t>–</w:t>
      </w:r>
      <w:r w:rsidRPr="00D040DB">
        <w:tab/>
        <w:t>las necesidades en constante evolución, como las velocidades de datos muy elevadas, para responder a las demandas de IMT por el usuario;</w:t>
      </w:r>
    </w:p>
    <w:p w:rsidR="0009478B" w:rsidRPr="00D040DB" w:rsidRDefault="0009478B" w:rsidP="00530A32">
      <w:pPr>
        <w:pStyle w:val="enumlev1"/>
      </w:pPr>
      <w:r w:rsidRPr="00D040DB">
        <w:t>–</w:t>
      </w:r>
      <w:r w:rsidRPr="00D040DB">
        <w:tab/>
        <w:t>las situaciones en que las demandas de tráfico de datos son elevadas, como ocurre en zonas urbanas de gran densidad y/o en horas punta;</w:t>
      </w:r>
    </w:p>
    <w:p w:rsidR="0009478B" w:rsidRPr="00D040DB" w:rsidRDefault="0009478B" w:rsidP="00530A32">
      <w:pPr>
        <w:pStyle w:val="enumlev1"/>
      </w:pPr>
      <w:r w:rsidRPr="00D040DB">
        <w:t>–</w:t>
      </w:r>
      <w:r w:rsidRPr="00D040DB">
        <w:tab/>
        <w:t>las características técnicas y operativas de los sistemas IMT en gamas de frecuencias altas y, en particular, la evolución de las IMT a través de los avances tecnológicos y de las técnicas de eficiencia espectral, y su implantación;</w:t>
      </w:r>
    </w:p>
    <w:p w:rsidR="0009478B" w:rsidRPr="00D040DB" w:rsidRDefault="0009478B" w:rsidP="002D11FB">
      <w:pPr>
        <w:pStyle w:val="enumlev1"/>
      </w:pPr>
      <w:r w:rsidRPr="00D040DB">
        <w:t>–</w:t>
      </w:r>
      <w:r w:rsidRPr="00D040DB">
        <w:tab/>
        <w:t>el periodo de tiempo en el que se necesitaría el espectro</w:t>
      </w:r>
      <w:r w:rsidR="002D11FB">
        <w:t>,</w:t>
      </w:r>
    </w:p>
    <w:p w:rsidR="0009478B" w:rsidRPr="00D040DB" w:rsidRDefault="0009478B" w:rsidP="00530A32">
      <w:r w:rsidRPr="00D040DB">
        <w:t>2</w:t>
      </w:r>
      <w:r w:rsidRPr="00D040DB">
        <w:tab/>
        <w:t xml:space="preserve">a estudiar posibles bandas de frecuencias candidatas para las IMT, incluidas las posibles atribuciones al servicio móvil a título primario en las gamas indicadas en el Anexo 1 a la presente Resolución, teniendo en cuenta los resultados de los estudios realizados en respuesta al </w:t>
      </w:r>
      <w:r w:rsidRPr="00D040DB">
        <w:rPr>
          <w:i/>
          <w:iCs/>
        </w:rPr>
        <w:t>resuelve invitar al UIT-R</w:t>
      </w:r>
      <w:r w:rsidRPr="00D040DB">
        <w:t xml:space="preserve"> 1 y, en la medida de lo posible, la necesidad de armonización,</w:t>
      </w:r>
    </w:p>
    <w:p w:rsidR="0009478B" w:rsidRPr="00D040DB" w:rsidRDefault="0009478B" w:rsidP="00530A32">
      <w:pPr>
        <w:pStyle w:val="Call"/>
      </w:pPr>
      <w:r w:rsidRPr="00D040DB">
        <w:lastRenderedPageBreak/>
        <w:t>resuelve además</w:t>
      </w:r>
    </w:p>
    <w:p w:rsidR="0009478B" w:rsidRPr="00D040DB" w:rsidRDefault="0009478B" w:rsidP="00530A32">
      <w:r w:rsidRPr="00D040DB">
        <w:t>1</w:t>
      </w:r>
      <w:r w:rsidRPr="00D040DB">
        <w:tab/>
        <w:t>acelerar la elaboración definitiva de las características técnicas y operativas necesarias para llevar a cabo los estudios de compartición y compatibilidad relativos a los sistemas denominados IMT-2020;</w:t>
      </w:r>
    </w:p>
    <w:p w:rsidR="0009478B" w:rsidRPr="00D040DB" w:rsidRDefault="0009478B" w:rsidP="00530A32">
      <w:r w:rsidRPr="00D040DB">
        <w:t>2</w:t>
      </w:r>
      <w:r w:rsidRPr="00D040DB">
        <w:tab/>
        <w:t xml:space="preserve">que los estudios mencionados en el </w:t>
      </w:r>
      <w:r w:rsidRPr="00D040DB">
        <w:rPr>
          <w:i/>
          <w:iCs/>
        </w:rPr>
        <w:t>resuelve invitar al UIT-R</w:t>
      </w:r>
      <w:r w:rsidRPr="00D040DB">
        <w:t xml:space="preserve"> 2 incluyan estudios de compartición y compatibilidad con los servicios que ya tienen atribuciones a título primario en las posibles bandas de frecuencias candidatas y en las bandas adyacentes, en su caso, tomando en consideración las posibles técnicas de mitigación que tal vez necesiten utilizar los sistemas IMT;</w:t>
      </w:r>
    </w:p>
    <w:p w:rsidR="0009478B" w:rsidRPr="00D040DB" w:rsidRDefault="0009478B" w:rsidP="00530A32">
      <w:r w:rsidRPr="00D040DB">
        <w:t>3</w:t>
      </w:r>
      <w:r w:rsidRPr="00D040DB">
        <w:tab/>
        <w:t>invitar a la CMR</w:t>
      </w:r>
      <w:r w:rsidRPr="00D040DB">
        <w:noBreakHyphen/>
        <w:t>19 a considerar los resultados de los estudios mencionados y a adoptar las medidas adecuadas,</w:t>
      </w:r>
    </w:p>
    <w:p w:rsidR="0009478B" w:rsidRPr="00D040DB" w:rsidRDefault="0009478B" w:rsidP="00530A32">
      <w:pPr>
        <w:pStyle w:val="Call"/>
      </w:pPr>
      <w:r w:rsidRPr="00D040DB">
        <w:t>alienta a los Estados Miembros, a los Miembros de Sector, a las Instituciones Académicas y a los Asociados</w:t>
      </w:r>
    </w:p>
    <w:p w:rsidR="0009478B" w:rsidRPr="00D040DB" w:rsidRDefault="0009478B" w:rsidP="004B0B9D">
      <w:r w:rsidRPr="00D040DB">
        <w:t>a participar en los estudios presentando contribuciones al UIT-R.</w:t>
      </w:r>
    </w:p>
    <w:p w:rsidR="00BA37A9" w:rsidRPr="00D040DB" w:rsidRDefault="00BA37A9" w:rsidP="00530A32">
      <w:pPr>
        <w:pStyle w:val="AnnexNo"/>
        <w:rPr>
          <w:rFonts w:eastAsia="MS Mincho"/>
          <w:lang w:eastAsia="ja-JP"/>
        </w:rPr>
      </w:pPr>
      <w:r w:rsidRPr="00D040DB">
        <w:rPr>
          <w:lang w:eastAsia="ja-JP"/>
        </w:rPr>
        <w:t xml:space="preserve">ANEXO 1 AL PROYECTO DE NUEVA RESOLUCIÓN </w:t>
      </w:r>
      <w:r w:rsidRPr="00D040DB">
        <w:rPr>
          <w:lang w:eastAsia="ja-JP"/>
        </w:rPr>
        <w:br/>
      </w:r>
      <w:r w:rsidRPr="00D040DB">
        <w:rPr>
          <w:rFonts w:eastAsia="MS Mincho"/>
          <w:lang w:eastAsia="ja-JP"/>
        </w:rPr>
        <w:t>[IND-B10- IMT_ABOVE_6GHz]</w:t>
      </w:r>
    </w:p>
    <w:p w:rsidR="00BA37A9" w:rsidRPr="00D040DB" w:rsidRDefault="00BA37A9" w:rsidP="002D11FB">
      <w:pPr>
        <w:pStyle w:val="Annextitle"/>
        <w:rPr>
          <w:lang w:eastAsia="ja-JP"/>
        </w:rPr>
      </w:pPr>
      <w:r w:rsidRPr="00D040DB">
        <w:rPr>
          <w:lang w:eastAsia="ja-JP"/>
        </w:rPr>
        <w:t>Gamas de frecuencias mencionadas en el resuelve invitar al UIT-R del proyecto de nueva Resolución [</w:t>
      </w:r>
      <w:r w:rsidR="002D11FB">
        <w:rPr>
          <w:lang w:eastAsia="ja-JP"/>
        </w:rPr>
        <w:t>IND</w:t>
      </w:r>
      <w:r w:rsidRPr="00D040DB">
        <w:rPr>
          <w:lang w:eastAsia="ja-JP"/>
        </w:rPr>
        <w:t>-B10- IMT</w:t>
      </w:r>
      <w:r w:rsidR="002D11FB">
        <w:rPr>
          <w:lang w:eastAsia="ja-JP"/>
        </w:rPr>
        <w:t>_</w:t>
      </w:r>
      <w:r w:rsidRPr="00D040DB">
        <w:rPr>
          <w:lang w:eastAsia="ja-JP"/>
        </w:rPr>
        <w:t>ABOVE</w:t>
      </w:r>
      <w:r w:rsidR="002D11FB">
        <w:rPr>
          <w:lang w:eastAsia="ja-JP"/>
        </w:rPr>
        <w:t>_</w:t>
      </w:r>
      <w:r w:rsidRPr="00D040DB">
        <w:rPr>
          <w:lang w:eastAsia="ja-JP"/>
        </w:rPr>
        <w:t xml:space="preserve">6GHz] </w:t>
      </w:r>
    </w:p>
    <w:p w:rsidR="00BA37A9" w:rsidRPr="00D040DB" w:rsidRDefault="00BA37A9" w:rsidP="00530A32"/>
    <w:tbl>
      <w:tblPr>
        <w:tblW w:w="5411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1570"/>
        <w:gridCol w:w="2008"/>
      </w:tblGrid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A37A9" w:rsidRPr="00D040DB" w:rsidRDefault="00BA37A9" w:rsidP="00530A32">
            <w:pPr>
              <w:pStyle w:val="Tablehead"/>
            </w:pPr>
            <w:r w:rsidRPr="00D040DB">
              <w:t>De</w:t>
            </w:r>
            <w:r w:rsidRPr="00D040DB">
              <w:br/>
              <w:t>(GHz)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A37A9" w:rsidRPr="00D040DB" w:rsidRDefault="00BA37A9" w:rsidP="00530A32">
            <w:pPr>
              <w:pStyle w:val="Tablehead"/>
            </w:pPr>
            <w:r w:rsidRPr="00D040DB">
              <w:t xml:space="preserve">A </w:t>
            </w:r>
            <w:r w:rsidRPr="00D040DB">
              <w:br/>
              <w:t>(GHz)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BA37A9" w:rsidRPr="00D040DB" w:rsidRDefault="00BA37A9" w:rsidP="00530A32">
            <w:pPr>
              <w:pStyle w:val="Tablehead"/>
            </w:pPr>
            <w:r w:rsidRPr="00D040DB">
              <w:t>Ancho de banda (GHz)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A9" w:rsidRPr="002D11FB" w:rsidRDefault="00BA37A9" w:rsidP="002D11FB">
            <w:pPr>
              <w:pStyle w:val="Tabletext"/>
              <w:jc w:val="center"/>
              <w:rPr>
                <w:b/>
                <w:bCs/>
              </w:rPr>
            </w:pPr>
            <w:r w:rsidRPr="002D11FB">
              <w:rPr>
                <w:b/>
                <w:bCs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A9" w:rsidRPr="002D11FB" w:rsidRDefault="00BA37A9" w:rsidP="002D11FB">
            <w:pPr>
              <w:pStyle w:val="Tabletext"/>
              <w:jc w:val="center"/>
              <w:rPr>
                <w:b/>
                <w:bCs/>
              </w:rPr>
            </w:pPr>
            <w:r w:rsidRPr="002D11FB">
              <w:rPr>
                <w:b/>
                <w:bCs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2D11FB" w:rsidRDefault="00BA37A9" w:rsidP="002D11FB">
            <w:pPr>
              <w:pStyle w:val="Tabletext"/>
              <w:jc w:val="center"/>
              <w:rPr>
                <w:b/>
                <w:bCs/>
              </w:rPr>
            </w:pPr>
            <w:r w:rsidRPr="002D11FB">
              <w:rPr>
                <w:b/>
                <w:bCs/>
              </w:rPr>
              <w:t>4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25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25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0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25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31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33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1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6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47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8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47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50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3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50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52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2</w:t>
            </w:r>
            <w:r w:rsidR="00597C12" w:rsidRPr="00D040DB">
              <w:rPr>
                <w:color w:val="000000"/>
              </w:rPr>
              <w:t>,</w:t>
            </w:r>
            <w:r w:rsidRPr="00D040DB">
              <w:rPr>
                <w:color w:val="000000"/>
              </w:rPr>
              <w:t>2</w:t>
            </w:r>
          </w:p>
        </w:tc>
      </w:tr>
      <w:tr w:rsidR="00BA37A9" w:rsidRPr="00D040DB" w:rsidTr="007C7379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76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A9" w:rsidRPr="00D040DB" w:rsidRDefault="00BA37A9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10</w:t>
            </w:r>
          </w:p>
        </w:tc>
      </w:tr>
      <w:tr w:rsidR="00DB7181" w:rsidRPr="00D040DB" w:rsidTr="00DB7181">
        <w:trPr>
          <w:trHeight w:val="301"/>
          <w:tblHeader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181" w:rsidRPr="00D040DB" w:rsidRDefault="00DB7181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81" w:rsidRPr="00D040DB" w:rsidRDefault="00DB7181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81" w:rsidRPr="00D040DB" w:rsidRDefault="00DB7181" w:rsidP="002D11FB">
            <w:pPr>
              <w:pStyle w:val="Tabletext"/>
              <w:jc w:val="center"/>
              <w:rPr>
                <w:color w:val="000000"/>
              </w:rPr>
            </w:pPr>
            <w:r w:rsidRPr="00D040DB">
              <w:rPr>
                <w:color w:val="000000"/>
              </w:rPr>
              <w:t>5</w:t>
            </w:r>
          </w:p>
        </w:tc>
      </w:tr>
    </w:tbl>
    <w:p w:rsidR="00BA37A9" w:rsidRPr="00D040DB" w:rsidRDefault="00BA37A9" w:rsidP="00530A32">
      <w:pPr>
        <w:pStyle w:val="Tabletext"/>
        <w:jc w:val="center"/>
      </w:pPr>
    </w:p>
    <w:p w:rsidR="00BA37A9" w:rsidRPr="00D040DB" w:rsidRDefault="00BA37A9" w:rsidP="00530A32">
      <w:pPr>
        <w:pStyle w:val="Reasons"/>
      </w:pPr>
      <w:r w:rsidRPr="00D040DB">
        <w:rPr>
          <w:b/>
        </w:rPr>
        <w:t>Motivos:</w:t>
      </w:r>
      <w:r w:rsidRPr="00D040DB">
        <w:tab/>
        <w:t>Proyecto de nueva Resolución que respalda el punto del orden del día de la CMR-19 propuesto en relación con el futuro desarrollo de las IMT para 2020 y años posteriores.</w:t>
      </w:r>
    </w:p>
    <w:p w:rsidR="00DB7181" w:rsidRPr="00D040DB" w:rsidRDefault="00DB7181" w:rsidP="0032202E">
      <w:pPr>
        <w:pStyle w:val="Reasons"/>
      </w:pPr>
    </w:p>
    <w:p w:rsidR="00DB7181" w:rsidRPr="00D040DB" w:rsidRDefault="00DB7181">
      <w:pPr>
        <w:jc w:val="center"/>
      </w:pPr>
      <w:r w:rsidRPr="00D040DB">
        <w:t>______________</w:t>
      </w:r>
    </w:p>
    <w:sectPr w:rsidR="00DB7181" w:rsidRPr="00D040D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NNEO D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NNFF D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9D">
      <w:rPr>
        <w:noProof/>
      </w:rPr>
      <w:t>31.10.15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530A32" w:rsidRDefault="00530A32" w:rsidP="00530A32">
    <w:pPr>
      <w:pStyle w:val="Footer"/>
      <w:rPr>
        <w:lang w:val="en-US"/>
      </w:rPr>
    </w:pPr>
    <w:r>
      <w:fldChar w:fldCharType="begin"/>
    </w:r>
    <w:r w:rsidRPr="002D32B4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P:\ESP\ITU-R\CONF-R\CMR15\100\107ADD24S.docx</w:t>
    </w:r>
    <w:r>
      <w:fldChar w:fldCharType="end"/>
    </w:r>
    <w:r w:rsidRPr="002D32B4">
      <w:rPr>
        <w:lang w:val="en-US"/>
      </w:rPr>
      <w:t xml:space="preserve"> (388845)</w:t>
    </w:r>
    <w:r w:rsidRPr="002D32B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9D">
      <w:t>31.10.15</w:t>
    </w:r>
    <w:r>
      <w:fldChar w:fldCharType="end"/>
    </w:r>
    <w:r w:rsidRPr="002D32B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89704D" w:rsidP="00530A32">
    <w:pPr>
      <w:pStyle w:val="Footer"/>
      <w:rPr>
        <w:lang w:val="en-US"/>
      </w:rPr>
    </w:pPr>
    <w:r>
      <w:fldChar w:fldCharType="begin"/>
    </w:r>
    <w:r w:rsidRPr="002D32B4">
      <w:rPr>
        <w:lang w:val="en-US"/>
      </w:rPr>
      <w:instrText xml:space="preserve"> FILENAME \p  \* MERGEFORMAT </w:instrText>
    </w:r>
    <w:r>
      <w:fldChar w:fldCharType="separate"/>
    </w:r>
    <w:r w:rsidR="00530A32">
      <w:rPr>
        <w:lang w:val="en-US"/>
      </w:rPr>
      <w:t>P:\ESP\ITU-R\CONF-R\CMR15\100\107ADD24S.docx</w:t>
    </w:r>
    <w:r>
      <w:fldChar w:fldCharType="end"/>
    </w:r>
    <w:r w:rsidRPr="002D32B4">
      <w:rPr>
        <w:lang w:val="en-US"/>
      </w:rPr>
      <w:t xml:space="preserve"> (388845)</w:t>
    </w:r>
    <w:r w:rsidRPr="002D32B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9D">
      <w:t>31.10.15</w:t>
    </w:r>
    <w:r>
      <w:fldChar w:fldCharType="end"/>
    </w:r>
    <w:r w:rsidRPr="002D32B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11FB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107(Add.24)-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9478B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E67BC"/>
    <w:rsid w:val="00236D2A"/>
    <w:rsid w:val="002403F3"/>
    <w:rsid w:val="00253128"/>
    <w:rsid w:val="00255F12"/>
    <w:rsid w:val="00262C09"/>
    <w:rsid w:val="002771BE"/>
    <w:rsid w:val="002A791F"/>
    <w:rsid w:val="002C1B26"/>
    <w:rsid w:val="002C5D6C"/>
    <w:rsid w:val="002D11FB"/>
    <w:rsid w:val="002D32B4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0B9D"/>
    <w:rsid w:val="004B124A"/>
    <w:rsid w:val="004B5094"/>
    <w:rsid w:val="005133B5"/>
    <w:rsid w:val="00530A32"/>
    <w:rsid w:val="00532097"/>
    <w:rsid w:val="0058350F"/>
    <w:rsid w:val="00583C7E"/>
    <w:rsid w:val="00597C12"/>
    <w:rsid w:val="005C53C8"/>
    <w:rsid w:val="005D46FB"/>
    <w:rsid w:val="005E37EC"/>
    <w:rsid w:val="005F2605"/>
    <w:rsid w:val="005F3B0E"/>
    <w:rsid w:val="005F559C"/>
    <w:rsid w:val="00662BA0"/>
    <w:rsid w:val="00686E3C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9704D"/>
    <w:rsid w:val="008B5690"/>
    <w:rsid w:val="008E5AF2"/>
    <w:rsid w:val="0090121B"/>
    <w:rsid w:val="009144C9"/>
    <w:rsid w:val="0091712A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A37A9"/>
    <w:rsid w:val="00BE2E80"/>
    <w:rsid w:val="00BE5EDD"/>
    <w:rsid w:val="00BE6A1F"/>
    <w:rsid w:val="00C10031"/>
    <w:rsid w:val="00C126C4"/>
    <w:rsid w:val="00C63EB5"/>
    <w:rsid w:val="00CC01E0"/>
    <w:rsid w:val="00CD5FEE"/>
    <w:rsid w:val="00CE60D2"/>
    <w:rsid w:val="00CE7431"/>
    <w:rsid w:val="00D0288A"/>
    <w:rsid w:val="00D040DB"/>
    <w:rsid w:val="00D72A5D"/>
    <w:rsid w:val="00DA628C"/>
    <w:rsid w:val="00DB7181"/>
    <w:rsid w:val="00DC629B"/>
    <w:rsid w:val="00DF44AF"/>
    <w:rsid w:val="00E05BFF"/>
    <w:rsid w:val="00E262F1"/>
    <w:rsid w:val="00E3176A"/>
    <w:rsid w:val="00E54754"/>
    <w:rsid w:val="00E56BD3"/>
    <w:rsid w:val="00E71D14"/>
    <w:rsid w:val="00EB02CF"/>
    <w:rsid w:val="00EC1FCC"/>
    <w:rsid w:val="00ED0E17"/>
    <w:rsid w:val="00ED5BF9"/>
    <w:rsid w:val="00EE21F6"/>
    <w:rsid w:val="00F66597"/>
    <w:rsid w:val="00F675D0"/>
    <w:rsid w:val="00F71373"/>
    <w:rsid w:val="00F8150C"/>
    <w:rsid w:val="00FC316B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E530B94-E5C3-4593-8685-309FFFE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paragraph" w:customStyle="1" w:styleId="CM90">
    <w:name w:val="CM90"/>
    <w:basedOn w:val="Normal"/>
    <w:next w:val="Normal"/>
    <w:uiPriority w:val="99"/>
    <w:rsid w:val="002D32B4"/>
    <w:pPr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rFonts w:ascii="GNNEO D+ Times New" w:hAnsi="GNNEO D+ Times New"/>
      <w:szCs w:val="24"/>
      <w:lang w:val="en-US" w:eastAsia="zh-CN"/>
    </w:rPr>
  </w:style>
  <w:style w:type="character" w:customStyle="1" w:styleId="CallChar">
    <w:name w:val="Call Char"/>
    <w:link w:val="Call"/>
    <w:uiPriority w:val="99"/>
    <w:locked/>
    <w:rsid w:val="00ED0E17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09478B"/>
    <w:rPr>
      <w:rFonts w:ascii="Times New Roman Bold" w:hAnsi="Times New Roman Bold"/>
      <w:b/>
      <w:sz w:val="28"/>
      <w:lang w:val="es-ES_tradnl" w:eastAsia="en-US"/>
    </w:rPr>
  </w:style>
  <w:style w:type="character" w:customStyle="1" w:styleId="NormalaftertitleChar">
    <w:name w:val="Normal after title Char"/>
    <w:link w:val="Normalaftertitle"/>
    <w:locked/>
    <w:rsid w:val="0009478B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R15-WRC15-C-0107!A24!MSW-S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A781-25A3-4D1A-B590-35B5B92FA64A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978D07-A923-41A1-B892-AD598EE2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2241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R15-WRC15-C-0107!A24!MSW-S</vt:lpstr>
    </vt:vector>
  </TitlesOfParts>
  <Manager>Secretaría General - Pool</Manager>
  <Company>Unión Internacional de Telecomunicaciones (UIT)</Company>
  <LinksUpToDate>false</LinksUpToDate>
  <CharactersWithSpaces>14542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R15-WRC15-C-0107!A24!MSW-S</dc:title>
  <dc:subject>Conferencia Mundial de Radiocomunicaciones - 2015</dc:subject>
  <dc:creator>Documents Proposals Manager (DPM)</dc:creator>
  <cp:keywords>DPM_v5.2015.10.230_prod</cp:keywords>
  <dc:description/>
  <cp:lastModifiedBy>Spanish</cp:lastModifiedBy>
  <cp:revision>7</cp:revision>
  <cp:lastPrinted>2003-02-19T20:20:00Z</cp:lastPrinted>
  <dcterms:created xsi:type="dcterms:W3CDTF">2015-10-31T00:02:00Z</dcterms:created>
  <dcterms:modified xsi:type="dcterms:W3CDTF">2015-11-01T11:11:00Z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