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B316B2"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Documento 104</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19 de octubre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B316B2" w:rsidRDefault="000A5B9A" w:rsidP="000A5B9A">
            <w:pPr>
              <w:pStyle w:val="Source"/>
            </w:pPr>
            <w:bookmarkStart w:id="2" w:name="dsource" w:colFirst="0" w:colLast="0"/>
            <w:r w:rsidRPr="00B316B2">
              <w:t>Benin (República de)/Burkina Faso/Côte d'Ivoire (República de)/Ghana/Guinea (República de)/Malí (República de)/Níger (República del)/Nigeria (República Federal de)/Senegal (República del)/Sierra Leona/Togolesa (República)</w:t>
            </w:r>
          </w:p>
        </w:tc>
      </w:tr>
      <w:tr w:rsidR="000A5B9A" w:rsidRPr="0002785D" w:rsidTr="0050008E">
        <w:trPr>
          <w:cantSplit/>
        </w:trPr>
        <w:tc>
          <w:tcPr>
            <w:tcW w:w="10031" w:type="dxa"/>
            <w:gridSpan w:val="2"/>
          </w:tcPr>
          <w:p w:rsidR="000A5B9A" w:rsidRPr="0007605D" w:rsidRDefault="00B316B2" w:rsidP="000A5B9A">
            <w:pPr>
              <w:pStyle w:val="Title1"/>
            </w:pPr>
            <w:bookmarkStart w:id="3" w:name="dtitle1" w:colFirst="0" w:colLast="0"/>
            <w:bookmarkEnd w:id="2"/>
            <w:r w:rsidRPr="0007605D">
              <w:t>PROPUESTAS PARA LOS TRABAJOS DE LA CONFERENCIA</w:t>
            </w:r>
          </w:p>
        </w:tc>
      </w:tr>
      <w:tr w:rsidR="000A5B9A" w:rsidRPr="0002785D" w:rsidTr="0050008E">
        <w:trPr>
          <w:cantSplit/>
        </w:trPr>
        <w:tc>
          <w:tcPr>
            <w:tcW w:w="10031" w:type="dxa"/>
            <w:gridSpan w:val="2"/>
          </w:tcPr>
          <w:p w:rsidR="000A5B9A" w:rsidRPr="0007605D"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10 del orden del día</w:t>
            </w:r>
          </w:p>
        </w:tc>
      </w:tr>
    </w:tbl>
    <w:bookmarkEnd w:id="5"/>
    <w:p w:rsidR="00E1398F" w:rsidRPr="00211854" w:rsidRDefault="00D00407" w:rsidP="001D51F2">
      <w:r w:rsidRPr="00211854">
        <w:t>10</w:t>
      </w:r>
      <w:r w:rsidRPr="00211854">
        <w:tab/>
        <w:t xml:space="preserve">recomendar al Consejo los puntos que han de incluirse en el orden del día de la próxima CMR, y formular opiniones sobre el orden del día preliminar de la conferencia subsiguiente y </w:t>
      </w:r>
      <w:r w:rsidRPr="00211854">
        <w:t>sobre los posibles órdenes del día de futuras conferencias, de conformidad con el Artículo 7 del Convenio,</w:t>
      </w:r>
      <w:bookmarkStart w:id="6" w:name="_GoBack"/>
      <w:bookmarkEnd w:id="6"/>
    </w:p>
    <w:p w:rsidR="008012A2" w:rsidRPr="00B316B2" w:rsidRDefault="00D00407">
      <w:pPr>
        <w:pStyle w:val="Proposal"/>
        <w:rPr>
          <w:lang w:val="en-US"/>
        </w:rPr>
      </w:pPr>
      <w:r>
        <w:tab/>
      </w:r>
      <w:r w:rsidRPr="00B316B2">
        <w:rPr>
          <w:lang w:val="en-US"/>
        </w:rPr>
        <w:t>BEN/BFA/CTI/GHA/GUI/MLI/NGR/NIG/SEN/SRL/TGO/104/1</w:t>
      </w:r>
    </w:p>
    <w:p w:rsidR="0007605D" w:rsidRPr="008E6686" w:rsidRDefault="0007605D" w:rsidP="0007605D">
      <w:pPr>
        <w:rPr>
          <w:szCs w:val="24"/>
        </w:rPr>
      </w:pPr>
      <w:r w:rsidRPr="008E6686">
        <w:t xml:space="preserve">Propuesta para que se lleven a cabo estudios sobre las frecuencuas </w:t>
      </w:r>
      <w:r>
        <w:t xml:space="preserve">comprendidas </w:t>
      </w:r>
      <w:r w:rsidRPr="008E6686">
        <w:t xml:space="preserve">entre </w:t>
      </w:r>
      <w:r w:rsidRPr="008E6686">
        <w:rPr>
          <w:szCs w:val="24"/>
        </w:rPr>
        <w:t>6 GHz y 100 GHz</w:t>
      </w:r>
      <w:r>
        <w:rPr>
          <w:szCs w:val="24"/>
        </w:rPr>
        <w:t>, excluyendo las bandas de frecuencia que se enumeran a continuación, a fon de orientar las decisiones en la CMR</w:t>
      </w:r>
      <w:r w:rsidR="0027399B">
        <w:rPr>
          <w:szCs w:val="24"/>
        </w:rPr>
        <w:t>-19:</w:t>
      </w:r>
    </w:p>
    <w:p w:rsidR="0027399B" w:rsidRPr="00C3276D" w:rsidRDefault="0027399B" w:rsidP="0027399B">
      <w:pPr>
        <w:pStyle w:val="enumlev1"/>
        <w:rPr>
          <w:rFonts w:ascii="Segoe UI" w:hAnsi="Segoe UI" w:cs="Segoe UI"/>
          <w:color w:val="282828"/>
          <w:sz w:val="23"/>
          <w:szCs w:val="23"/>
        </w:rPr>
      </w:pPr>
      <w:r w:rsidRPr="00C3276D">
        <w:t>1)</w:t>
      </w:r>
      <w:r w:rsidRPr="00C3276D">
        <w:tab/>
        <w:t>5 925 a 7 075 MHz</w:t>
      </w:r>
    </w:p>
    <w:p w:rsidR="0027399B" w:rsidRPr="00C3276D" w:rsidRDefault="0027399B" w:rsidP="0027399B">
      <w:pPr>
        <w:pStyle w:val="enumlev1"/>
        <w:rPr>
          <w:rFonts w:ascii="Segoe UI" w:hAnsi="Segoe UI" w:cs="Segoe UI"/>
          <w:color w:val="282828"/>
          <w:sz w:val="23"/>
          <w:szCs w:val="23"/>
        </w:rPr>
      </w:pPr>
      <w:r>
        <w:t>2)</w:t>
      </w:r>
      <w:r>
        <w:tab/>
      </w:r>
      <w:r w:rsidRPr="00C3276D">
        <w:t>10,70 a 14,8 GHz</w:t>
      </w:r>
    </w:p>
    <w:p w:rsidR="0027399B" w:rsidRPr="00C3276D" w:rsidRDefault="0027399B" w:rsidP="0027399B">
      <w:pPr>
        <w:pStyle w:val="enumlev1"/>
        <w:rPr>
          <w:rFonts w:ascii="Segoe UI" w:hAnsi="Segoe UI" w:cs="Segoe UI"/>
          <w:color w:val="282828"/>
          <w:sz w:val="23"/>
          <w:szCs w:val="23"/>
        </w:rPr>
      </w:pPr>
      <w:r>
        <w:t>3)</w:t>
      </w:r>
      <w:r>
        <w:tab/>
      </w:r>
      <w:r w:rsidRPr="00C3276D">
        <w:t>17,3 a 21,2 GHz</w:t>
      </w:r>
    </w:p>
    <w:p w:rsidR="0027399B" w:rsidRPr="00C3276D" w:rsidRDefault="0027399B" w:rsidP="0027399B">
      <w:pPr>
        <w:pStyle w:val="enumlev1"/>
        <w:rPr>
          <w:rFonts w:ascii="Segoe UI" w:hAnsi="Segoe UI" w:cs="Segoe UI"/>
          <w:color w:val="282828"/>
          <w:sz w:val="23"/>
          <w:szCs w:val="23"/>
        </w:rPr>
      </w:pPr>
      <w:r>
        <w:t>4)</w:t>
      </w:r>
      <w:r>
        <w:tab/>
      </w:r>
      <w:r w:rsidRPr="00C3276D">
        <w:t>21,4 a 22,0 GHz</w:t>
      </w:r>
    </w:p>
    <w:p w:rsidR="0027399B" w:rsidRPr="00C3276D" w:rsidRDefault="0027399B" w:rsidP="0027399B">
      <w:pPr>
        <w:pStyle w:val="enumlev1"/>
        <w:rPr>
          <w:rFonts w:ascii="Segoe UI" w:hAnsi="Segoe UI" w:cs="Segoe UI"/>
          <w:color w:val="282828"/>
          <w:sz w:val="23"/>
          <w:szCs w:val="23"/>
        </w:rPr>
      </w:pPr>
      <w:r>
        <w:t>5)</w:t>
      </w:r>
      <w:r>
        <w:tab/>
      </w:r>
      <w:r w:rsidRPr="00C3276D">
        <w:t>27,5 a 31,0 GHz</w:t>
      </w:r>
    </w:p>
    <w:p w:rsidR="008012A2" w:rsidRDefault="00D00407">
      <w:pPr>
        <w:pStyle w:val="Reasons"/>
      </w:pPr>
      <w:r w:rsidRPr="0007605D">
        <w:rPr>
          <w:b/>
        </w:rPr>
        <w:t>Motivos:</w:t>
      </w:r>
      <w:r w:rsidRPr="0007605D">
        <w:tab/>
      </w:r>
      <w:r w:rsidR="0007605D" w:rsidRPr="0007605D">
        <w:t>A causa del aumento en cuanto a las necesidades de espectro para el servicio móvil y la falta de espectro para dar respuesta a las necesidades de la industria móvil en la CMR-15, es pertinente llevar a cabo nuevos estudios sobre posibles bandas de espectro adicionales para el servicio móvil, salvo móvil aeronáutico, para su utilización por parte de las IMT. Por este motivo, se considera pertinente proponer que se realicen estudios sobre estas bandas identificadas, a tiempo para la CMR-19.</w:t>
      </w:r>
    </w:p>
    <w:p w:rsidR="0007605D" w:rsidRDefault="0007605D" w:rsidP="0032202E">
      <w:pPr>
        <w:pStyle w:val="Reasons"/>
      </w:pPr>
    </w:p>
    <w:p w:rsidR="0007605D" w:rsidRDefault="0007605D">
      <w:pPr>
        <w:jc w:val="center"/>
      </w:pPr>
      <w:r>
        <w:t>______________</w:t>
      </w:r>
    </w:p>
    <w:p w:rsidR="0007605D" w:rsidRPr="0007605D" w:rsidRDefault="0007605D">
      <w:pPr>
        <w:pStyle w:val="Reasons"/>
      </w:pPr>
    </w:p>
    <w:sectPr w:rsidR="0007605D" w:rsidRPr="0007605D">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1F6B6E">
      <w:rPr>
        <w:noProof/>
      </w:rPr>
      <w:t>25.10.15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FF6" w:rsidRDefault="00932FF6" w:rsidP="00932FF6">
    <w:pPr>
      <w:pStyle w:val="Footer"/>
      <w:rPr>
        <w:lang w:val="en-US"/>
      </w:rPr>
    </w:pPr>
    <w:r>
      <w:fldChar w:fldCharType="begin"/>
    </w:r>
    <w:r>
      <w:rPr>
        <w:lang w:val="en-US"/>
      </w:rPr>
      <w:instrText xml:space="preserve"> FILENAME \p  \* MERGEFORMAT </w:instrText>
    </w:r>
    <w:r>
      <w:fldChar w:fldCharType="separate"/>
    </w:r>
    <w:r>
      <w:rPr>
        <w:lang w:val="en-US"/>
      </w:rPr>
      <w:t>P:\ESP\ITU-R\CONF-R\CMR15\000\104S.docx</w:t>
    </w:r>
    <w:r>
      <w:fldChar w:fldCharType="end"/>
    </w:r>
    <w:r>
      <w:t xml:space="preserve"> (388822)</w:t>
    </w:r>
    <w:r>
      <w:rPr>
        <w:lang w:val="en-US"/>
      </w:rPr>
      <w:tab/>
    </w:r>
    <w:r>
      <w:fldChar w:fldCharType="begin"/>
    </w:r>
    <w:r>
      <w:instrText xml:space="preserve"> SAVEDATE \@ DD.MM.YY </w:instrText>
    </w:r>
    <w:r>
      <w:fldChar w:fldCharType="separate"/>
    </w:r>
    <w:r>
      <w:t>25.10.15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932FF6">
      <w:rPr>
        <w:lang w:val="en-US"/>
      </w:rPr>
      <w:t>P:\ESP\ITU-R\CONF-R\CMR15\000\104S.docx</w:t>
    </w:r>
    <w:r>
      <w:fldChar w:fldCharType="end"/>
    </w:r>
    <w:r w:rsidR="00932FF6">
      <w:t xml:space="preserve"> (388822)</w:t>
    </w:r>
    <w:r>
      <w:rPr>
        <w:lang w:val="en-US"/>
      </w:rPr>
      <w:tab/>
    </w:r>
    <w:r>
      <w:fldChar w:fldCharType="begin"/>
    </w:r>
    <w:r>
      <w:instrText xml:space="preserve"> SAVEDATE \@ DD.MM.YY </w:instrText>
    </w:r>
    <w:r>
      <w:fldChar w:fldCharType="separate"/>
    </w:r>
    <w:r w:rsidR="00932FF6">
      <w:t>25.10.15</w:t>
    </w:r>
    <w:r>
      <w:fldChar w:fldCharType="end"/>
    </w:r>
    <w:r>
      <w:rPr>
        <w:lang w:val="en-US"/>
      </w:rPr>
      <w:tab/>
    </w:r>
    <w:r>
      <w:fldChar w:fldCharType="begin"/>
    </w:r>
    <w:r>
      <w:instrText xml:space="preserve"> PRINTDATE \@ DD.MM.YY </w:instrText>
    </w:r>
    <w:r>
      <w:fldChar w:fldCharType="separate"/>
    </w:r>
    <w:r w:rsidR="00932FF6">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7399B">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104-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1161D28"/>
    <w:multiLevelType w:val="hybridMultilevel"/>
    <w:tmpl w:val="AA6A2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760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1F6B6E"/>
    <w:rsid w:val="00236D2A"/>
    <w:rsid w:val="00255F12"/>
    <w:rsid w:val="00262C09"/>
    <w:rsid w:val="0027399B"/>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012A2"/>
    <w:rsid w:val="00866AE6"/>
    <w:rsid w:val="008750A8"/>
    <w:rsid w:val="008E5AF2"/>
    <w:rsid w:val="0090121B"/>
    <w:rsid w:val="009144C9"/>
    <w:rsid w:val="00932FF6"/>
    <w:rsid w:val="0094091F"/>
    <w:rsid w:val="00973754"/>
    <w:rsid w:val="009C0BED"/>
    <w:rsid w:val="009E11EC"/>
    <w:rsid w:val="00A118DB"/>
    <w:rsid w:val="00A4450C"/>
    <w:rsid w:val="00AA5E6C"/>
    <w:rsid w:val="00AE5677"/>
    <w:rsid w:val="00AE658F"/>
    <w:rsid w:val="00AF2F78"/>
    <w:rsid w:val="00B239FA"/>
    <w:rsid w:val="00B316B2"/>
    <w:rsid w:val="00B52D55"/>
    <w:rsid w:val="00B8288C"/>
    <w:rsid w:val="00BE2E80"/>
    <w:rsid w:val="00BE5EDD"/>
    <w:rsid w:val="00BE6A1F"/>
    <w:rsid w:val="00C126C4"/>
    <w:rsid w:val="00C63EB5"/>
    <w:rsid w:val="00CC01E0"/>
    <w:rsid w:val="00CD5FEE"/>
    <w:rsid w:val="00CE60D2"/>
    <w:rsid w:val="00CE7431"/>
    <w:rsid w:val="00D00407"/>
    <w:rsid w:val="00D0288A"/>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0B965B0-D5DB-441B-80AF-50C13173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styleId="ListParagraph">
    <w:name w:val="List Paragraph"/>
    <w:basedOn w:val="Normal"/>
    <w:uiPriority w:val="34"/>
    <w:qFormat/>
    <w:rsid w:val="0007605D"/>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R15-WRC15-C-0104!!MSW-S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29F72-61B3-4B46-9A5B-F804CB83D3DF}">
  <ds:schemaRefs>
    <ds:schemaRef ds:uri="32a1a8c5-2265-4ebc-b7a0-2071e2c5c9bb"/>
    <ds:schemaRef ds:uri="http://purl.org/dc/terms/"/>
    <ds:schemaRef ds:uri="http://schemas.microsoft.com/office/2006/documentManagement/types"/>
    <ds:schemaRef ds:uri="http://purl.org/dc/dcmitype/"/>
    <ds:schemaRef ds:uri="http://schemas.microsoft.com/office/2006/metadata/properties"/>
    <ds:schemaRef ds:uri="996b2e75-67fd-4955-a3b0-5ab9934cb50b"/>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AABC7825-F925-464A-91D1-891E3414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R15-WRC15-C-0104!!MSW-S</vt:lpstr>
    </vt:vector>
  </TitlesOfParts>
  <Manager>Secretaría General - Pool</Manager>
  <Company>Unión Internacional de Telecomunicaciones (UIT)</Company>
  <LinksUpToDate>false</LinksUpToDate>
  <CharactersWithSpaces>1691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R15-WRC15-C-0104!!MSW-S</dc:title>
  <dc:subject>Conferencia Mundial de Radiocomunicaciones - 2015</dc:subject>
  <dc:creator>Documents Proposals Manager (DPM)</dc:creator>
  <cp:keywords>DPM_v5.2015.10.230_prod</cp:keywords>
  <dc:description/>
  <cp:lastModifiedBy>Saez Grau, Ricardo</cp:lastModifiedBy>
  <cp:revision>7</cp:revision>
  <cp:lastPrinted>2003-02-19T20:20:00Z</cp:lastPrinted>
  <dcterms:created xsi:type="dcterms:W3CDTF">2015-10-25T14:20:00Z</dcterms:created>
  <dcterms:modified xsi:type="dcterms:W3CDTF">2015-10-25T14:23:00Z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