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7E6A7A" w:rsidTr="007809D4">
        <w:trPr>
          <w:cantSplit/>
        </w:trPr>
        <w:tc>
          <w:tcPr>
            <w:tcW w:w="6663" w:type="dxa"/>
          </w:tcPr>
          <w:p w:rsidR="0090121B" w:rsidRPr="007E6A7A" w:rsidRDefault="005D46FB" w:rsidP="00F51E47">
            <w:pPr>
              <w:spacing w:before="400" w:after="48"/>
              <w:rPr>
                <w:rFonts w:ascii="Verdana" w:hAnsi="Verdana"/>
                <w:position w:val="6"/>
              </w:rPr>
            </w:pPr>
            <w:r w:rsidRPr="007E6A7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E6A7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E6A7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7E6A7A" w:rsidRDefault="00CE7431" w:rsidP="00F51E47">
            <w:pPr>
              <w:spacing w:before="0"/>
              <w:jc w:val="right"/>
            </w:pPr>
            <w:bookmarkStart w:id="0" w:name="ditulogo"/>
            <w:bookmarkEnd w:id="0"/>
            <w:r w:rsidRPr="007E6A7A">
              <w:rPr>
                <w:noProof/>
                <w:lang w:val="en-US" w:eastAsia="zh-CN"/>
              </w:rPr>
              <w:drawing>
                <wp:inline distT="0" distB="0" distL="0" distR="0" wp14:anchorId="6230F1E7" wp14:editId="0ABD12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E6A7A" w:rsidTr="007809D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7E6A7A" w:rsidRDefault="00CE7431" w:rsidP="00F51E47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7E6A7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7E6A7A" w:rsidRDefault="0090121B" w:rsidP="00F51E4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7E6A7A" w:rsidTr="007809D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7E6A7A" w:rsidRDefault="0090121B" w:rsidP="00F51E4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7E6A7A" w:rsidRDefault="0090121B" w:rsidP="00F51E4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7E6A7A" w:rsidTr="007809D4">
        <w:trPr>
          <w:cantSplit/>
        </w:trPr>
        <w:tc>
          <w:tcPr>
            <w:tcW w:w="6663" w:type="dxa"/>
            <w:shd w:val="clear" w:color="auto" w:fill="auto"/>
          </w:tcPr>
          <w:p w:rsidR="0090121B" w:rsidRPr="007E6A7A" w:rsidRDefault="00AE658F" w:rsidP="00F51E4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A7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7E6A7A" w:rsidRDefault="00D45555" w:rsidP="007809D4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7E6A7A">
              <w:rPr>
                <w:rFonts w:ascii="Verdana" w:eastAsia="SimSun" w:hAnsi="Verdana" w:cs="Traditional Arabic"/>
                <w:b/>
                <w:sz w:val="20"/>
              </w:rPr>
              <w:t>Documento 103</w:t>
            </w:r>
            <w:r w:rsidR="007809D4">
              <w:rPr>
                <w:rFonts w:ascii="Verdana" w:eastAsia="SimSun" w:hAnsi="Verdana" w:cs="Traditional Arabic"/>
                <w:b/>
                <w:sz w:val="20"/>
              </w:rPr>
              <w:t>(Add.24)</w:t>
            </w:r>
            <w:r w:rsidR="0090121B" w:rsidRPr="007E6A7A">
              <w:rPr>
                <w:rFonts w:ascii="Verdana" w:hAnsi="Verdana"/>
                <w:b/>
                <w:sz w:val="20"/>
              </w:rPr>
              <w:t>-</w:t>
            </w:r>
            <w:r w:rsidR="00AE658F" w:rsidRPr="007E6A7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E6A7A" w:rsidTr="007809D4">
        <w:trPr>
          <w:cantSplit/>
        </w:trPr>
        <w:tc>
          <w:tcPr>
            <w:tcW w:w="6663" w:type="dxa"/>
            <w:shd w:val="clear" w:color="auto" w:fill="auto"/>
          </w:tcPr>
          <w:p w:rsidR="000A5B9A" w:rsidRPr="007E6A7A" w:rsidRDefault="000A5B9A" w:rsidP="00F51E4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7E6A7A" w:rsidRDefault="000A5B9A" w:rsidP="00D4555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A7A">
              <w:rPr>
                <w:rFonts w:ascii="Verdana" w:hAnsi="Verdana"/>
                <w:b/>
                <w:sz w:val="20"/>
              </w:rPr>
              <w:t xml:space="preserve">1 de </w:t>
            </w:r>
            <w:r w:rsidR="00D45555">
              <w:rPr>
                <w:rFonts w:ascii="Verdana" w:hAnsi="Verdana"/>
                <w:b/>
                <w:sz w:val="20"/>
              </w:rPr>
              <w:t>noviembre</w:t>
            </w:r>
            <w:r w:rsidRPr="007E6A7A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7E6A7A" w:rsidTr="007809D4">
        <w:trPr>
          <w:cantSplit/>
        </w:trPr>
        <w:tc>
          <w:tcPr>
            <w:tcW w:w="6663" w:type="dxa"/>
          </w:tcPr>
          <w:p w:rsidR="000A5B9A" w:rsidRPr="007E6A7A" w:rsidRDefault="000A5B9A" w:rsidP="00F51E4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7E6A7A" w:rsidRDefault="000A5B9A" w:rsidP="00F51E4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A7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E6A7A" w:rsidTr="006744FC">
        <w:trPr>
          <w:cantSplit/>
        </w:trPr>
        <w:tc>
          <w:tcPr>
            <w:tcW w:w="10031" w:type="dxa"/>
            <w:gridSpan w:val="2"/>
          </w:tcPr>
          <w:p w:rsidR="000A5B9A" w:rsidRPr="007E6A7A" w:rsidRDefault="000A5B9A" w:rsidP="00F51E4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E6A7A" w:rsidTr="0050008E">
        <w:trPr>
          <w:cantSplit/>
        </w:trPr>
        <w:tc>
          <w:tcPr>
            <w:tcW w:w="10031" w:type="dxa"/>
            <w:gridSpan w:val="2"/>
          </w:tcPr>
          <w:p w:rsidR="000A5B9A" w:rsidRPr="007E6A7A" w:rsidRDefault="000A5B9A" w:rsidP="00F51E47">
            <w:pPr>
              <w:pStyle w:val="Source"/>
            </w:pPr>
            <w:bookmarkStart w:id="2" w:name="dsource" w:colFirst="0" w:colLast="0"/>
            <w:r w:rsidRPr="007E6A7A">
              <w:t>Japón</w:t>
            </w:r>
          </w:p>
        </w:tc>
      </w:tr>
      <w:tr w:rsidR="000A5B9A" w:rsidRPr="007E6A7A" w:rsidTr="0050008E">
        <w:trPr>
          <w:cantSplit/>
        </w:trPr>
        <w:tc>
          <w:tcPr>
            <w:tcW w:w="10031" w:type="dxa"/>
            <w:gridSpan w:val="2"/>
          </w:tcPr>
          <w:p w:rsidR="000A5B9A" w:rsidRPr="007E6A7A" w:rsidRDefault="00EE5DEC" w:rsidP="00F51E47">
            <w:pPr>
              <w:pStyle w:val="Title1"/>
            </w:pPr>
            <w:bookmarkStart w:id="3" w:name="dtitle1" w:colFirst="0" w:colLast="0"/>
            <w:bookmarkEnd w:id="2"/>
            <w:r w:rsidRPr="007E6A7A">
              <w:rPr>
                <w:rPrChange w:id="4" w:author="Spanish" w:date="2015-10-22T16:10:00Z">
                  <w:rPr>
                    <w:lang w:val="es-ES"/>
                  </w:rPr>
                </w:rPrChange>
              </w:rPr>
              <w:t>PROPUESTAS PARA LOS TRABAJOS DE LA CONFERENCIA</w:t>
            </w:r>
          </w:p>
        </w:tc>
      </w:tr>
      <w:tr w:rsidR="000A5B9A" w:rsidRPr="007E6A7A" w:rsidTr="0050008E">
        <w:trPr>
          <w:cantSplit/>
        </w:trPr>
        <w:tc>
          <w:tcPr>
            <w:tcW w:w="10031" w:type="dxa"/>
            <w:gridSpan w:val="2"/>
          </w:tcPr>
          <w:p w:rsidR="000A5B9A" w:rsidRPr="007E6A7A" w:rsidRDefault="000A5B9A" w:rsidP="00F51E47">
            <w:pPr>
              <w:pStyle w:val="Title2"/>
            </w:pPr>
            <w:bookmarkStart w:id="5" w:name="dtitle2" w:colFirst="0" w:colLast="0"/>
            <w:bookmarkEnd w:id="3"/>
          </w:p>
        </w:tc>
      </w:tr>
      <w:tr w:rsidR="000A5B9A" w:rsidRPr="007E6A7A" w:rsidTr="0050008E">
        <w:trPr>
          <w:cantSplit/>
        </w:trPr>
        <w:tc>
          <w:tcPr>
            <w:tcW w:w="10031" w:type="dxa"/>
            <w:gridSpan w:val="2"/>
          </w:tcPr>
          <w:p w:rsidR="000A5B9A" w:rsidRPr="007E6A7A" w:rsidRDefault="000A5B9A" w:rsidP="00F51E47">
            <w:pPr>
              <w:pStyle w:val="Agendaitem"/>
            </w:pPr>
            <w:bookmarkStart w:id="6" w:name="dtitle3" w:colFirst="0" w:colLast="0"/>
            <w:bookmarkEnd w:id="5"/>
            <w:r w:rsidRPr="007E6A7A">
              <w:t>Punto 10 del orden del día</w:t>
            </w:r>
          </w:p>
        </w:tc>
      </w:tr>
    </w:tbl>
    <w:bookmarkEnd w:id="6"/>
    <w:p w:rsidR="00E1398F" w:rsidRPr="007E6A7A" w:rsidRDefault="00C140C1" w:rsidP="00F51E47">
      <w:r w:rsidRPr="007E6A7A">
        <w:t>10</w:t>
      </w:r>
      <w:r w:rsidRPr="007E6A7A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1C6FE3" w:rsidRPr="007E6A7A" w:rsidRDefault="00250EFE" w:rsidP="00F51E47">
      <w:pPr>
        <w:pStyle w:val="Headingb"/>
      </w:pPr>
      <w:r w:rsidRPr="007E6A7A">
        <w:t>Antecedentes</w:t>
      </w:r>
    </w:p>
    <w:p w:rsidR="001C6FE3" w:rsidRPr="007E6A7A" w:rsidRDefault="00250EFE" w:rsidP="00E90793">
      <w:pPr>
        <w:rPr>
          <w:i/>
          <w:iCs/>
          <w:lang w:eastAsia="ja-JP"/>
        </w:rPr>
      </w:pPr>
      <w:r w:rsidRPr="007E6A7A">
        <w:rPr>
          <w:lang w:eastAsia="ja-JP"/>
        </w:rPr>
        <w:t>Japón apoya las propuestas contenidas en ASP/32A24 para el orden del día de la CMR-19 en la propuesta común de la APT (</w:t>
      </w:r>
      <w:r w:rsidR="006340AC" w:rsidRPr="007E6A7A">
        <w:rPr>
          <w:lang w:eastAsia="ja-JP"/>
        </w:rPr>
        <w:t>Addéndum</w:t>
      </w:r>
      <w:r w:rsidRPr="007E6A7A">
        <w:rPr>
          <w:lang w:eastAsia="ja-JP"/>
        </w:rPr>
        <w:t xml:space="preserve"> 24 al Documento 32). En el </w:t>
      </w:r>
      <w:r w:rsidRPr="007E6A7A">
        <w:rPr>
          <w:i/>
          <w:iCs/>
          <w:lang w:eastAsia="ja-JP"/>
        </w:rPr>
        <w:t>resuelve 1.2</w:t>
      </w:r>
      <w:r w:rsidRPr="007E6A7A">
        <w:rPr>
          <w:lang w:eastAsia="ja-JP"/>
        </w:rPr>
        <w:t xml:space="preserve"> </w:t>
      </w:r>
      <w:r w:rsidR="00E90793" w:rsidRPr="007E6A7A">
        <w:rPr>
          <w:lang w:eastAsia="ja-JP"/>
        </w:rPr>
        <w:t>se dispone c</w:t>
      </w:r>
      <w:r w:rsidR="009B3C14" w:rsidRPr="007E6A7A">
        <w:t xml:space="preserve">onsiderar los procedimientos reglamentarios apropiados para identificar </w:t>
      </w:r>
      <w:r w:rsidR="009B3C14" w:rsidRPr="007E6A7A">
        <w:rPr>
          <w:rFonts w:eastAsia="MS Gothic"/>
          <w:lang w:eastAsia="ja-JP"/>
        </w:rPr>
        <w:t>los servicios fijos y móviles terrestres que funcionan en la gama de frecuencias 275</w:t>
      </w:r>
      <w:r w:rsidR="009B3C14" w:rsidRPr="007E6A7A">
        <w:rPr>
          <w:rFonts w:eastAsia="MS Gothic"/>
          <w:lang w:eastAsia="ja-JP"/>
        </w:rPr>
        <w:noBreakHyphen/>
        <w:t>1 000 GHz</w:t>
      </w:r>
      <w:r w:rsidR="00E90793" w:rsidRPr="007E6A7A">
        <w:rPr>
          <w:iCs/>
        </w:rPr>
        <w:t xml:space="preserve"> de conformidad con la Resolución </w:t>
      </w:r>
      <w:r w:rsidR="001C6FE3" w:rsidRPr="007E6A7A">
        <w:rPr>
          <w:iCs/>
        </w:rPr>
        <w:t>[ASP-C10-MS&amp;FS_ABOVE_275GHz] (</w:t>
      </w:r>
      <w:r w:rsidR="00E90793" w:rsidRPr="007E6A7A">
        <w:rPr>
          <w:iCs/>
        </w:rPr>
        <w:t>CMR</w:t>
      </w:r>
      <w:r w:rsidR="001C6FE3" w:rsidRPr="007E6A7A">
        <w:rPr>
          <w:iCs/>
        </w:rPr>
        <w:t>-15)</w:t>
      </w:r>
      <w:r w:rsidR="001C6FE3" w:rsidRPr="007E6A7A">
        <w:t xml:space="preserve"> </w:t>
      </w:r>
      <w:r w:rsidR="001C6FE3" w:rsidRPr="007E6A7A">
        <w:rPr>
          <w:iCs/>
        </w:rPr>
        <w:t>(ASP/</w:t>
      </w:r>
      <w:r w:rsidR="001C6FE3" w:rsidRPr="007E6A7A">
        <w:rPr>
          <w:iCs/>
          <w:lang w:eastAsia="ja-JP"/>
        </w:rPr>
        <w:t>10</w:t>
      </w:r>
      <w:r w:rsidR="001C6FE3" w:rsidRPr="007E6A7A">
        <w:rPr>
          <w:iCs/>
        </w:rPr>
        <w:t>/15)</w:t>
      </w:r>
      <w:r w:rsidR="001C6FE3" w:rsidRPr="007E6A7A">
        <w:rPr>
          <w:iCs/>
          <w:lang w:eastAsia="ja-JP"/>
        </w:rPr>
        <w:t>.</w:t>
      </w:r>
    </w:p>
    <w:p w:rsidR="001C6FE3" w:rsidRPr="007E6A7A" w:rsidRDefault="00E90793" w:rsidP="00D45555">
      <w:pPr>
        <w:rPr>
          <w:iCs/>
          <w:lang w:eastAsia="ja-JP"/>
        </w:rPr>
      </w:pPr>
      <w:r w:rsidRPr="007E6A7A">
        <w:rPr>
          <w:lang w:eastAsia="ja-JP"/>
        </w:rPr>
        <w:t>El orden del día propuesto está relacionado con dos servicios de radiocomunicaciones, a saber, el servicio móvil terrestre y el servicio fijo</w:t>
      </w:r>
      <w:r w:rsidR="00F002FB" w:rsidRPr="007E6A7A">
        <w:rPr>
          <w:lang w:eastAsia="ja-JP"/>
        </w:rPr>
        <w:t>. En las Comisiones de Estudio del UIT-R</w:t>
      </w:r>
      <w:r w:rsidR="009B298E" w:rsidRPr="007E6A7A">
        <w:rPr>
          <w:lang w:eastAsia="ja-JP"/>
        </w:rPr>
        <w:t xml:space="preserve">, actualmente esos servicios son estudiados respectivamente por los Grupos de Trabajo 5A y 5C. Para atribuir </w:t>
      </w:r>
      <w:r w:rsidR="00EB740C" w:rsidRPr="007E6A7A">
        <w:rPr>
          <w:lang w:eastAsia="ja-JP"/>
        </w:rPr>
        <w:t xml:space="preserve">a los </w:t>
      </w:r>
      <w:r w:rsidR="002D0051" w:rsidRPr="007E6A7A">
        <w:rPr>
          <w:lang w:eastAsia="ja-JP"/>
        </w:rPr>
        <w:t xml:space="preserve">Grupos </w:t>
      </w:r>
      <w:r w:rsidR="00EB740C" w:rsidRPr="007E6A7A">
        <w:rPr>
          <w:lang w:eastAsia="ja-JP"/>
        </w:rPr>
        <w:t xml:space="preserve">de </w:t>
      </w:r>
      <w:r w:rsidR="002D0051" w:rsidRPr="007E6A7A">
        <w:rPr>
          <w:lang w:eastAsia="ja-JP"/>
        </w:rPr>
        <w:t xml:space="preserve">Trabajo </w:t>
      </w:r>
      <w:r w:rsidR="00EB740C" w:rsidRPr="007E6A7A">
        <w:rPr>
          <w:lang w:eastAsia="ja-JP"/>
        </w:rPr>
        <w:t xml:space="preserve">adecuados </w:t>
      </w:r>
      <w:r w:rsidR="009B298E" w:rsidRPr="007E6A7A">
        <w:rPr>
          <w:lang w:eastAsia="ja-JP"/>
        </w:rPr>
        <w:t xml:space="preserve">el trabajo especificado en </w:t>
      </w:r>
      <w:r w:rsidR="009B298E" w:rsidRPr="007E6A7A">
        <w:rPr>
          <w:i/>
          <w:iCs/>
          <w:lang w:eastAsia="ja-JP"/>
        </w:rPr>
        <w:t>invita al UIT-R</w:t>
      </w:r>
      <w:r w:rsidR="009B298E" w:rsidRPr="007E6A7A">
        <w:rPr>
          <w:lang w:eastAsia="ja-JP"/>
        </w:rPr>
        <w:t xml:space="preserve"> del proyecto de nueva Resolución</w:t>
      </w:r>
      <w:r w:rsidR="001C6FE3" w:rsidRPr="007E6A7A">
        <w:rPr>
          <w:lang w:eastAsia="ja-JP"/>
        </w:rPr>
        <w:t xml:space="preserve"> [ASP-C10-MS&amp;FS_ABOVE_275GH</w:t>
      </w:r>
      <w:r w:rsidR="00D45555">
        <w:rPr>
          <w:lang w:eastAsia="ja-JP"/>
        </w:rPr>
        <w:t>z</w:t>
      </w:r>
      <w:r w:rsidR="001C6FE3" w:rsidRPr="007E6A7A">
        <w:rPr>
          <w:lang w:eastAsia="ja-JP"/>
        </w:rPr>
        <w:t>] (</w:t>
      </w:r>
      <w:r w:rsidRPr="007E6A7A">
        <w:rPr>
          <w:iCs/>
        </w:rPr>
        <w:t>CMR</w:t>
      </w:r>
      <w:r w:rsidR="001C6FE3" w:rsidRPr="007E6A7A">
        <w:rPr>
          <w:lang w:eastAsia="ja-JP"/>
        </w:rPr>
        <w:t>-15)</w:t>
      </w:r>
      <w:r w:rsidR="009B298E" w:rsidRPr="007E6A7A">
        <w:rPr>
          <w:lang w:eastAsia="ja-JP"/>
        </w:rPr>
        <w:t xml:space="preserve"> recogido en el Apéndice 2 al </w:t>
      </w:r>
      <w:r w:rsidR="00866279" w:rsidRPr="007E6A7A">
        <w:rPr>
          <w:lang w:eastAsia="ja-JP"/>
        </w:rPr>
        <w:t>Addéndum</w:t>
      </w:r>
      <w:r w:rsidR="009B298E" w:rsidRPr="007E6A7A">
        <w:rPr>
          <w:lang w:eastAsia="ja-JP"/>
        </w:rPr>
        <w:t xml:space="preserve"> 24 al Documento 32</w:t>
      </w:r>
      <w:r w:rsidR="00EB740C" w:rsidRPr="007E6A7A">
        <w:rPr>
          <w:lang w:eastAsia="ja-JP"/>
        </w:rPr>
        <w:t>, Japón propone otra nueva Resolución que consistirá en una ligera modificación del proyecto de nueva Resolución</w:t>
      </w:r>
      <w:r w:rsidR="001C6FE3" w:rsidRPr="007E6A7A">
        <w:rPr>
          <w:lang w:eastAsia="ja-JP"/>
        </w:rPr>
        <w:t>:</w:t>
      </w:r>
    </w:p>
    <w:p w:rsidR="001C6FE3" w:rsidRPr="007E6A7A" w:rsidRDefault="000A483F" w:rsidP="002D0051">
      <w:pPr>
        <w:pStyle w:val="enumlev1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r w:rsidR="002D0051">
        <w:rPr>
          <w:lang w:eastAsia="ja-JP"/>
        </w:rPr>
        <w:t>a</w:t>
      </w:r>
      <w:r w:rsidR="00EB740C" w:rsidRPr="007E6A7A">
        <w:rPr>
          <w:lang w:eastAsia="ja-JP"/>
        </w:rPr>
        <w:t>ñadir las Cuestiones conexas del UIT-R (es decir, Cuesti</w:t>
      </w:r>
      <w:r w:rsidR="003C7C97" w:rsidRPr="007E6A7A">
        <w:rPr>
          <w:lang w:eastAsia="ja-JP"/>
        </w:rPr>
        <w:t>ones</w:t>
      </w:r>
      <w:r w:rsidR="00EB740C" w:rsidRPr="007E6A7A">
        <w:rPr>
          <w:lang w:eastAsia="ja-JP"/>
        </w:rPr>
        <w:t xml:space="preserve"> UIT-R 256-0/5</w:t>
      </w:r>
      <w:r w:rsidR="00DD0A7D" w:rsidRPr="007E6A7A">
        <w:rPr>
          <w:lang w:eastAsia="ja-JP"/>
        </w:rPr>
        <w:t xml:space="preserve"> y UIT</w:t>
      </w:r>
      <w:r w:rsidR="003C7C97" w:rsidRPr="007E6A7A">
        <w:rPr>
          <w:lang w:eastAsia="ja-JP"/>
        </w:rPr>
        <w:noBreakHyphen/>
      </w:r>
      <w:r w:rsidR="00DD0A7D" w:rsidRPr="007E6A7A">
        <w:rPr>
          <w:lang w:eastAsia="ja-JP"/>
        </w:rPr>
        <w:t>R</w:t>
      </w:r>
      <w:r w:rsidR="003C7C97" w:rsidRPr="007E6A7A">
        <w:rPr>
          <w:lang w:eastAsia="ja-JP"/>
        </w:rPr>
        <w:t> </w:t>
      </w:r>
      <w:r w:rsidR="00DD0A7D" w:rsidRPr="007E6A7A">
        <w:rPr>
          <w:lang w:eastAsia="ja-JP"/>
        </w:rPr>
        <w:t>257</w:t>
      </w:r>
      <w:r w:rsidR="003C7C97" w:rsidRPr="007E6A7A">
        <w:rPr>
          <w:lang w:eastAsia="ja-JP"/>
        </w:rPr>
        <w:noBreakHyphen/>
      </w:r>
      <w:r w:rsidR="00DD0A7D" w:rsidRPr="007E6A7A">
        <w:rPr>
          <w:lang w:eastAsia="ja-JP"/>
        </w:rPr>
        <w:t>0/5) al ámbito de Trabajo del GT 5</w:t>
      </w:r>
      <w:r w:rsidR="003C7C97" w:rsidRPr="007E6A7A">
        <w:rPr>
          <w:lang w:eastAsia="ja-JP"/>
        </w:rPr>
        <w:t>A</w:t>
      </w:r>
      <w:r w:rsidR="00DD0A7D" w:rsidRPr="007E6A7A">
        <w:rPr>
          <w:lang w:eastAsia="ja-JP"/>
        </w:rPr>
        <w:t xml:space="preserve"> y el GT 5C,</w:t>
      </w:r>
      <w:r w:rsidR="003C7C97" w:rsidRPr="007E6A7A">
        <w:rPr>
          <w:lang w:eastAsia="ja-JP"/>
        </w:rPr>
        <w:t xml:space="preserve"> que fueron recientemente aprobadas como </w:t>
      </w:r>
      <w:r w:rsidR="003C7C97" w:rsidRPr="007E6A7A">
        <w:rPr>
          <w:i/>
          <w:iCs/>
          <w:lang w:eastAsia="ja-JP"/>
        </w:rPr>
        <w:t>observando e)</w:t>
      </w:r>
      <w:r w:rsidR="003C7C97" w:rsidRPr="007E6A7A">
        <w:rPr>
          <w:lang w:eastAsia="ja-JP"/>
        </w:rPr>
        <w:t xml:space="preserve"> y </w:t>
      </w:r>
      <w:r w:rsidR="003C7C97" w:rsidRPr="007E6A7A">
        <w:rPr>
          <w:i/>
          <w:iCs/>
          <w:lang w:eastAsia="ja-JP"/>
        </w:rPr>
        <w:t>f)</w:t>
      </w:r>
      <w:r w:rsidR="001C6FE3" w:rsidRPr="007E6A7A">
        <w:rPr>
          <w:rFonts w:eastAsia="MS Mincho"/>
          <w:iCs/>
          <w:lang w:eastAsia="ja-JP"/>
        </w:rPr>
        <w:t>;</w:t>
      </w:r>
    </w:p>
    <w:p w:rsidR="001C6FE3" w:rsidRPr="007E6A7A" w:rsidRDefault="000A483F" w:rsidP="002D0051">
      <w:pPr>
        <w:pStyle w:val="enumlev1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r w:rsidR="002D0051">
        <w:rPr>
          <w:lang w:eastAsia="ja-JP"/>
        </w:rPr>
        <w:t>s</w:t>
      </w:r>
      <w:r w:rsidR="003C7C97" w:rsidRPr="007E6A7A">
        <w:rPr>
          <w:lang w:eastAsia="ja-JP"/>
        </w:rPr>
        <w:t xml:space="preserve">ubdividir editorialmente los temas de estudio indicados en </w:t>
      </w:r>
      <w:r w:rsidR="003C7C97" w:rsidRPr="007E6A7A">
        <w:rPr>
          <w:i/>
          <w:iCs/>
          <w:lang w:eastAsia="ja-JP"/>
        </w:rPr>
        <w:t>invita al UIT-R</w:t>
      </w:r>
      <w:r w:rsidR="003C7C97" w:rsidRPr="007E6A7A">
        <w:rPr>
          <w:lang w:eastAsia="ja-JP"/>
        </w:rPr>
        <w:t xml:space="preserve"> en dos categorías en función de los servicios de radiocomunicaciones, sin cambiar el fondo</w:t>
      </w:r>
      <w:r w:rsidR="001C6FE3" w:rsidRPr="007E6A7A">
        <w:rPr>
          <w:iCs/>
          <w:lang w:eastAsia="ja-JP"/>
        </w:rPr>
        <w:t>.</w:t>
      </w:r>
    </w:p>
    <w:p w:rsidR="001C6FE3" w:rsidRPr="007E6A7A" w:rsidRDefault="006340AC" w:rsidP="006340AC">
      <w:pPr>
        <w:rPr>
          <w:lang w:eastAsia="ja-JP"/>
        </w:rPr>
      </w:pPr>
      <w:r w:rsidRPr="007E6A7A">
        <w:rPr>
          <w:iCs/>
          <w:lang w:eastAsia="ja-JP"/>
        </w:rPr>
        <w:t xml:space="preserve">Estos dos puntos son las únicas diferencias con respecto a </w:t>
      </w:r>
      <w:r w:rsidR="001C6FE3" w:rsidRPr="007E6A7A">
        <w:rPr>
          <w:iCs/>
          <w:lang w:eastAsia="ja-JP"/>
        </w:rPr>
        <w:t>ASP/32A24/15</w:t>
      </w:r>
      <w:r w:rsidRPr="007E6A7A">
        <w:rPr>
          <w:iCs/>
          <w:lang w:eastAsia="ja-JP"/>
        </w:rPr>
        <w:t xml:space="preserve"> propuesto por la APT</w:t>
      </w:r>
      <w:r w:rsidR="001C6FE3" w:rsidRPr="007E6A7A">
        <w:rPr>
          <w:iCs/>
          <w:lang w:eastAsia="ja-JP"/>
        </w:rPr>
        <w:t>.</w:t>
      </w:r>
    </w:p>
    <w:p w:rsidR="001C6FE3" w:rsidRPr="007E6A7A" w:rsidRDefault="001C6FE3" w:rsidP="000A483F">
      <w:pPr>
        <w:pStyle w:val="Headingb"/>
        <w:rPr>
          <w:lang w:eastAsia="ja-JP"/>
        </w:rPr>
      </w:pPr>
      <w:r w:rsidRPr="007E6A7A">
        <w:rPr>
          <w:lang w:eastAsia="ja-JP"/>
        </w:rPr>
        <w:t>Prop</w:t>
      </w:r>
      <w:r w:rsidR="006340AC" w:rsidRPr="007E6A7A">
        <w:rPr>
          <w:lang w:eastAsia="ja-JP"/>
        </w:rPr>
        <w:t>uesta</w:t>
      </w:r>
    </w:p>
    <w:p w:rsidR="008750A8" w:rsidRPr="007E6A7A" w:rsidRDefault="008750A8" w:rsidP="00F51E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E6A7A">
        <w:br w:type="page"/>
      </w:r>
    </w:p>
    <w:p w:rsidR="00D76E9C" w:rsidRPr="007E6A7A" w:rsidRDefault="00C140C1" w:rsidP="00F51E47">
      <w:pPr>
        <w:pStyle w:val="Proposal"/>
      </w:pPr>
      <w:r w:rsidRPr="007E6A7A">
        <w:lastRenderedPageBreak/>
        <w:t>ADD</w:t>
      </w:r>
      <w:r w:rsidRPr="007E6A7A">
        <w:tab/>
        <w:t>J/103A24/1</w:t>
      </w:r>
    </w:p>
    <w:p w:rsidR="00D76E9C" w:rsidRPr="007E6A7A" w:rsidRDefault="009B3C14" w:rsidP="00770792">
      <w:pPr>
        <w:pStyle w:val="ResNo"/>
      </w:pPr>
      <w:r w:rsidRPr="007E6A7A">
        <w:t>PROYECTO DE NUEVA RE</w:t>
      </w:r>
      <w:r w:rsidR="00A12AD9" w:rsidRPr="007E6A7A">
        <w:t>solu</w:t>
      </w:r>
      <w:r w:rsidRPr="007E6A7A">
        <w:t>CIÓN</w:t>
      </w:r>
      <w:r w:rsidR="00770792">
        <w:br/>
      </w:r>
      <w:r w:rsidR="00C140C1" w:rsidRPr="007E6A7A">
        <w:t>[J-C10-MS&amp;FS_ABOVE_275GHZ] (</w:t>
      </w:r>
      <w:r w:rsidR="00A12AD9" w:rsidRPr="007E6A7A">
        <w:t>CMR</w:t>
      </w:r>
      <w:r w:rsidR="00C140C1" w:rsidRPr="007E6A7A">
        <w:t>-15)</w:t>
      </w:r>
    </w:p>
    <w:p w:rsidR="009B3C14" w:rsidRPr="009A7AE8" w:rsidRDefault="009B3C14" w:rsidP="009A7AE8">
      <w:pPr>
        <w:pStyle w:val="Restitle"/>
        <w:rPr>
          <w:rFonts w:eastAsia="SimSun"/>
        </w:rPr>
      </w:pPr>
      <w:r w:rsidRPr="009A7AE8">
        <w:rPr>
          <w:rFonts w:eastAsia="SimSun"/>
        </w:rPr>
        <w:t>Medidas reglamentarias apropiadas para los servicios fijos y móviles terrestres que funcionan en la gama de frecuencias 275</w:t>
      </w:r>
      <w:r w:rsidRPr="009A7AE8">
        <w:rPr>
          <w:rFonts w:eastAsia="SimSun"/>
        </w:rPr>
        <w:noBreakHyphen/>
        <w:t>1 000 GHz</w:t>
      </w:r>
    </w:p>
    <w:p w:rsidR="00F16F9D" w:rsidRPr="007E6A7A" w:rsidRDefault="00F16F9D" w:rsidP="00F51E47">
      <w:pPr>
        <w:pStyle w:val="Normalaftertitle"/>
        <w:rPr>
          <w:lang w:eastAsia="ja-JP"/>
        </w:rPr>
      </w:pPr>
      <w:r w:rsidRPr="007E6A7A">
        <w:t>La Conferencia Mundial de Radiocomunicaciones (Ginebra, 2015)</w:t>
      </w:r>
    </w:p>
    <w:p w:rsidR="00F16F9D" w:rsidRPr="007E6A7A" w:rsidRDefault="00F16F9D" w:rsidP="00F51E47">
      <w:pPr>
        <w:pStyle w:val="Call"/>
        <w:rPr>
          <w:i w:val="0"/>
          <w:lang w:eastAsia="zh-CN"/>
        </w:rPr>
      </w:pPr>
      <w:r w:rsidRPr="007E6A7A">
        <w:t xml:space="preserve">considerando </w:t>
      </w:r>
    </w:p>
    <w:p w:rsidR="00F16F9D" w:rsidRPr="007E6A7A" w:rsidRDefault="00F16F9D" w:rsidP="00F51E47">
      <w:r w:rsidRPr="007E6A7A">
        <w:rPr>
          <w:rStyle w:val="Artdef"/>
          <w:b w:val="0"/>
          <w:i/>
          <w:iCs/>
          <w:color w:val="000000"/>
          <w:szCs w:val="24"/>
        </w:rPr>
        <w:t>a)</w:t>
      </w:r>
      <w:r w:rsidRPr="007E6A7A">
        <w:rPr>
          <w:rStyle w:val="Artdef"/>
          <w:b w:val="0"/>
          <w:i/>
          <w:iCs/>
          <w:color w:val="000000"/>
          <w:szCs w:val="24"/>
        </w:rPr>
        <w:tab/>
      </w:r>
      <w:r w:rsidRPr="00CF65E6">
        <w:t>que se ha identificado un cierto número de bandas en la gama de frecuencias 275</w:t>
      </w:r>
      <w:r w:rsidRPr="00CF65E6">
        <w:noBreakHyphen/>
        <w:t>1 000 GHz que pueden ser utilizadas por las administraciones para las aplicaciones de los servicios pasivos, como el servicio de radioastronomía, el servicio de exploración</w:t>
      </w:r>
      <w:r w:rsidRPr="007E6A7A">
        <w:t xml:space="preserve"> de la Tierra por satélite (pasivo) y el servicio de investigación espacial (pasivo);</w:t>
      </w:r>
    </w:p>
    <w:p w:rsidR="00F16F9D" w:rsidRPr="007E6A7A" w:rsidRDefault="00F16F9D" w:rsidP="00F51E47">
      <w:r w:rsidRPr="007E6A7A">
        <w:rPr>
          <w:i/>
          <w:iCs/>
        </w:rPr>
        <w:t>b)</w:t>
      </w:r>
      <w:r w:rsidRPr="007E6A7A">
        <w:rPr>
          <w:i/>
          <w:iCs/>
        </w:rPr>
        <w:tab/>
      </w:r>
      <w:r w:rsidRPr="007E6A7A">
        <w:t xml:space="preserve">que el número </w:t>
      </w:r>
      <w:r w:rsidRPr="007E6A7A">
        <w:rPr>
          <w:b/>
          <w:bCs/>
        </w:rPr>
        <w:t>5.565</w:t>
      </w:r>
      <w:r w:rsidRPr="007E6A7A">
        <w:t xml:space="preserve"> dispone que la utilización de frecuencias de la gama 275</w:t>
      </w:r>
      <w:r w:rsidRPr="007E6A7A">
        <w:noBreakHyphen/>
        <w:t xml:space="preserve">1 000 GHz por los servicios pasivos no </w:t>
      </w:r>
      <w:r w:rsidRPr="007E6A7A">
        <w:rPr>
          <w:szCs w:val="24"/>
        </w:rPr>
        <w:t>obstaculizará</w:t>
      </w:r>
      <w:r w:rsidRPr="007E6A7A">
        <w:t xml:space="preserve"> la utilización de esta gama por los servicios activos;</w:t>
      </w:r>
    </w:p>
    <w:p w:rsidR="00F16F9D" w:rsidRPr="007E6A7A" w:rsidRDefault="00F16F9D" w:rsidP="00F51E47">
      <w:r w:rsidRPr="007E6A7A">
        <w:rPr>
          <w:i/>
          <w:iCs/>
        </w:rPr>
        <w:t>c)</w:t>
      </w:r>
      <w:r w:rsidRPr="007E6A7A">
        <w:rPr>
          <w:i/>
          <w:iCs/>
        </w:rPr>
        <w:tab/>
      </w:r>
      <w:r w:rsidRPr="007E6A7A">
        <w:t xml:space="preserve">que se insta a las administraciones que deseen poner a disposición las frecuencias en la gama 275-1 000 GHz para aplicaciones de los servicios activos a que adopten todas las medidas prácticamente posibles para proteger los servicios pasivos contra las </w:t>
      </w:r>
      <w:r w:rsidRPr="007E6A7A">
        <w:rPr>
          <w:spacing w:val="-5"/>
        </w:rPr>
        <w:t>i</w:t>
      </w:r>
      <w:r w:rsidRPr="007E6A7A">
        <w:t>nterfe</w:t>
      </w:r>
      <w:r w:rsidRPr="007E6A7A">
        <w:rPr>
          <w:spacing w:val="-5"/>
        </w:rPr>
        <w:t xml:space="preserve">rencias perjudiciales </w:t>
      </w:r>
      <w:r w:rsidRPr="007E6A7A">
        <w:t>hasta la fecha en que se establezca el Cuadro de atribución en las gamas de frecuencias 275</w:t>
      </w:r>
      <w:r w:rsidRPr="007E6A7A">
        <w:noBreakHyphen/>
        <w:t xml:space="preserve">1 000 GHz mencionadas </w:t>
      </w:r>
      <w:r w:rsidRPr="007E6A7A">
        <w:rPr>
          <w:i/>
          <w:iCs/>
        </w:rPr>
        <w:t>supra</w:t>
      </w:r>
      <w:r w:rsidRPr="007E6A7A">
        <w:t>;</w:t>
      </w:r>
    </w:p>
    <w:p w:rsidR="00F16F9D" w:rsidRPr="007E6A7A" w:rsidRDefault="00F16F9D" w:rsidP="00F51E47">
      <w:r w:rsidRPr="007E6A7A">
        <w:rPr>
          <w:i/>
          <w:iCs/>
        </w:rPr>
        <w:t>d)</w:t>
      </w:r>
      <w:r w:rsidRPr="007E6A7A">
        <w:rPr>
          <w:i/>
          <w:iCs/>
        </w:rPr>
        <w:tab/>
      </w:r>
      <w:r w:rsidRPr="007E6A7A">
        <w:t>que los dispositivos activos que pueden funcionar a temperatura ambiente en la banda por encima de 275 GHz son factibles debido a los esfuerzos considerables desplegados por numerosas organizaciones de investigación y desarrollo;</w:t>
      </w:r>
    </w:p>
    <w:p w:rsidR="00F16F9D" w:rsidRPr="007E6A7A" w:rsidRDefault="00F16F9D" w:rsidP="00F51E47">
      <w:r w:rsidRPr="007E6A7A">
        <w:rPr>
          <w:i/>
          <w:iCs/>
        </w:rPr>
        <w:t>e)</w:t>
      </w:r>
      <w:r w:rsidRPr="007E6A7A">
        <w:tab/>
        <w:t xml:space="preserve">que las organizaciones de investigación y desarrollo han demostrado que los sistemas de comunicaciones de datos de ultraalta velocidad de hasta 100 Gbps funcionan en la banda por encima de 275 GHz; </w:t>
      </w:r>
    </w:p>
    <w:p w:rsidR="00F16F9D" w:rsidRPr="007E6A7A" w:rsidRDefault="00F16F9D" w:rsidP="00F51E47">
      <w:r w:rsidRPr="007E6A7A">
        <w:rPr>
          <w:i/>
          <w:iCs/>
        </w:rPr>
        <w:t>f)</w:t>
      </w:r>
      <w:r w:rsidRPr="007E6A7A">
        <w:tab/>
        <w:t>que el IEEE está elaborando normas para dispositivos que utilizan la banda de frecuencias por encima de 275 GHz;</w:t>
      </w:r>
    </w:p>
    <w:p w:rsidR="00F16F9D" w:rsidRPr="007E6A7A" w:rsidRDefault="00F16F9D" w:rsidP="00F51E47">
      <w:r w:rsidRPr="007E6A7A">
        <w:rPr>
          <w:i/>
          <w:iCs/>
        </w:rPr>
        <w:t>g)</w:t>
      </w:r>
      <w:r w:rsidRPr="007E6A7A">
        <w:tab/>
        <w:t>que la Comisión de Estudio 3 del UIT-R ha estudiado también las características de propagación de frecuencias por encima de 275 GHz;</w:t>
      </w:r>
    </w:p>
    <w:p w:rsidR="00F16F9D" w:rsidRPr="007E6A7A" w:rsidRDefault="00F16F9D" w:rsidP="00F51E47">
      <w:r w:rsidRPr="007E6A7A">
        <w:rPr>
          <w:i/>
          <w:iCs/>
        </w:rPr>
        <w:t>h)</w:t>
      </w:r>
      <w:r w:rsidRPr="007E6A7A">
        <w:tab/>
        <w:t xml:space="preserve">que el UIT-R ha llevado a cabo el estudio sobre características técnicas y de funcionamiento de los servicios activos que funcionan en la gama 275-1 000 GHz; </w:t>
      </w:r>
    </w:p>
    <w:p w:rsidR="00F16F9D" w:rsidRPr="007E6A7A" w:rsidRDefault="00F16F9D" w:rsidP="00F51E47">
      <w:r w:rsidRPr="007E6A7A">
        <w:rPr>
          <w:i/>
          <w:iCs/>
        </w:rPr>
        <w:t>i)</w:t>
      </w:r>
      <w:r w:rsidRPr="007E6A7A">
        <w:tab/>
        <w:t xml:space="preserve">que, como resultado del </w:t>
      </w:r>
      <w:r w:rsidRPr="007E6A7A">
        <w:rPr>
          <w:i/>
          <w:iCs/>
        </w:rPr>
        <w:t>considerando</w:t>
      </w:r>
      <w:r w:rsidRPr="007E6A7A">
        <w:t xml:space="preserve"> </w:t>
      </w:r>
      <w:r w:rsidRPr="007E6A7A">
        <w:rPr>
          <w:i/>
          <w:iCs/>
        </w:rPr>
        <w:t>h)</w:t>
      </w:r>
      <w:r w:rsidRPr="007E6A7A">
        <w:t>, el UIT-R ha iniciado el estudio sobre características técnicas y de funcionamiento de los servicios fijos y móviles terrestres que funcionan en la banda de frecuencias 275-1 000 GHz;</w:t>
      </w:r>
    </w:p>
    <w:p w:rsidR="00F16F9D" w:rsidRPr="007E6A7A" w:rsidRDefault="00F16F9D" w:rsidP="00F51E47">
      <w:r w:rsidRPr="007E6A7A">
        <w:rPr>
          <w:i/>
          <w:iCs/>
        </w:rPr>
        <w:t>j)</w:t>
      </w:r>
      <w:r w:rsidRPr="007E6A7A">
        <w:tab/>
        <w:t>que el GT 7C observó una posible interferencia causada por los servicios activos en la gama de frecuencia 275-1 000 GHz donde la atenuación atmosférica es baja;</w:t>
      </w:r>
    </w:p>
    <w:p w:rsidR="00F16F9D" w:rsidRPr="007E6A7A" w:rsidRDefault="00F16F9D" w:rsidP="00F51E47">
      <w:r w:rsidRPr="007E6A7A">
        <w:rPr>
          <w:i/>
          <w:iCs/>
        </w:rPr>
        <w:t>k)</w:t>
      </w:r>
      <w:r w:rsidRPr="007E6A7A">
        <w:rPr>
          <w:i/>
          <w:iCs/>
        </w:rPr>
        <w:tab/>
      </w:r>
      <w:r w:rsidRPr="007E6A7A">
        <w:t xml:space="preserve">que debe asegurarse la coexistencia de los servicios pasivos identificados en el número </w:t>
      </w:r>
      <w:r w:rsidRPr="007E6A7A">
        <w:rPr>
          <w:b/>
          <w:bCs/>
        </w:rPr>
        <w:t>5.565</w:t>
      </w:r>
      <w:r w:rsidR="002D0051" w:rsidRPr="002D0051">
        <w:t xml:space="preserve"> </w:t>
      </w:r>
      <w:r w:rsidRPr="007E6A7A">
        <w:t>con los servicios activos recientemente introducidos;</w:t>
      </w:r>
    </w:p>
    <w:p w:rsidR="00F16F9D" w:rsidRPr="007E6A7A" w:rsidRDefault="00F16F9D" w:rsidP="00F51E47">
      <w:r w:rsidRPr="007E6A7A">
        <w:rPr>
          <w:i/>
          <w:iCs/>
        </w:rPr>
        <w:lastRenderedPageBreak/>
        <w:t>l)</w:t>
      </w:r>
      <w:r w:rsidRPr="007E6A7A">
        <w:tab/>
        <w:t>que no se han especificado las características técnicas y de funcionamiento de los servicios fijos y móviles terrestres que funcionan en la banda de frecuencias 275-1 000 GHz y son necesarios nuevos estudios;</w:t>
      </w:r>
    </w:p>
    <w:p w:rsidR="00F16F9D" w:rsidRPr="007E6A7A" w:rsidRDefault="00F16F9D" w:rsidP="00F51E47">
      <w:r w:rsidRPr="007E6A7A">
        <w:rPr>
          <w:i/>
          <w:iCs/>
        </w:rPr>
        <w:t>m)</w:t>
      </w:r>
      <w:r w:rsidRPr="007E6A7A">
        <w:tab/>
        <w:t xml:space="preserve">que se necesitan modelos de propagación de los servicios fijos y móviles terrestres que funcionan en la banda de frecuencias 275-1 000 GHz; </w:t>
      </w:r>
    </w:p>
    <w:p w:rsidR="00F16F9D" w:rsidRPr="007E6A7A" w:rsidRDefault="00F16F9D" w:rsidP="00F51E47">
      <w:r w:rsidRPr="007E6A7A">
        <w:rPr>
          <w:i/>
          <w:iCs/>
        </w:rPr>
        <w:t>n)</w:t>
      </w:r>
      <w:r w:rsidRPr="007E6A7A">
        <w:tab/>
        <w:t>que no se han examinado los estudios de compartición y compatibilidad entre los servicios pasivos y los servicios fijos y móviles terrestres que funcionan en la banda de frecuencias 275</w:t>
      </w:r>
      <w:r w:rsidRPr="007E6A7A">
        <w:noBreakHyphen/>
        <w:t xml:space="preserve">1 000 GHz; </w:t>
      </w:r>
    </w:p>
    <w:p w:rsidR="00F16F9D" w:rsidRPr="007E6A7A" w:rsidRDefault="00F16F9D" w:rsidP="00F51E47">
      <w:pPr>
        <w:pStyle w:val="Call"/>
      </w:pPr>
      <w:r w:rsidRPr="007E6A7A">
        <w:t>observando</w:t>
      </w:r>
    </w:p>
    <w:p w:rsidR="00F16F9D" w:rsidRPr="007E6A7A" w:rsidRDefault="00F16F9D" w:rsidP="00F51E47">
      <w:r w:rsidRPr="007E6A7A">
        <w:rPr>
          <w:i/>
          <w:iCs/>
        </w:rPr>
        <w:t>a)</w:t>
      </w:r>
      <w:r w:rsidRPr="007E6A7A">
        <w:rPr>
          <w:i/>
          <w:iCs/>
        </w:rPr>
        <w:tab/>
      </w:r>
      <w:r w:rsidRPr="007E6A7A">
        <w:t xml:space="preserve">que la Cuestión UIT-R 228-2/3, «Datos de propagación requeridos para la planificación de los sistemas de radiocomunicaciones que funcionan por encima de 275 GHz», </w:t>
      </w:r>
      <w:r w:rsidR="00866279" w:rsidRPr="007E6A7A">
        <w:t>trata de</w:t>
      </w:r>
      <w:r w:rsidRPr="007E6A7A">
        <w:t xml:space="preserve"> estudios sobre los modelos que describen más adecuadamente la relación existente entre los parámetros atmosféricos y las características de onda electromagnética de los enlaces terrenales que funcionan en frecuencias por encima de 275 GHz;</w:t>
      </w:r>
    </w:p>
    <w:p w:rsidR="00F16F9D" w:rsidRPr="007E6A7A" w:rsidRDefault="00F16F9D" w:rsidP="00F51E47">
      <w:r w:rsidRPr="007E6A7A">
        <w:rPr>
          <w:i/>
          <w:iCs/>
        </w:rPr>
        <w:t>b)</w:t>
      </w:r>
      <w:r w:rsidRPr="007E6A7A">
        <w:rPr>
          <w:i/>
          <w:iCs/>
        </w:rPr>
        <w:tab/>
      </w:r>
      <w:r w:rsidRPr="007E6A7A">
        <w:t xml:space="preserve">que la Cuestión UIT-R 264/4, «Características técnicas y operacionales de las redes del servicio fijo por satélite que funcionan por encima de 275 GHz», </w:t>
      </w:r>
      <w:r w:rsidR="00866279" w:rsidRPr="007E6A7A">
        <w:t>trata de</w:t>
      </w:r>
      <w:r w:rsidRPr="007E6A7A">
        <w:t xml:space="preserve"> estudios sobre las características técnicas y operacionales de los enlaces Tierra-espacio, espacio-Tierra y espacio</w:t>
      </w:r>
      <w:r w:rsidRPr="007E6A7A">
        <w:noBreakHyphen/>
        <w:t xml:space="preserve">espacio que funcionan en frecuencias por encima de 275 GHz; </w:t>
      </w:r>
    </w:p>
    <w:p w:rsidR="00F16F9D" w:rsidRPr="007E6A7A" w:rsidRDefault="00F16F9D" w:rsidP="00F51E47">
      <w:r w:rsidRPr="007E6A7A">
        <w:rPr>
          <w:i/>
          <w:iCs/>
        </w:rPr>
        <w:t>c)</w:t>
      </w:r>
      <w:r w:rsidRPr="007E6A7A">
        <w:tab/>
        <w:t xml:space="preserve">que la Cuestión UIT-R 235-1/7, «Características técnicas y operacionales de las aplicaciones de los servicios científicos que funcionan por encima de 275 GHz», </w:t>
      </w:r>
      <w:r w:rsidR="00866279" w:rsidRPr="007E6A7A">
        <w:t>trata de</w:t>
      </w:r>
      <w:r w:rsidRPr="007E6A7A">
        <w:t xml:space="preserve"> estudios orientativos sobre las </w:t>
      </w:r>
      <w:r w:rsidRPr="007E6A7A">
        <w:rPr>
          <w:bCs/>
        </w:rPr>
        <w:t>características técnicas y operacionales de los sistemas que funcionan en frecuencias por encima de 275 GHz en los servicios científicos</w:t>
      </w:r>
      <w:r w:rsidRPr="007E6A7A">
        <w:t>;</w:t>
      </w:r>
    </w:p>
    <w:p w:rsidR="00F16F9D" w:rsidRPr="007E6A7A" w:rsidRDefault="00F16F9D" w:rsidP="005B52AE">
      <w:r w:rsidRPr="007E6A7A">
        <w:rPr>
          <w:i/>
          <w:iCs/>
        </w:rPr>
        <w:t>d)</w:t>
      </w:r>
      <w:r w:rsidRPr="007E6A7A">
        <w:rPr>
          <w:i/>
          <w:iCs/>
        </w:rPr>
        <w:tab/>
      </w:r>
      <w:r w:rsidRPr="007E6A7A">
        <w:t xml:space="preserve">que la Cuestión UIT-R 237/1, «Características técnicas y de funcionamiento de los servicios activos que funcionan en la gama 275-1 000 GHz», </w:t>
      </w:r>
      <w:r w:rsidR="00866279" w:rsidRPr="007E6A7A">
        <w:t>trata de</w:t>
      </w:r>
      <w:r w:rsidRPr="007E6A7A">
        <w:t xml:space="preserve"> estudios sobre las características técnicas y de funcionamiento de los servicios activos que</w:t>
      </w:r>
      <w:r w:rsidR="005B52AE" w:rsidRPr="007E6A7A">
        <w:t xml:space="preserve"> </w:t>
      </w:r>
      <w:r w:rsidRPr="007E6A7A">
        <w:t>funcionan en la gama 275</w:t>
      </w:r>
      <w:r w:rsidRPr="007E6A7A">
        <w:noBreakHyphen/>
        <w:t>1 000 GHz;</w:t>
      </w:r>
    </w:p>
    <w:p w:rsidR="00F16F9D" w:rsidRPr="007E6A7A" w:rsidRDefault="00F16F9D" w:rsidP="002D0051">
      <w:pPr>
        <w:rPr>
          <w:rFonts w:ascii="Times New Roman Bold" w:hAnsi="Times New Roman Bold"/>
          <w:b/>
          <w:sz w:val="28"/>
          <w:lang w:eastAsia="zh-CN"/>
        </w:rPr>
      </w:pPr>
      <w:r w:rsidRPr="007E6A7A">
        <w:rPr>
          <w:i/>
          <w:iCs/>
        </w:rPr>
        <w:t>e)</w:t>
      </w:r>
      <w:r w:rsidRPr="007E6A7A">
        <w:tab/>
      </w:r>
      <w:r w:rsidR="00866279" w:rsidRPr="007E6A7A">
        <w:t>que la Cuestión</w:t>
      </w:r>
      <w:r w:rsidRPr="007E6A7A">
        <w:t xml:space="preserve"> </w:t>
      </w:r>
      <w:r w:rsidR="002D0051">
        <w:t>UIT</w:t>
      </w:r>
      <w:r w:rsidRPr="007E6A7A">
        <w:t xml:space="preserve">-R 256-0/5 </w:t>
      </w:r>
      <w:r w:rsidR="007E6A7A">
        <w:t>«</w:t>
      </w:r>
      <w:r w:rsidRPr="007E6A7A">
        <w:t>Características técnicas y operativas del servicio móvil terrestre en la gama de frecuencias 275-1 000 GHz</w:t>
      </w:r>
      <w:r w:rsidR="007E6A7A">
        <w:t>»</w:t>
      </w:r>
      <w:r w:rsidRPr="007E6A7A">
        <w:t xml:space="preserve"> </w:t>
      </w:r>
      <w:r w:rsidR="005B52AE" w:rsidRPr="007E6A7A">
        <w:t>trata de estudios sobre</w:t>
      </w:r>
      <w:r w:rsidR="000C05C5" w:rsidRPr="007E6A7A">
        <w:t xml:space="preserve"> las características técnicas y operativas del servicio móvil terrestre en la gama de frecuencias 275-1 000 GHz</w:t>
      </w:r>
      <w:r w:rsidRPr="007E6A7A">
        <w:t>;</w:t>
      </w:r>
    </w:p>
    <w:p w:rsidR="00F16F9D" w:rsidRPr="007E6A7A" w:rsidRDefault="00F16F9D" w:rsidP="002D0051">
      <w:r w:rsidRPr="007E6A7A">
        <w:rPr>
          <w:i/>
          <w:iCs/>
        </w:rPr>
        <w:t>f)</w:t>
      </w:r>
      <w:r w:rsidRPr="007E6A7A">
        <w:tab/>
      </w:r>
      <w:r w:rsidR="00866279" w:rsidRPr="007E6A7A">
        <w:t>que la Cuestión</w:t>
      </w:r>
      <w:r w:rsidRPr="007E6A7A">
        <w:t xml:space="preserve"> </w:t>
      </w:r>
      <w:r w:rsidR="002D0051">
        <w:t>UIT</w:t>
      </w:r>
      <w:r w:rsidRPr="007E6A7A">
        <w:t>-R 25</w:t>
      </w:r>
      <w:r w:rsidRPr="007E6A7A">
        <w:rPr>
          <w:rFonts w:eastAsia="MS Mincho"/>
          <w:lang w:eastAsia="ja-JP"/>
        </w:rPr>
        <w:t>7</w:t>
      </w:r>
      <w:r w:rsidRPr="007E6A7A">
        <w:t xml:space="preserve">-0/5 </w:t>
      </w:r>
      <w:r w:rsidR="007E6A7A">
        <w:t>«</w:t>
      </w:r>
      <w:r w:rsidRPr="007E6A7A">
        <w:rPr>
          <w:lang w:eastAsia="ja-JP"/>
        </w:rPr>
        <w:t>Características técnicas y operativas de las estaciones del servicio fijo en la gama de frecuencias 275-1 000 GHz</w:t>
      </w:r>
      <w:r w:rsidR="007E6A7A">
        <w:t>»</w:t>
      </w:r>
      <w:r w:rsidRPr="007E6A7A">
        <w:t xml:space="preserve"> </w:t>
      </w:r>
      <w:r w:rsidR="002D0051">
        <w:t>t</w:t>
      </w:r>
      <w:r w:rsidR="008F4993" w:rsidRPr="007E6A7A">
        <w:t>rata de estudios sobre las c</w:t>
      </w:r>
      <w:r w:rsidR="008F4993" w:rsidRPr="007E6A7A">
        <w:rPr>
          <w:lang w:eastAsia="ja-JP"/>
        </w:rPr>
        <w:t>aracterísticas técnicas y operativas de las estaciones del servicio fijo en la gama de frecuencias 275-1 000 GHz</w:t>
      </w:r>
      <w:r w:rsidR="002D0051">
        <w:rPr>
          <w:lang w:eastAsia="ja-JP"/>
        </w:rPr>
        <w:t>;</w:t>
      </w:r>
    </w:p>
    <w:p w:rsidR="00437260" w:rsidRPr="007E6A7A" w:rsidRDefault="00437260" w:rsidP="004B2394">
      <w:r w:rsidRPr="007E6A7A">
        <w:rPr>
          <w:i/>
          <w:iCs/>
        </w:rPr>
        <w:t>g)</w:t>
      </w:r>
      <w:r w:rsidRPr="007E6A7A">
        <w:rPr>
          <w:i/>
          <w:iCs/>
        </w:rPr>
        <w:tab/>
      </w:r>
      <w:r w:rsidRPr="007E6A7A">
        <w:t xml:space="preserve">que la Recomendación UIT-R </w:t>
      </w:r>
      <w:hyperlink r:id="rId13" w:history="1">
        <w:r w:rsidR="004B2394" w:rsidRPr="0008399B">
          <w:rPr>
            <w:rStyle w:val="Hyperlink"/>
          </w:rPr>
          <w:t>P.676</w:t>
        </w:r>
      </w:hyperlink>
      <w:r w:rsidRPr="007E6A7A">
        <w:t>-10, «Atenuación debida a los gases atmosféricos», describe métodos para evaluar la atenuación causada por los gases atmosféricos en trayectos terrenales y oblicuos mediante una estimación de la atenuación causada por los gases, cuyo cálculo se efectúa sumando las rayas de absorción individuales, que es válida para la gama de frecuencias 1-1 000 GHz; y un método aproximado simplificado para evaluar la atenuación debida a los gases aplicable en la gama de frecuencias 1-350 GHz;</w:t>
      </w:r>
    </w:p>
    <w:p w:rsidR="00437260" w:rsidRPr="007E6A7A" w:rsidRDefault="00437260" w:rsidP="004B2394">
      <w:r w:rsidRPr="007E6A7A">
        <w:rPr>
          <w:i/>
          <w:iCs/>
        </w:rPr>
        <w:t>h)</w:t>
      </w:r>
      <w:r w:rsidRPr="007E6A7A">
        <w:tab/>
        <w:t xml:space="preserve">que la Recomendación UIT-R </w:t>
      </w:r>
      <w:hyperlink r:id="rId14" w:history="1">
        <w:r w:rsidR="004B2394" w:rsidRPr="0008399B">
          <w:rPr>
            <w:rStyle w:val="Hyperlink"/>
          </w:rPr>
          <w:t>P.838</w:t>
        </w:r>
      </w:hyperlink>
      <w:r w:rsidRPr="007E6A7A">
        <w:t>-3, «Modelo de la atenuación específica debida a la lluvia para los métodos de predicción», describe los métodos de predicción del modelo de atenuación específica debida a la lluvia;</w:t>
      </w:r>
    </w:p>
    <w:p w:rsidR="00437260" w:rsidRPr="007E6A7A" w:rsidRDefault="00437260" w:rsidP="004B2394">
      <w:r w:rsidRPr="007E6A7A">
        <w:rPr>
          <w:i/>
          <w:iCs/>
        </w:rPr>
        <w:t>i)</w:t>
      </w:r>
      <w:r w:rsidRPr="007E6A7A">
        <w:rPr>
          <w:i/>
          <w:iCs/>
        </w:rPr>
        <w:tab/>
      </w:r>
      <w:r w:rsidRPr="007E6A7A">
        <w:t xml:space="preserve">que la Recomendación UIT-R </w:t>
      </w:r>
      <w:hyperlink r:id="rId15" w:history="1">
        <w:r w:rsidR="004B2394" w:rsidRPr="0008399B">
          <w:rPr>
            <w:rStyle w:val="Hyperlink"/>
          </w:rPr>
          <w:t>P.840</w:t>
        </w:r>
      </w:hyperlink>
      <w:r w:rsidRPr="007E6A7A">
        <w:t>-6, «</w:t>
      </w:r>
      <w:r w:rsidRPr="007E6A7A">
        <w:rPr>
          <w:szCs w:val="28"/>
        </w:rPr>
        <w:t>Atenuación debida a las nubes y a la niebla</w:t>
      </w:r>
      <w:r w:rsidRPr="007E6A7A">
        <w:t>», describe métodos para predecir la atenuación debida a las nubes y a la niebla en los trayectos Tierra</w:t>
      </w:r>
      <w:r w:rsidRPr="007E6A7A">
        <w:noBreakHyphen/>
        <w:t>espacio;</w:t>
      </w:r>
    </w:p>
    <w:p w:rsidR="00437260" w:rsidRPr="007E6A7A" w:rsidRDefault="00437260" w:rsidP="00F51E47">
      <w:r w:rsidRPr="007E6A7A">
        <w:rPr>
          <w:i/>
          <w:iCs/>
        </w:rPr>
        <w:lastRenderedPageBreak/>
        <w:t>j)</w:t>
      </w:r>
      <w:r w:rsidRPr="007E6A7A">
        <w:rPr>
          <w:i/>
          <w:iCs/>
        </w:rPr>
        <w:tab/>
      </w:r>
      <w:r w:rsidRPr="007E6A7A">
        <w:t>que el Informe UIT-R RA.2189, «Compartición entre el servicio de radioastronomía y servicios activos (sistema de aeronave, sistema no OSG) en la gama de frecuencias 275-3</w:t>
      </w:r>
      <w:r w:rsidRPr="007E6A7A">
        <w:rPr>
          <w:sz w:val="22"/>
          <w:lang w:eastAsia="zh-CN"/>
        </w:rPr>
        <w:t> 000 GHz</w:t>
      </w:r>
      <w:r w:rsidRPr="007E6A7A">
        <w:t>», describe la compartición entre el servicio de radioastronomía y los servicios activos en la gama</w:t>
      </w:r>
      <w:r w:rsidR="007E6A7A">
        <w:t xml:space="preserve"> </w:t>
      </w:r>
      <w:r w:rsidRPr="007E6A7A">
        <w:t>275</w:t>
      </w:r>
      <w:r w:rsidRPr="007E6A7A">
        <w:noBreakHyphen/>
        <w:t>3 000 GHz;</w:t>
      </w:r>
    </w:p>
    <w:p w:rsidR="00437260" w:rsidRPr="007E6A7A" w:rsidRDefault="00437260" w:rsidP="00F51E47">
      <w:r w:rsidRPr="007E6A7A">
        <w:rPr>
          <w:i/>
          <w:iCs/>
        </w:rPr>
        <w:t>k)</w:t>
      </w:r>
      <w:r w:rsidRPr="007E6A7A">
        <w:rPr>
          <w:i/>
          <w:iCs/>
        </w:rPr>
        <w:tab/>
      </w:r>
      <w:r w:rsidRPr="007E6A7A">
        <w:t>que el Informe UIT-R F.2323-0, «Utilización del servicio fijo y futuras tendencias», facilita indicaciones sobre el futuro desarrollo del servicio fijo (SF) teniendo en cuenta la evolución de su utilización actual y el desarrollo de la tecnología, las tendencias en materia de aplicaciones para sistemas inalámbricos fijos y las futuras necesidades para sistemas inalámbricos fijos;</w:t>
      </w:r>
    </w:p>
    <w:p w:rsidR="009B3C14" w:rsidRPr="007E6A7A" w:rsidRDefault="00437260" w:rsidP="00960186">
      <w:r w:rsidRPr="007E6A7A">
        <w:rPr>
          <w:i/>
          <w:iCs/>
        </w:rPr>
        <w:t>l)</w:t>
      </w:r>
      <w:r w:rsidRPr="007E6A7A">
        <w:rPr>
          <w:i/>
          <w:iCs/>
        </w:rPr>
        <w:tab/>
      </w:r>
      <w:r w:rsidRPr="007E6A7A">
        <w:t>que el Informe UIT-R SM.2352-0, «</w:t>
      </w:r>
      <w:r w:rsidRPr="007E6A7A">
        <w:rPr>
          <w:lang w:eastAsia="ja-JP"/>
        </w:rPr>
        <w:t>Tendencias en la tecnología de servicios activos en la gama de frecuencias 275-3 000 GHz</w:t>
      </w:r>
      <w:r w:rsidRPr="007E6A7A">
        <w:t>», describe las tendencias de los servicios a</w:t>
      </w:r>
      <w:r w:rsidR="0000784C" w:rsidRPr="007E6A7A">
        <w:t>ctivos en materia de tecnología</w:t>
      </w:r>
      <w:r w:rsidRPr="007E6A7A">
        <w:t xml:space="preserve"> en la gama de frecuencias 275-3 000 GHz,</w:t>
      </w:r>
    </w:p>
    <w:p w:rsidR="000724BF" w:rsidRPr="007E6A7A" w:rsidRDefault="000724BF" w:rsidP="00F51E47">
      <w:pPr>
        <w:pStyle w:val="Call"/>
      </w:pPr>
      <w:r w:rsidRPr="007E6A7A">
        <w:t>resuelve</w:t>
      </w:r>
    </w:p>
    <w:p w:rsidR="000724BF" w:rsidRPr="007E6A7A" w:rsidRDefault="000724BF" w:rsidP="00F51E47">
      <w:pPr>
        <w:rPr>
          <w:lang w:eastAsia="ja-JP"/>
        </w:rPr>
      </w:pPr>
      <w:r w:rsidRPr="007E6A7A">
        <w:t>considerar las medidas reglamentarias apropiadas para identificar los servicios fijos y móviles terrestres que funcionan en la gama de frecuencias 275</w:t>
      </w:r>
      <w:r w:rsidRPr="007E6A7A">
        <w:noBreakHyphen/>
        <w:t>1 000 GHz, teniendo en cuenta los resultados de los estudios del UIT-R;</w:t>
      </w:r>
    </w:p>
    <w:p w:rsidR="00C140C1" w:rsidRPr="007E6A7A" w:rsidRDefault="00C140C1" w:rsidP="00F51E47">
      <w:pPr>
        <w:pStyle w:val="Call"/>
      </w:pPr>
      <w:r w:rsidRPr="007E6A7A">
        <w:rPr>
          <w:lang w:eastAsia="ja-JP"/>
        </w:rPr>
        <w:t>invita al UIT-R</w:t>
      </w:r>
    </w:p>
    <w:p w:rsidR="00C140C1" w:rsidRPr="007E6A7A" w:rsidRDefault="00C140C1" w:rsidP="008F4993">
      <w:r w:rsidRPr="007E6A7A">
        <w:t>1</w:t>
      </w:r>
      <w:r w:rsidRPr="007E6A7A">
        <w:tab/>
        <w:t xml:space="preserve">a identificar las posibles características de los sistemas del servicio </w:t>
      </w:r>
      <w:r w:rsidR="008F4993" w:rsidRPr="007E6A7A">
        <w:t>m</w:t>
      </w:r>
      <w:r w:rsidRPr="007E6A7A">
        <w:t>óvil terrestre que funcionan en la gama de frecuencias 275</w:t>
      </w:r>
      <w:r w:rsidRPr="007E6A7A">
        <w:noBreakHyphen/>
        <w:t>1 000 GHz;</w:t>
      </w:r>
    </w:p>
    <w:p w:rsidR="00C140C1" w:rsidRPr="007E6A7A" w:rsidRDefault="00C140C1" w:rsidP="008F4993">
      <w:r w:rsidRPr="007E6A7A">
        <w:t>2</w:t>
      </w:r>
      <w:r w:rsidRPr="007E6A7A">
        <w:tab/>
        <w:t>a identificar las posibles características de los sistemas del servicio fijo que funcionan en la gama de frecuencias 275</w:t>
      </w:r>
      <w:r w:rsidRPr="007E6A7A">
        <w:noBreakHyphen/>
        <w:t>1 000 GHz;</w:t>
      </w:r>
    </w:p>
    <w:p w:rsidR="00C140C1" w:rsidRPr="007E6A7A" w:rsidRDefault="00C140C1" w:rsidP="008F4993">
      <w:r w:rsidRPr="007E6A7A">
        <w:t>3</w:t>
      </w:r>
      <w:r w:rsidRPr="007E6A7A">
        <w:tab/>
        <w:t xml:space="preserve">a estudiar las necesidades del servicio </w:t>
      </w:r>
      <w:r w:rsidR="008F4993" w:rsidRPr="007E6A7A">
        <w:t>móvil terrestre</w:t>
      </w:r>
      <w:r w:rsidRPr="007E6A7A">
        <w:t xml:space="preserve"> en materia de espectro, teniendo en cuenta las características técnicas y operacionales de </w:t>
      </w:r>
      <w:r w:rsidR="008F4993" w:rsidRPr="007E6A7A">
        <w:t>los</w:t>
      </w:r>
      <w:r w:rsidRPr="007E6A7A">
        <w:t xml:space="preserve"> servicios, que funcionan en la gama de frecuencias 275-1 000 GHz;</w:t>
      </w:r>
    </w:p>
    <w:p w:rsidR="00C140C1" w:rsidRPr="007E6A7A" w:rsidRDefault="00C140C1" w:rsidP="008F4993">
      <w:r w:rsidRPr="007E6A7A">
        <w:t>4</w:t>
      </w:r>
      <w:r w:rsidRPr="007E6A7A">
        <w:tab/>
        <w:t>a estudiar las necesidades del servicio</w:t>
      </w:r>
      <w:r w:rsidR="008F4993" w:rsidRPr="007E6A7A">
        <w:t xml:space="preserve"> </w:t>
      </w:r>
      <w:r w:rsidRPr="007E6A7A">
        <w:t>fijo en materia de espectro, teniendo en cuenta las características técnicas y operacionales de esos servicios, que funcionan en la gama de frecuencias 275-1 000 GHz;</w:t>
      </w:r>
    </w:p>
    <w:p w:rsidR="00C140C1" w:rsidRPr="007E6A7A" w:rsidRDefault="00C140C1" w:rsidP="008F4993">
      <w:r w:rsidRPr="007E6A7A">
        <w:t>5</w:t>
      </w:r>
      <w:r w:rsidRPr="007E6A7A">
        <w:tab/>
        <w:t xml:space="preserve">a realizar estudios de compartición y compatibilidad entre servicios pasivos y </w:t>
      </w:r>
      <w:r w:rsidR="008F4993" w:rsidRPr="007E6A7A">
        <w:t xml:space="preserve">el </w:t>
      </w:r>
      <w:r w:rsidRPr="007E6A7A">
        <w:t>servicio móvil terrestre, así como entre servicios activos, que funcionan en la gama de frecuencias 275</w:t>
      </w:r>
      <w:r w:rsidRPr="007E6A7A">
        <w:noBreakHyphen/>
        <w:t>1</w:t>
      </w:r>
      <w:r w:rsidR="008F4993" w:rsidRPr="007E6A7A">
        <w:t> </w:t>
      </w:r>
      <w:r w:rsidRPr="007E6A7A">
        <w:t>000 GHz;</w:t>
      </w:r>
    </w:p>
    <w:p w:rsidR="00C140C1" w:rsidRPr="007E6A7A" w:rsidRDefault="00C140C1" w:rsidP="00DF66A0">
      <w:r w:rsidRPr="007E6A7A">
        <w:t>6</w:t>
      </w:r>
      <w:r w:rsidRPr="007E6A7A">
        <w:tab/>
        <w:t>a realizar estudios de compartición y compatibilidad entre servicios pasivos y servicios fijos, así como entre servicios activos, que funcionan en la gama de frecuencias 275</w:t>
      </w:r>
      <w:r w:rsidRPr="007E6A7A">
        <w:noBreakHyphen/>
        <w:t>1 000 GHz;</w:t>
      </w:r>
    </w:p>
    <w:p w:rsidR="000724BF" w:rsidRPr="007E6A7A" w:rsidRDefault="00C140C1" w:rsidP="007D0679">
      <w:r w:rsidRPr="007E6A7A">
        <w:t>7</w:t>
      </w:r>
      <w:r w:rsidRPr="007E6A7A">
        <w:tab/>
        <w:t xml:space="preserve">a estudiar posibles bandas de frecuencias candidatas para ser utilizadas por </w:t>
      </w:r>
      <w:r w:rsidR="00DF66A0" w:rsidRPr="007E6A7A">
        <w:t>el</w:t>
      </w:r>
      <w:r w:rsidRPr="007E6A7A">
        <w:t xml:space="preserve"> servicio móvil terrestre, teniendo en cuenta los resultados de los estudios realizados en respuesta al </w:t>
      </w:r>
      <w:r w:rsidRPr="007E6A7A">
        <w:rPr>
          <w:i/>
          <w:iCs/>
        </w:rPr>
        <w:t xml:space="preserve">invita al UIT-R </w:t>
      </w:r>
      <w:r w:rsidRPr="007E6A7A">
        <w:t xml:space="preserve">1, </w:t>
      </w:r>
      <w:r w:rsidR="00DF66A0" w:rsidRPr="007E6A7A">
        <w:t>3</w:t>
      </w:r>
      <w:r w:rsidRPr="007E6A7A">
        <w:t xml:space="preserve"> y </w:t>
      </w:r>
      <w:r w:rsidR="00DF66A0" w:rsidRPr="007E6A7A">
        <w:t>5</w:t>
      </w:r>
      <w:r w:rsidRPr="007E6A7A">
        <w:t xml:space="preserve">, y la protección de los servicios pasivos identificados en el número </w:t>
      </w:r>
      <w:r w:rsidRPr="007E6A7A">
        <w:rPr>
          <w:b/>
          <w:bCs/>
        </w:rPr>
        <w:t>5.565</w:t>
      </w:r>
      <w:r w:rsidRPr="007E6A7A">
        <w:t>,</w:t>
      </w:r>
    </w:p>
    <w:p w:rsidR="00C140C1" w:rsidRPr="007E6A7A" w:rsidRDefault="00C140C1" w:rsidP="007D0679">
      <w:r w:rsidRPr="007E6A7A">
        <w:t>8</w:t>
      </w:r>
      <w:r w:rsidRPr="007E6A7A">
        <w:tab/>
        <w:t xml:space="preserve">a estudiar posibles bandas de frecuencias candidatas para ser utilizadas por </w:t>
      </w:r>
      <w:r w:rsidR="00DF66A0" w:rsidRPr="007E6A7A">
        <w:t>el</w:t>
      </w:r>
      <w:r w:rsidRPr="007E6A7A">
        <w:t xml:space="preserve"> servicio fijo, teniendo en cuenta los resultados de los estudios realizados en respuesta al </w:t>
      </w:r>
      <w:r w:rsidRPr="007E6A7A">
        <w:rPr>
          <w:i/>
          <w:iCs/>
        </w:rPr>
        <w:t xml:space="preserve">invita al UIT-R </w:t>
      </w:r>
      <w:r w:rsidR="00DF66A0" w:rsidRPr="007E6A7A">
        <w:t>2</w:t>
      </w:r>
      <w:r w:rsidRPr="007E6A7A">
        <w:t xml:space="preserve">, </w:t>
      </w:r>
      <w:r w:rsidR="00DF66A0" w:rsidRPr="007E6A7A">
        <w:t>4</w:t>
      </w:r>
      <w:r w:rsidRPr="007E6A7A">
        <w:t xml:space="preserve"> y </w:t>
      </w:r>
      <w:r w:rsidR="00DF66A0" w:rsidRPr="007E6A7A">
        <w:t>6</w:t>
      </w:r>
      <w:r w:rsidRPr="007E6A7A">
        <w:t xml:space="preserve">, y la protección de los servicios pasivos identificados en el número </w:t>
      </w:r>
      <w:r w:rsidRPr="007E6A7A">
        <w:rPr>
          <w:b/>
          <w:bCs/>
        </w:rPr>
        <w:t>5.565</w:t>
      </w:r>
      <w:r w:rsidRPr="007E6A7A">
        <w:t>,</w:t>
      </w:r>
    </w:p>
    <w:p w:rsidR="00C140C1" w:rsidRPr="007E6A7A" w:rsidRDefault="00C140C1" w:rsidP="00F51E47">
      <w:pPr>
        <w:pStyle w:val="Call"/>
        <w:rPr>
          <w:iCs/>
        </w:rPr>
      </w:pPr>
      <w:r w:rsidRPr="007E6A7A">
        <w:t>alienta a los Estados Miembros, a los Miembros de Sector, a las Instituciones Académicas y a los Asociados</w:t>
      </w:r>
    </w:p>
    <w:p w:rsidR="00C140C1" w:rsidRPr="007E6A7A" w:rsidRDefault="00C140C1" w:rsidP="00F51E47">
      <w:r w:rsidRPr="007E6A7A">
        <w:t xml:space="preserve">a presentar contribuciones durante el periodo de estudios, valorando la repercusión sobre los servicios identificados, con arreglo a los estudios realizados en virtud de la presente Resolución, </w:t>
      </w:r>
    </w:p>
    <w:p w:rsidR="00C140C1" w:rsidRPr="007E6A7A" w:rsidRDefault="00C140C1" w:rsidP="00F51E47">
      <w:pPr>
        <w:pStyle w:val="Call"/>
      </w:pPr>
      <w:r w:rsidRPr="007E6A7A">
        <w:rPr>
          <w:lang w:eastAsia="zh-CN"/>
        </w:rPr>
        <w:lastRenderedPageBreak/>
        <w:t>invita a las administraciones</w:t>
      </w:r>
    </w:p>
    <w:p w:rsidR="00C140C1" w:rsidRPr="007E6A7A" w:rsidRDefault="00C140C1" w:rsidP="007D0679">
      <w:pPr>
        <w:rPr>
          <w:b/>
        </w:rPr>
      </w:pPr>
      <w:r w:rsidRPr="007E6A7A">
        <w:t>a participar en los estudios presentando contribuciones al UIT-R.</w:t>
      </w:r>
    </w:p>
    <w:p w:rsidR="00C140C1" w:rsidRPr="007E6A7A" w:rsidRDefault="00C140C1" w:rsidP="002D0051">
      <w:pPr>
        <w:pStyle w:val="Reasons"/>
        <w:rPr>
          <w:lang w:eastAsia="ja-JP"/>
        </w:rPr>
      </w:pPr>
      <w:r w:rsidRPr="007E6A7A">
        <w:rPr>
          <w:b/>
        </w:rPr>
        <w:t>Motivos:</w:t>
      </w:r>
      <w:r w:rsidRPr="007E6A7A">
        <w:tab/>
      </w:r>
      <w:r w:rsidR="00DF66A0" w:rsidRPr="007E6A7A">
        <w:t>Atender a las necesidades internacionales de espectro en la gama de frecuencias 275</w:t>
      </w:r>
      <w:r w:rsidR="002D0051">
        <w:noBreakHyphen/>
      </w:r>
      <w:r w:rsidR="00DF66A0" w:rsidRPr="007E6A7A">
        <w:t>1</w:t>
      </w:r>
      <w:r w:rsidR="000D56E4">
        <w:t> </w:t>
      </w:r>
      <w:r w:rsidR="00DF66A0" w:rsidRPr="007E6A7A">
        <w:t>000 GHz y los requisitos de la IEEE, así como la implementación de sistemas</w:t>
      </w:r>
      <w:r w:rsidR="001F3724" w:rsidRPr="007E6A7A">
        <w:t xml:space="preserve"> de comunicaciones inalámbricas a </w:t>
      </w:r>
      <w:r w:rsidR="00A12AD9" w:rsidRPr="007E6A7A">
        <w:t>terahercios</w:t>
      </w:r>
      <w:r w:rsidRPr="007E6A7A">
        <w:rPr>
          <w:lang w:eastAsia="ja-JP"/>
        </w:rPr>
        <w:t>.</w:t>
      </w:r>
    </w:p>
    <w:p w:rsidR="00C140C1" w:rsidRPr="007E6A7A" w:rsidRDefault="00C140C1" w:rsidP="00F51E47">
      <w:pPr>
        <w:pStyle w:val="Reasons"/>
      </w:pPr>
      <w:bookmarkStart w:id="7" w:name="_GoBack"/>
      <w:bookmarkEnd w:id="7"/>
    </w:p>
    <w:p w:rsidR="00C140C1" w:rsidRPr="007E6A7A" w:rsidRDefault="00C140C1" w:rsidP="00F51E47">
      <w:pPr>
        <w:jc w:val="center"/>
      </w:pPr>
      <w:r w:rsidRPr="007E6A7A">
        <w:t>______________</w:t>
      </w:r>
    </w:p>
    <w:sectPr w:rsidR="00C140C1" w:rsidRPr="007E6A7A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D0051" w:rsidRDefault="0077084A">
    <w:pPr>
      <w:ind w:right="360"/>
    </w:pPr>
    <w:r>
      <w:fldChar w:fldCharType="begin"/>
    </w:r>
    <w:r w:rsidRPr="002D0051">
      <w:instrText xml:space="preserve"> FILENAME \p  \* MERGEFORMAT </w:instrText>
    </w:r>
    <w:r>
      <w:fldChar w:fldCharType="separate"/>
    </w:r>
    <w:r w:rsidR="002D0051">
      <w:rPr>
        <w:noProof/>
      </w:rPr>
      <w:t>P:\ESP\ITU-R\CONF-R\CMR15\100\103ADD24S.docx</w:t>
    </w:r>
    <w:r>
      <w:fldChar w:fldCharType="end"/>
    </w:r>
    <w:r w:rsidRPr="002D0051">
      <w:tab/>
    </w:r>
    <w:r>
      <w:fldChar w:fldCharType="begin"/>
    </w:r>
    <w:r>
      <w:instrText xml:space="preserve"> SAVEDATE \@ DD.MM.YY </w:instrText>
    </w:r>
    <w:r>
      <w:fldChar w:fldCharType="separate"/>
    </w:r>
    <w:r w:rsidR="0069530F">
      <w:rPr>
        <w:noProof/>
      </w:rPr>
      <w:t>01.11.15</w:t>
    </w:r>
    <w:r>
      <w:fldChar w:fldCharType="end"/>
    </w:r>
    <w:r w:rsidRPr="002D0051">
      <w:tab/>
    </w:r>
    <w:r>
      <w:fldChar w:fldCharType="begin"/>
    </w:r>
    <w:r>
      <w:instrText xml:space="preserve"> PRINTDATE \@ DD.MM.YY </w:instrText>
    </w:r>
    <w:r>
      <w:fldChar w:fldCharType="separate"/>
    </w:r>
    <w:r w:rsidR="002D0051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D4" w:rsidRPr="007809D4" w:rsidRDefault="007809D4" w:rsidP="007809D4">
    <w:pPr>
      <w:pStyle w:val="Footer"/>
      <w:rPr>
        <w:lang w:val="en-US"/>
      </w:rPr>
    </w:pPr>
    <w:r>
      <w:fldChar w:fldCharType="begin"/>
    </w:r>
    <w:r w:rsidRPr="007809D4">
      <w:rPr>
        <w:lang w:val="en-US"/>
      </w:rPr>
      <w:instrText xml:space="preserve"> FILENAME \p  \* MERGEFORMAT </w:instrText>
    </w:r>
    <w:r>
      <w:fldChar w:fldCharType="separate"/>
    </w:r>
    <w:r w:rsidRPr="007809D4">
      <w:rPr>
        <w:lang w:val="en-US"/>
      </w:rPr>
      <w:t>P:\ESP\ITU-R\CONF-R\CMR15\100\103ADD24REV1S.docx</w:t>
    </w:r>
    <w:r>
      <w:fldChar w:fldCharType="end"/>
    </w:r>
    <w:r w:rsidRPr="007809D4">
      <w:rPr>
        <w:lang w:val="en-US"/>
      </w:rPr>
      <w:t xml:space="preserve"> (38</w:t>
    </w:r>
    <w:r>
      <w:rPr>
        <w:lang w:val="en-US"/>
      </w:rPr>
      <w:t>9493</w:t>
    </w:r>
    <w:r w:rsidRPr="007809D4">
      <w:rPr>
        <w:lang w:val="en-US"/>
      </w:rPr>
      <w:t>)</w:t>
    </w:r>
    <w:r w:rsidRPr="007809D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01.11.15</w:t>
    </w:r>
    <w:r>
      <w:fldChar w:fldCharType="end"/>
    </w:r>
    <w:r w:rsidRPr="007809D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87" w:rsidRPr="007809D4" w:rsidRDefault="00BC5127" w:rsidP="007809D4">
    <w:pPr>
      <w:pStyle w:val="Footer"/>
      <w:rPr>
        <w:lang w:val="en-US"/>
      </w:rPr>
    </w:pPr>
    <w:r>
      <w:fldChar w:fldCharType="begin"/>
    </w:r>
    <w:r w:rsidRPr="007809D4">
      <w:rPr>
        <w:lang w:val="en-US"/>
      </w:rPr>
      <w:instrText xml:space="preserve"> FILENAME \p  \* MERGEFORMAT </w:instrText>
    </w:r>
    <w:r>
      <w:fldChar w:fldCharType="separate"/>
    </w:r>
    <w:r w:rsidR="007809D4" w:rsidRPr="007809D4">
      <w:rPr>
        <w:lang w:val="en-US"/>
      </w:rPr>
      <w:t>P:\ESP\ITU-R\CONF-R\CMR15\100\103ADD24REV1S.docx</w:t>
    </w:r>
    <w:r>
      <w:fldChar w:fldCharType="end"/>
    </w:r>
    <w:r w:rsidR="00292287" w:rsidRPr="007809D4">
      <w:rPr>
        <w:lang w:val="en-US"/>
      </w:rPr>
      <w:t xml:space="preserve"> (38</w:t>
    </w:r>
    <w:r w:rsidR="007809D4">
      <w:rPr>
        <w:lang w:val="en-US"/>
      </w:rPr>
      <w:t>9493</w:t>
    </w:r>
    <w:r w:rsidR="00292287" w:rsidRPr="007809D4">
      <w:rPr>
        <w:lang w:val="en-US"/>
      </w:rPr>
      <w:t>)</w:t>
    </w:r>
    <w:r w:rsidR="00292287" w:rsidRPr="007809D4">
      <w:rPr>
        <w:lang w:val="en-US"/>
      </w:rPr>
      <w:tab/>
    </w:r>
    <w:r w:rsidR="00292287">
      <w:fldChar w:fldCharType="begin"/>
    </w:r>
    <w:r w:rsidR="00292287">
      <w:instrText xml:space="preserve"> SAVEDATE \@ DD.MM.YY </w:instrText>
    </w:r>
    <w:r w:rsidR="00292287">
      <w:fldChar w:fldCharType="separate"/>
    </w:r>
    <w:r w:rsidR="007809D4">
      <w:t>01.11.15</w:t>
    </w:r>
    <w:r w:rsidR="00292287">
      <w:fldChar w:fldCharType="end"/>
    </w:r>
    <w:r w:rsidR="00292287" w:rsidRPr="007809D4">
      <w:rPr>
        <w:lang w:val="en-US"/>
      </w:rPr>
      <w:tab/>
    </w:r>
    <w:r w:rsidR="00292287">
      <w:fldChar w:fldCharType="begin"/>
    </w:r>
    <w:r w:rsidR="00292287">
      <w:instrText xml:space="preserve"> PRINTDATE \@ DD.MM.YY </w:instrText>
    </w:r>
    <w:r w:rsidR="00292287">
      <w:fldChar w:fldCharType="separate"/>
    </w:r>
    <w:r w:rsidR="007809D4">
      <w:t>29.10.15</w:t>
    </w:r>
    <w:r w:rsidR="0029228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5127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103(Add.24)</w:t>
    </w:r>
    <w:r w:rsidR="00BC5127">
      <w:t>(Rev.1)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6FB4DCC"/>
    <w:multiLevelType w:val="hybridMultilevel"/>
    <w:tmpl w:val="6D6AE47A"/>
    <w:lvl w:ilvl="0" w:tplc="B2B41B6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AE7CD1"/>
    <w:multiLevelType w:val="hybridMultilevel"/>
    <w:tmpl w:val="3A8EE444"/>
    <w:lvl w:ilvl="0" w:tplc="1BC8464C">
      <w:start w:val="1"/>
      <w:numFmt w:val="lowerLetter"/>
      <w:lvlText w:val="%1)"/>
      <w:lvlJc w:val="left"/>
      <w:pPr>
        <w:ind w:left="420" w:hanging="4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EE088D"/>
    <w:multiLevelType w:val="hybridMultilevel"/>
    <w:tmpl w:val="13809A7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784C"/>
    <w:rsid w:val="0002785D"/>
    <w:rsid w:val="000724BF"/>
    <w:rsid w:val="00087AE8"/>
    <w:rsid w:val="000A483F"/>
    <w:rsid w:val="000A5B9A"/>
    <w:rsid w:val="000C05C5"/>
    <w:rsid w:val="000D56E4"/>
    <w:rsid w:val="000E5BF9"/>
    <w:rsid w:val="000F0E6D"/>
    <w:rsid w:val="00110A2A"/>
    <w:rsid w:val="00121170"/>
    <w:rsid w:val="00123CC5"/>
    <w:rsid w:val="0015142D"/>
    <w:rsid w:val="001616DC"/>
    <w:rsid w:val="00163962"/>
    <w:rsid w:val="00191A97"/>
    <w:rsid w:val="001A083F"/>
    <w:rsid w:val="001C41FA"/>
    <w:rsid w:val="001C6FE3"/>
    <w:rsid w:val="001E2B52"/>
    <w:rsid w:val="001E3F27"/>
    <w:rsid w:val="001F3724"/>
    <w:rsid w:val="00236D2A"/>
    <w:rsid w:val="00250EFE"/>
    <w:rsid w:val="00255F12"/>
    <w:rsid w:val="00262C09"/>
    <w:rsid w:val="00292287"/>
    <w:rsid w:val="002A791F"/>
    <w:rsid w:val="002C1B26"/>
    <w:rsid w:val="002C5D6C"/>
    <w:rsid w:val="002D0051"/>
    <w:rsid w:val="002E701F"/>
    <w:rsid w:val="003248A9"/>
    <w:rsid w:val="00324FFA"/>
    <w:rsid w:val="0032680B"/>
    <w:rsid w:val="00363A65"/>
    <w:rsid w:val="003B1E8C"/>
    <w:rsid w:val="003C2508"/>
    <w:rsid w:val="003C7C97"/>
    <w:rsid w:val="003D0AA3"/>
    <w:rsid w:val="00430CC9"/>
    <w:rsid w:val="00437260"/>
    <w:rsid w:val="00440B3A"/>
    <w:rsid w:val="0045384C"/>
    <w:rsid w:val="00454553"/>
    <w:rsid w:val="004B124A"/>
    <w:rsid w:val="004B2394"/>
    <w:rsid w:val="005133B5"/>
    <w:rsid w:val="00532097"/>
    <w:rsid w:val="0058350F"/>
    <w:rsid w:val="00583C7E"/>
    <w:rsid w:val="005B52AE"/>
    <w:rsid w:val="005D46FB"/>
    <w:rsid w:val="005F2605"/>
    <w:rsid w:val="005F3B0E"/>
    <w:rsid w:val="005F559C"/>
    <w:rsid w:val="006245FE"/>
    <w:rsid w:val="006340AC"/>
    <w:rsid w:val="00662BA0"/>
    <w:rsid w:val="00692AAE"/>
    <w:rsid w:val="0069530F"/>
    <w:rsid w:val="006D6E67"/>
    <w:rsid w:val="006E1A13"/>
    <w:rsid w:val="00701C20"/>
    <w:rsid w:val="00702F3D"/>
    <w:rsid w:val="0070518E"/>
    <w:rsid w:val="007354E9"/>
    <w:rsid w:val="00765578"/>
    <w:rsid w:val="00770792"/>
    <w:rsid w:val="0077084A"/>
    <w:rsid w:val="007809D4"/>
    <w:rsid w:val="007952C7"/>
    <w:rsid w:val="007C0B95"/>
    <w:rsid w:val="007C2317"/>
    <w:rsid w:val="007D0679"/>
    <w:rsid w:val="007D330A"/>
    <w:rsid w:val="007E6A7A"/>
    <w:rsid w:val="00866279"/>
    <w:rsid w:val="00866AE6"/>
    <w:rsid w:val="00873C77"/>
    <w:rsid w:val="008750A8"/>
    <w:rsid w:val="008E5AF2"/>
    <w:rsid w:val="008F4993"/>
    <w:rsid w:val="0090121B"/>
    <w:rsid w:val="009144C9"/>
    <w:rsid w:val="0094091F"/>
    <w:rsid w:val="00960186"/>
    <w:rsid w:val="00973754"/>
    <w:rsid w:val="009A7AE8"/>
    <w:rsid w:val="009B298E"/>
    <w:rsid w:val="009B3C14"/>
    <w:rsid w:val="009C0BED"/>
    <w:rsid w:val="009E11EC"/>
    <w:rsid w:val="00A118DB"/>
    <w:rsid w:val="00A12AD9"/>
    <w:rsid w:val="00A4450C"/>
    <w:rsid w:val="00A46BBE"/>
    <w:rsid w:val="00AA5E6C"/>
    <w:rsid w:val="00AE5677"/>
    <w:rsid w:val="00AE658F"/>
    <w:rsid w:val="00AF2F78"/>
    <w:rsid w:val="00B239FA"/>
    <w:rsid w:val="00B52D55"/>
    <w:rsid w:val="00B8288C"/>
    <w:rsid w:val="00BC5127"/>
    <w:rsid w:val="00BE2E80"/>
    <w:rsid w:val="00BE5EDD"/>
    <w:rsid w:val="00BE6A1F"/>
    <w:rsid w:val="00C126C4"/>
    <w:rsid w:val="00C140C1"/>
    <w:rsid w:val="00C63EB5"/>
    <w:rsid w:val="00CC01E0"/>
    <w:rsid w:val="00CD5FEE"/>
    <w:rsid w:val="00CE60D2"/>
    <w:rsid w:val="00CE7431"/>
    <w:rsid w:val="00CF65E6"/>
    <w:rsid w:val="00D0288A"/>
    <w:rsid w:val="00D45555"/>
    <w:rsid w:val="00D72A5D"/>
    <w:rsid w:val="00D76E9C"/>
    <w:rsid w:val="00DC629B"/>
    <w:rsid w:val="00DD0A7D"/>
    <w:rsid w:val="00DF66A0"/>
    <w:rsid w:val="00E05BFF"/>
    <w:rsid w:val="00E262F1"/>
    <w:rsid w:val="00E3176A"/>
    <w:rsid w:val="00E54754"/>
    <w:rsid w:val="00E56BD3"/>
    <w:rsid w:val="00E71D14"/>
    <w:rsid w:val="00E90793"/>
    <w:rsid w:val="00EB740C"/>
    <w:rsid w:val="00EE5DEC"/>
    <w:rsid w:val="00F002FB"/>
    <w:rsid w:val="00F16F9D"/>
    <w:rsid w:val="00F51E4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A7CBDC1-DBE7-4C4D-9CFA-4AF5F7D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E5DE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locked/>
    <w:rsid w:val="001C6FE3"/>
    <w:rPr>
      <w:b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C6FE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Cs w:val="24"/>
      <w:lang w:val="en-US"/>
    </w:rPr>
  </w:style>
  <w:style w:type="character" w:customStyle="1" w:styleId="RestitleChar">
    <w:name w:val="Res_title Char"/>
    <w:basedOn w:val="DefaultParagraphFont"/>
    <w:link w:val="Restitle"/>
    <w:rsid w:val="009B3C14"/>
    <w:rPr>
      <w:rFonts w:ascii="Times New Roman Bold" w:hAnsi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F16F9D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uiPriority w:val="99"/>
    <w:locked/>
    <w:rsid w:val="00F16F9D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6245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45FE"/>
    <w:rPr>
      <w:rFonts w:ascii="Segoe UI" w:hAnsi="Segoe UI" w:cs="Segoe UI"/>
      <w:sz w:val="18"/>
      <w:szCs w:val="18"/>
      <w:lang w:val="es-ES_tradnl" w:eastAsia="en-US"/>
    </w:rPr>
  </w:style>
  <w:style w:type="character" w:styleId="Hyperlink">
    <w:name w:val="Hyperlink"/>
    <w:basedOn w:val="DefaultParagraphFont"/>
    <w:unhideWhenUsed/>
    <w:rsid w:val="004B23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B2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rec/R-REC-P.676/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rec/R-REC-P.840/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rec/R-REC-P.836/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R15-WRC15-C-0103!A24!MSW-S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88A181-6A0E-46B6-8A77-8DD74037775C}">
  <ds:schemaRefs>
    <ds:schemaRef ds:uri="http://purl.org/dc/terms/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F073A9-5FEF-4947-8843-62175F13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1806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R15-WRC15-C-0103!A24!MSW-S</vt:lpstr>
    </vt:vector>
  </TitlesOfParts>
  <Manager>Secretaría General - Pool</Manager>
  <Company>Unión Internacional de Telecomunicaciones (UIT)</Company>
  <LinksUpToDate>false</LinksUpToDate>
  <CharactersWithSpaces>11803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R15-WRC15-C-0103!A24!MSW-S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2015-10-29T00:52:00Z</cp:lastPrinted>
  <dcterms:created xsi:type="dcterms:W3CDTF">2015-11-01T15:27:00Z</dcterms:created>
  <dcterms:modified xsi:type="dcterms:W3CDTF">2015-11-01T15:34:00Z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