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2E5D2A" w:rsidTr="00511CC9">
        <w:trPr>
          <w:cantSplit/>
        </w:trPr>
        <w:tc>
          <w:tcPr>
            <w:tcW w:w="6521" w:type="dxa"/>
          </w:tcPr>
          <w:p w:rsidR="005651C9" w:rsidRPr="002E5D2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E5D2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E5D2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2E5D2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E5D2A">
              <w:rPr>
                <w:noProof/>
                <w:lang w:val="en-GB" w:eastAsia="zh-CN"/>
              </w:rPr>
              <w:drawing>
                <wp:inline distT="0" distB="0" distL="0" distR="0" wp14:anchorId="4792114B" wp14:editId="49AE569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E5D2A" w:rsidTr="00511CC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2E5D2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E5D2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2E5D2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E5D2A" w:rsidTr="00511CC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2E5D2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2E5D2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E5D2A" w:rsidTr="00511CC9">
        <w:trPr>
          <w:cantSplit/>
        </w:trPr>
        <w:tc>
          <w:tcPr>
            <w:tcW w:w="6521" w:type="dxa"/>
            <w:shd w:val="clear" w:color="auto" w:fill="auto"/>
          </w:tcPr>
          <w:p w:rsidR="005651C9" w:rsidRPr="002E5D2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E5D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2E5D2A" w:rsidRDefault="006850C0" w:rsidP="006850C0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2E5D2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2E5D2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103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Add.24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E5D2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5A295E" w:rsidRPr="002E5D2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E5D2A" w:rsidTr="00511CC9">
        <w:trPr>
          <w:cantSplit/>
        </w:trPr>
        <w:tc>
          <w:tcPr>
            <w:tcW w:w="6521" w:type="dxa"/>
            <w:shd w:val="clear" w:color="auto" w:fill="auto"/>
          </w:tcPr>
          <w:p w:rsidR="000F33D8" w:rsidRPr="002E5D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2E5D2A" w:rsidRDefault="006850C0" w:rsidP="006850C0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но</w:t>
            </w:r>
            <w:r w:rsidR="000F33D8" w:rsidRPr="002E5D2A">
              <w:rPr>
                <w:rFonts w:ascii="Verdana" w:hAnsi="Verdana"/>
                <w:b/>
                <w:bCs/>
                <w:sz w:val="18"/>
                <w:szCs w:val="18"/>
              </w:rPr>
              <w:t>ября 2015 года</w:t>
            </w:r>
          </w:p>
        </w:tc>
      </w:tr>
      <w:tr w:rsidR="000F33D8" w:rsidRPr="002E5D2A" w:rsidTr="00511CC9">
        <w:trPr>
          <w:cantSplit/>
        </w:trPr>
        <w:tc>
          <w:tcPr>
            <w:tcW w:w="6521" w:type="dxa"/>
          </w:tcPr>
          <w:p w:rsidR="000F33D8" w:rsidRPr="002E5D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2E5D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E5D2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E5D2A" w:rsidTr="0031102C">
        <w:trPr>
          <w:cantSplit/>
        </w:trPr>
        <w:tc>
          <w:tcPr>
            <w:tcW w:w="10031" w:type="dxa"/>
            <w:gridSpan w:val="2"/>
          </w:tcPr>
          <w:p w:rsidR="000F33D8" w:rsidRPr="002E5D2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E5D2A">
        <w:trPr>
          <w:cantSplit/>
        </w:trPr>
        <w:tc>
          <w:tcPr>
            <w:tcW w:w="10031" w:type="dxa"/>
            <w:gridSpan w:val="2"/>
          </w:tcPr>
          <w:p w:rsidR="000F33D8" w:rsidRPr="002E5D2A" w:rsidRDefault="000F33D8" w:rsidP="00511CC9">
            <w:pPr>
              <w:pStyle w:val="Source"/>
            </w:pPr>
            <w:bookmarkStart w:id="4" w:name="dsource" w:colFirst="0" w:colLast="0"/>
            <w:r w:rsidRPr="002E5D2A">
              <w:t>Япония</w:t>
            </w:r>
          </w:p>
        </w:tc>
      </w:tr>
      <w:tr w:rsidR="000F33D8" w:rsidRPr="002E5D2A">
        <w:trPr>
          <w:cantSplit/>
        </w:trPr>
        <w:tc>
          <w:tcPr>
            <w:tcW w:w="10031" w:type="dxa"/>
            <w:gridSpan w:val="2"/>
          </w:tcPr>
          <w:p w:rsidR="000F33D8" w:rsidRPr="002E5D2A" w:rsidRDefault="00511CC9" w:rsidP="00511CC9">
            <w:pPr>
              <w:pStyle w:val="Title1"/>
            </w:pPr>
            <w:bookmarkStart w:id="5" w:name="dtitle1" w:colFirst="0" w:colLast="0"/>
            <w:bookmarkEnd w:id="4"/>
            <w:r w:rsidRPr="002E5D2A">
              <w:t>Предложения для работы конференции</w:t>
            </w:r>
          </w:p>
        </w:tc>
      </w:tr>
      <w:tr w:rsidR="000F33D8" w:rsidRPr="002E5D2A">
        <w:trPr>
          <w:cantSplit/>
        </w:trPr>
        <w:tc>
          <w:tcPr>
            <w:tcW w:w="10031" w:type="dxa"/>
            <w:gridSpan w:val="2"/>
          </w:tcPr>
          <w:p w:rsidR="000F33D8" w:rsidRPr="002E5D2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E5D2A">
        <w:trPr>
          <w:cantSplit/>
        </w:trPr>
        <w:tc>
          <w:tcPr>
            <w:tcW w:w="10031" w:type="dxa"/>
            <w:gridSpan w:val="2"/>
          </w:tcPr>
          <w:p w:rsidR="000F33D8" w:rsidRPr="002E5D2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E5D2A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31102C" w:rsidRPr="00A10C3C" w:rsidRDefault="00AE6D99" w:rsidP="00511CC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E5D2A">
        <w:t>10</w:t>
      </w:r>
      <w:r w:rsidRPr="002E5D2A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E5D2A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511CC9" w:rsidRPr="002E5D2A" w:rsidRDefault="000165FE" w:rsidP="000165FE">
      <w:pPr>
        <w:pStyle w:val="Headingb"/>
        <w:rPr>
          <w:lang w:val="ru-RU"/>
        </w:rPr>
      </w:pPr>
      <w:r w:rsidRPr="002E5D2A">
        <w:rPr>
          <w:lang w:val="ru-RU"/>
        </w:rPr>
        <w:t>Базовая информация</w:t>
      </w:r>
    </w:p>
    <w:p w:rsidR="00511CC9" w:rsidRPr="002E5D2A" w:rsidRDefault="00CB7CB5" w:rsidP="00221A5F">
      <w:r w:rsidRPr="002E5D2A">
        <w:t>Япония поддерживает предложения</w:t>
      </w:r>
      <w:r w:rsidR="00511CC9" w:rsidRPr="002E5D2A">
        <w:t xml:space="preserve"> ASP/32A24 </w:t>
      </w:r>
      <w:r w:rsidRPr="002E5D2A">
        <w:t>для повестки дня</w:t>
      </w:r>
      <w:r w:rsidR="00511CC9" w:rsidRPr="002E5D2A">
        <w:t xml:space="preserve"> ВКР-19 </w:t>
      </w:r>
      <w:r w:rsidRPr="002E5D2A">
        <w:t>в общих предложениях АТСЭ</w:t>
      </w:r>
      <w:r w:rsidR="00511CC9" w:rsidRPr="002E5D2A">
        <w:t xml:space="preserve"> (</w:t>
      </w:r>
      <w:r w:rsidRPr="002E5D2A">
        <w:t>Дополнительный документ </w:t>
      </w:r>
      <w:r w:rsidR="00511CC9" w:rsidRPr="002E5D2A">
        <w:t xml:space="preserve">24 </w:t>
      </w:r>
      <w:r w:rsidRPr="002E5D2A">
        <w:t>к Документу</w:t>
      </w:r>
      <w:r w:rsidR="00511CC9" w:rsidRPr="002E5D2A">
        <w:t xml:space="preserve"> 32). </w:t>
      </w:r>
      <w:r w:rsidRPr="002E5D2A">
        <w:t>В пункте </w:t>
      </w:r>
      <w:r w:rsidR="00511CC9" w:rsidRPr="002E5D2A">
        <w:t xml:space="preserve">1.2 </w:t>
      </w:r>
      <w:r w:rsidRPr="002E5D2A">
        <w:t xml:space="preserve">раздела </w:t>
      </w:r>
      <w:r w:rsidRPr="006850C0">
        <w:rPr>
          <w:i/>
          <w:iCs/>
        </w:rPr>
        <w:t>решает</w:t>
      </w:r>
      <w:r w:rsidRPr="002E5D2A">
        <w:t xml:space="preserve"> предлагается</w:t>
      </w:r>
      <w:r w:rsidR="00511CC9" w:rsidRPr="002E5D2A">
        <w:t xml:space="preserve"> </w:t>
      </w:r>
      <w:r w:rsidR="002828AB" w:rsidRPr="002E5D2A">
        <w:t xml:space="preserve">рассмотреть соответствующие регламентарные меры для определения спектра для сухопутной подвижной и фиксированной служб, работающих в диапазоне частот </w:t>
      </w:r>
      <w:r w:rsidR="00511CC9" w:rsidRPr="002E5D2A">
        <w:t>275−1000 </w:t>
      </w:r>
      <w:r w:rsidRPr="002E5D2A">
        <w:t>ГГц, в соответствии с Резолюцией</w:t>
      </w:r>
      <w:r w:rsidR="00511CC9" w:rsidRPr="002E5D2A">
        <w:t xml:space="preserve"> [ASP-C10-MS&amp;FS_ABOVE_275GHz] (ВКР-15) (ASP/10/15).</w:t>
      </w:r>
    </w:p>
    <w:p w:rsidR="00511CC9" w:rsidRPr="002E5D2A" w:rsidRDefault="00CB7CB5" w:rsidP="006850C0">
      <w:r w:rsidRPr="002E5D2A">
        <w:t>В предлагаемой повестке дня речь идет о двух службах радиосвязи: сухопутной подвижной службе и фиксированно</w:t>
      </w:r>
      <w:r w:rsidR="000165FE" w:rsidRPr="002E5D2A">
        <w:t>й</w:t>
      </w:r>
      <w:r w:rsidRPr="002E5D2A">
        <w:t xml:space="preserve"> службе</w:t>
      </w:r>
      <w:bookmarkStart w:id="8" w:name="_GoBack"/>
      <w:bookmarkEnd w:id="8"/>
      <w:r w:rsidR="00511CC9" w:rsidRPr="002E5D2A">
        <w:t xml:space="preserve">. </w:t>
      </w:r>
      <w:r w:rsidRPr="002E5D2A">
        <w:t xml:space="preserve">В исследовательских комиссиях </w:t>
      </w:r>
      <w:r w:rsidR="00511CC9" w:rsidRPr="002E5D2A">
        <w:t xml:space="preserve">МСЭ-R </w:t>
      </w:r>
      <w:r w:rsidR="006850C0">
        <w:t>эти службы в настоящее время </w:t>
      </w:r>
      <w:r w:rsidRPr="002E5D2A">
        <w:t>изучаются соответственно Рабочими группами </w:t>
      </w:r>
      <w:proofErr w:type="spellStart"/>
      <w:r w:rsidR="00511CC9" w:rsidRPr="002E5D2A">
        <w:t>5A</w:t>
      </w:r>
      <w:proofErr w:type="spellEnd"/>
      <w:r w:rsidR="00511CC9" w:rsidRPr="002E5D2A">
        <w:t xml:space="preserve"> </w:t>
      </w:r>
      <w:r w:rsidRPr="002E5D2A">
        <w:t xml:space="preserve">и </w:t>
      </w:r>
      <w:r w:rsidR="00511CC9" w:rsidRPr="002E5D2A">
        <w:t xml:space="preserve">5C. </w:t>
      </w:r>
      <w:r w:rsidR="006850C0">
        <w:t>Для определения работы, о </w:t>
      </w:r>
      <w:r w:rsidRPr="002E5D2A">
        <w:t>кото</w:t>
      </w:r>
      <w:r w:rsidR="006850C0">
        <w:t>рой </w:t>
      </w:r>
      <w:r w:rsidRPr="002E5D2A">
        <w:t xml:space="preserve">говорится в разделе </w:t>
      </w:r>
      <w:r w:rsidRPr="006850C0">
        <w:rPr>
          <w:i/>
          <w:iCs/>
        </w:rPr>
        <w:t xml:space="preserve">предлагает </w:t>
      </w:r>
      <w:r w:rsidR="00511CC9" w:rsidRPr="006850C0">
        <w:rPr>
          <w:i/>
          <w:iCs/>
        </w:rPr>
        <w:t>МСЭ-R</w:t>
      </w:r>
      <w:r w:rsidR="00511CC9" w:rsidRPr="002E5D2A">
        <w:t xml:space="preserve"> </w:t>
      </w:r>
      <w:r w:rsidRPr="002E5D2A">
        <w:t xml:space="preserve">проекта новой </w:t>
      </w:r>
      <w:r w:rsidR="000165FE" w:rsidRPr="002E5D2A">
        <w:t>Р</w:t>
      </w:r>
      <w:r w:rsidRPr="002E5D2A">
        <w:t>езолюции</w:t>
      </w:r>
      <w:r w:rsidR="006850C0">
        <w:t> </w:t>
      </w:r>
      <w:r w:rsidR="00511CC9" w:rsidRPr="002E5D2A">
        <w:t>[</w:t>
      </w:r>
      <w:proofErr w:type="spellStart"/>
      <w:r w:rsidR="00511CC9" w:rsidRPr="002E5D2A">
        <w:t>ASP</w:t>
      </w:r>
      <w:r w:rsidRPr="002E5D2A">
        <w:noBreakHyphen/>
      </w:r>
      <w:r w:rsidR="00511CC9" w:rsidRPr="002E5D2A">
        <w:t>C10</w:t>
      </w:r>
      <w:r w:rsidRPr="002E5D2A">
        <w:noBreakHyphen/>
      </w:r>
      <w:r w:rsidR="00511CC9" w:rsidRPr="002E5D2A">
        <w:t>MS&amp;FS_ABOVE_275GH</w:t>
      </w:r>
      <w:r w:rsidR="006850C0" w:rsidRPr="002E5D2A">
        <w:t>z</w:t>
      </w:r>
      <w:proofErr w:type="spellEnd"/>
      <w:r w:rsidR="00511CC9" w:rsidRPr="002E5D2A">
        <w:t>] (</w:t>
      </w:r>
      <w:proofErr w:type="spellStart"/>
      <w:r w:rsidR="00511CC9" w:rsidRPr="002E5D2A">
        <w:t>ВКР</w:t>
      </w:r>
      <w:proofErr w:type="spellEnd"/>
      <w:r w:rsidR="00511CC9" w:rsidRPr="002E5D2A">
        <w:t xml:space="preserve">-15) </w:t>
      </w:r>
      <w:r w:rsidRPr="002E5D2A">
        <w:t>в Прилагаемом документе </w:t>
      </w:r>
      <w:r w:rsidR="00511CC9" w:rsidRPr="002E5D2A">
        <w:t xml:space="preserve">2 </w:t>
      </w:r>
      <w:r w:rsidR="006850C0">
        <w:t xml:space="preserve">к </w:t>
      </w:r>
      <w:r w:rsidRPr="002E5D2A">
        <w:t>Дополнительно</w:t>
      </w:r>
      <w:r w:rsidR="006850C0">
        <w:t>му</w:t>
      </w:r>
      <w:r w:rsidRPr="002E5D2A">
        <w:t xml:space="preserve"> документ</w:t>
      </w:r>
      <w:r w:rsidR="006850C0">
        <w:t>у</w:t>
      </w:r>
      <w:r w:rsidRPr="002E5D2A">
        <w:t> </w:t>
      </w:r>
      <w:r w:rsidR="00511CC9" w:rsidRPr="002E5D2A">
        <w:t xml:space="preserve">24 </w:t>
      </w:r>
      <w:r w:rsidRPr="002E5D2A">
        <w:t>к Документу </w:t>
      </w:r>
      <w:r w:rsidR="00511CC9" w:rsidRPr="002E5D2A">
        <w:t>32</w:t>
      </w:r>
      <w:r w:rsidR="00982C8F" w:rsidRPr="002E5D2A">
        <w:t>,</w:t>
      </w:r>
      <w:r w:rsidR="00511CC9" w:rsidRPr="002E5D2A">
        <w:t xml:space="preserve"> </w:t>
      </w:r>
      <w:r w:rsidR="00982C8F" w:rsidRPr="002E5D2A">
        <w:t>соответствующим рабочим группам Япония предлагает еще одну новую Резолюцию, в которой вышеупомянутый проект новой Резолюции несколько изменен следующим образом</w:t>
      </w:r>
      <w:r w:rsidR="00511CC9" w:rsidRPr="002E5D2A">
        <w:t>:</w:t>
      </w:r>
    </w:p>
    <w:p w:rsidR="00511CC9" w:rsidRPr="002E5D2A" w:rsidRDefault="00005B78" w:rsidP="00221A5F">
      <w:pPr>
        <w:pStyle w:val="enumlev1"/>
      </w:pPr>
      <w:r w:rsidRPr="002E5D2A">
        <w:t>−</w:t>
      </w:r>
      <w:r w:rsidRPr="002E5D2A">
        <w:tab/>
      </w:r>
      <w:r w:rsidR="00982C8F" w:rsidRPr="002E5D2A">
        <w:t>в сферу деятельности РГ 5A и РГ 5C добавлены соответствующие Вопросы</w:t>
      </w:r>
      <w:r w:rsidR="00511CC9" w:rsidRPr="002E5D2A">
        <w:t xml:space="preserve"> МСЭ-R (</w:t>
      </w:r>
      <w:r w:rsidR="00A10C3C">
        <w:t>т. е. </w:t>
      </w:r>
      <w:r w:rsidR="00982C8F" w:rsidRPr="002E5D2A">
        <w:t>Вопросы</w:t>
      </w:r>
      <w:r w:rsidR="00511CC9" w:rsidRPr="002E5D2A">
        <w:t xml:space="preserve"> МСЭ-R 256-0/5 </w:t>
      </w:r>
      <w:r w:rsidR="00982C8F" w:rsidRPr="002E5D2A">
        <w:t>и</w:t>
      </w:r>
      <w:r w:rsidR="00511CC9" w:rsidRPr="002E5D2A">
        <w:t xml:space="preserve"> МСЭ-R 257-0/5), </w:t>
      </w:r>
      <w:r w:rsidR="00982C8F" w:rsidRPr="002E5D2A">
        <w:t>которые были недавно утверждены</w:t>
      </w:r>
      <w:r w:rsidR="00511CC9" w:rsidRPr="002E5D2A">
        <w:t xml:space="preserve">, </w:t>
      </w:r>
      <w:r w:rsidR="00982C8F" w:rsidRPr="002E5D2A">
        <w:t>в пунктах</w:t>
      </w:r>
      <w:r w:rsidR="00511CC9" w:rsidRPr="002E5D2A">
        <w:t xml:space="preserve"> </w:t>
      </w:r>
      <w:r w:rsidR="00511CC9" w:rsidRPr="00A10C3C">
        <w:rPr>
          <w:i/>
          <w:iCs/>
        </w:rPr>
        <w:t>e)</w:t>
      </w:r>
      <w:r w:rsidR="00511CC9" w:rsidRPr="002E5D2A">
        <w:t xml:space="preserve"> </w:t>
      </w:r>
      <w:r w:rsidR="00982C8F" w:rsidRPr="002E5D2A">
        <w:t>и</w:t>
      </w:r>
      <w:r w:rsidR="00511CC9" w:rsidRPr="002E5D2A">
        <w:t xml:space="preserve"> </w:t>
      </w:r>
      <w:r w:rsidR="00511CC9" w:rsidRPr="00A10C3C">
        <w:rPr>
          <w:i/>
          <w:iCs/>
        </w:rPr>
        <w:t>f)</w:t>
      </w:r>
      <w:r w:rsidR="00982C8F" w:rsidRPr="002E5D2A">
        <w:t xml:space="preserve"> раздела </w:t>
      </w:r>
      <w:r w:rsidR="00982C8F" w:rsidRPr="00A10C3C">
        <w:rPr>
          <w:i/>
          <w:iCs/>
        </w:rPr>
        <w:t>отмечая</w:t>
      </w:r>
      <w:r w:rsidR="00511CC9" w:rsidRPr="002E5D2A">
        <w:t>;</w:t>
      </w:r>
    </w:p>
    <w:p w:rsidR="00511CC9" w:rsidRPr="002E5D2A" w:rsidRDefault="00005B78" w:rsidP="00221A5F">
      <w:pPr>
        <w:pStyle w:val="enumlev1"/>
      </w:pPr>
      <w:r w:rsidRPr="002E5D2A">
        <w:t>−</w:t>
      </w:r>
      <w:r w:rsidRPr="002E5D2A">
        <w:tab/>
      </w:r>
      <w:r w:rsidR="00982C8F" w:rsidRPr="002E5D2A">
        <w:t>темы исследований в разделе предлагает МСЭ-R разбиты на две категории по службам радиосвязи, что носит редакционный характер и не меняет существа вопроса</w:t>
      </w:r>
      <w:r w:rsidR="00511CC9" w:rsidRPr="002E5D2A">
        <w:t>.</w:t>
      </w:r>
    </w:p>
    <w:p w:rsidR="00511CC9" w:rsidRPr="002E5D2A" w:rsidRDefault="00982C8F" w:rsidP="00221A5F">
      <w:r w:rsidRPr="002E5D2A">
        <w:t xml:space="preserve">Вышеупомянутые два пункта являются единственными отличиями от </w:t>
      </w:r>
      <w:r w:rsidR="00511CC9" w:rsidRPr="002E5D2A">
        <w:t>ASP/32A24/15</w:t>
      </w:r>
      <w:r w:rsidRPr="002E5D2A">
        <w:t>, предложенного АТСЭ</w:t>
      </w:r>
      <w:r w:rsidR="00511CC9" w:rsidRPr="002E5D2A">
        <w:t>.</w:t>
      </w:r>
    </w:p>
    <w:p w:rsidR="00511CC9" w:rsidRPr="006850C0" w:rsidRDefault="006850C0" w:rsidP="00511CC9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B5CC2" w:rsidRPr="002E5D2A" w:rsidRDefault="009B5CC2" w:rsidP="00511CC9">
      <w:r w:rsidRPr="002E5D2A">
        <w:br w:type="page"/>
      </w:r>
    </w:p>
    <w:p w:rsidR="008E5821" w:rsidRPr="002E5D2A" w:rsidRDefault="00AE6D99">
      <w:pPr>
        <w:pStyle w:val="Proposal"/>
      </w:pPr>
      <w:r w:rsidRPr="002E5D2A">
        <w:lastRenderedPageBreak/>
        <w:t>ADD</w:t>
      </w:r>
      <w:r w:rsidRPr="002E5D2A">
        <w:tab/>
        <w:t>J/103A24/1</w:t>
      </w:r>
    </w:p>
    <w:p w:rsidR="000C7219" w:rsidRPr="002E5D2A" w:rsidRDefault="000C7219" w:rsidP="0031102C">
      <w:pPr>
        <w:pStyle w:val="RecNo"/>
      </w:pPr>
      <w:r w:rsidRPr="002E5D2A">
        <w:t>Проект новой ре</w:t>
      </w:r>
      <w:r w:rsidR="0031102C" w:rsidRPr="002E5D2A">
        <w:t>золюции</w:t>
      </w:r>
      <w:r w:rsidRPr="002E5D2A">
        <w:t xml:space="preserve"> [</w:t>
      </w:r>
      <w:proofErr w:type="spellStart"/>
      <w:r w:rsidRPr="002E5D2A">
        <w:t>J-C10-MS&amp;FS_ABOVE_275GH</w:t>
      </w:r>
      <w:r w:rsidR="006850C0" w:rsidRPr="002E5D2A">
        <w:rPr>
          <w:caps w:val="0"/>
        </w:rPr>
        <w:t>z</w:t>
      </w:r>
      <w:proofErr w:type="spellEnd"/>
      <w:r w:rsidRPr="002E5D2A">
        <w:t>] (</w:t>
      </w:r>
      <w:proofErr w:type="spellStart"/>
      <w:r w:rsidRPr="002E5D2A">
        <w:t>ВКР</w:t>
      </w:r>
      <w:proofErr w:type="spellEnd"/>
      <w:r w:rsidRPr="002E5D2A">
        <w:t>-15)</w:t>
      </w:r>
    </w:p>
    <w:p w:rsidR="000C7219" w:rsidRPr="002E5D2A" w:rsidRDefault="00715193" w:rsidP="00715193">
      <w:pPr>
        <w:pStyle w:val="Rectitle"/>
      </w:pPr>
      <w:r w:rsidRPr="002E5D2A">
        <w:t xml:space="preserve">Соответствующие регламентарные меры для сухопутной подвижной и фиксированной служб, работающих в диапазоне частот </w:t>
      </w:r>
      <w:r w:rsidR="000C7219" w:rsidRPr="002E5D2A">
        <w:t>275−1000 ГГц</w:t>
      </w:r>
    </w:p>
    <w:p w:rsidR="00715193" w:rsidRPr="002E5D2A" w:rsidRDefault="00715193" w:rsidP="00715193">
      <w:pPr>
        <w:pStyle w:val="Normalaftertitle"/>
        <w:rPr>
          <w:lang w:eastAsia="nl-NL"/>
        </w:rPr>
      </w:pPr>
      <w:r w:rsidRPr="002E5D2A">
        <w:rPr>
          <w:lang w:eastAsia="nl-NL"/>
        </w:rPr>
        <w:t>Всемирная конференция радиосвязи (Женева, 2015 г.),</w:t>
      </w:r>
    </w:p>
    <w:p w:rsidR="00715193" w:rsidRPr="002E5D2A" w:rsidRDefault="00715193" w:rsidP="00715193">
      <w:pPr>
        <w:pStyle w:val="Call"/>
      </w:pPr>
      <w:r w:rsidRPr="002E5D2A">
        <w:t>учитывая</w:t>
      </w:r>
      <w:r w:rsidRPr="002E5D2A">
        <w:rPr>
          <w:i w:val="0"/>
        </w:rPr>
        <w:t>,</w:t>
      </w:r>
    </w:p>
    <w:p w:rsidR="00715193" w:rsidRPr="002E5D2A" w:rsidRDefault="00715193" w:rsidP="00715193">
      <w:r w:rsidRPr="002E5D2A">
        <w:rPr>
          <w:i/>
          <w:iCs/>
        </w:rPr>
        <w:t>a)</w:t>
      </w:r>
      <w:r w:rsidRPr="002E5D2A">
        <w:tab/>
        <w:t>что ряд полос в диапазоне частот 275</w:t>
      </w:r>
      <w:r w:rsidRPr="002E5D2A">
        <w:sym w:font="Symbol" w:char="F02D"/>
      </w:r>
      <w:r w:rsidRPr="002E5D2A">
        <w:t>1000 ГГц определен для использования администрациями для пассивных служб, таких как радиоастрономическая служба, спутниковая служба исследования Земли (пассивная) и служба космических исследований (пассивная);</w:t>
      </w:r>
    </w:p>
    <w:p w:rsidR="00715193" w:rsidRPr="002E5D2A" w:rsidRDefault="00715193" w:rsidP="00715193">
      <w:r w:rsidRPr="002E5D2A">
        <w:rPr>
          <w:i/>
          <w:iCs/>
        </w:rPr>
        <w:t>b)</w:t>
      </w:r>
      <w:r w:rsidRPr="002E5D2A">
        <w:tab/>
        <w:t xml:space="preserve">что в п. </w:t>
      </w:r>
      <w:r w:rsidRPr="006850C0">
        <w:rPr>
          <w:b/>
          <w:bCs/>
        </w:rPr>
        <w:t>5.565</w:t>
      </w:r>
      <w:r w:rsidRPr="002E5D2A">
        <w:t xml:space="preserve"> указывается, что использование диапазона 275</w:t>
      </w:r>
      <w:r w:rsidRPr="002E5D2A">
        <w:sym w:font="Symbol" w:char="F02D"/>
      </w:r>
      <w:r w:rsidRPr="002E5D2A">
        <w:t>1000 ГГц пассивными службами не исключает использование этого диапазона активными службами;</w:t>
      </w:r>
    </w:p>
    <w:p w:rsidR="00715193" w:rsidRPr="002E5D2A" w:rsidRDefault="00715193" w:rsidP="00715193">
      <w:r w:rsidRPr="002E5D2A">
        <w:rPr>
          <w:i/>
          <w:iCs/>
        </w:rPr>
        <w:t>c)</w:t>
      </w:r>
      <w:r w:rsidRPr="002E5D2A">
        <w:tab/>
        <w:t>что администрации, желающие предоставить частоты в диапазоне 275–1000 ГГц для применений активных служб, настоятельно призываются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</w:t>
      </w:r>
      <w:r w:rsidRPr="002E5D2A">
        <w:sym w:font="Symbol" w:char="F02D"/>
      </w:r>
      <w:r w:rsidRPr="002E5D2A">
        <w:t>1000 ГГц;</w:t>
      </w:r>
    </w:p>
    <w:p w:rsidR="00715193" w:rsidRPr="002E5D2A" w:rsidRDefault="00715193" w:rsidP="00715193">
      <w:r w:rsidRPr="002E5D2A">
        <w:rPr>
          <w:i/>
          <w:iCs/>
        </w:rPr>
        <w:t>d)</w:t>
      </w:r>
      <w:r w:rsidRPr="002E5D2A">
        <w:tab/>
        <w:t>что благодаря значительным усилиям многих организаций, занимающихся научно-исследовательскими и опытно-конструкторскими работами (НИОКР), появляется практическая возможность создания активных устройств, которые могут работать при комнатной температуре в диапазоне выше 275 ГГц;</w:t>
      </w:r>
    </w:p>
    <w:p w:rsidR="00715193" w:rsidRPr="002E5D2A" w:rsidRDefault="00715193" w:rsidP="00715193">
      <w:r w:rsidRPr="002E5D2A">
        <w:rPr>
          <w:i/>
          <w:iCs/>
        </w:rPr>
        <w:t>e)</w:t>
      </w:r>
      <w:r w:rsidRPr="002E5D2A">
        <w:tab/>
        <w:t>что организации, занимающиеся НИОКР, продемонстрировали системы связи со сверхвысокой скоростью передачи данных (до 100 Гбит/с), работающие в диапазоне выше 275 ГГц;</w:t>
      </w:r>
    </w:p>
    <w:p w:rsidR="00715193" w:rsidRPr="002E5D2A" w:rsidRDefault="00715193" w:rsidP="00715193">
      <w:r w:rsidRPr="002E5D2A">
        <w:rPr>
          <w:i/>
          <w:iCs/>
        </w:rPr>
        <w:t>f)</w:t>
      </w:r>
      <w:r w:rsidRPr="002E5D2A">
        <w:tab/>
        <w:t>что в настоящее время IEEE разрабатывает свои стандарты для устройств, использующих диапазон частот выше 275 ГГц;</w:t>
      </w:r>
    </w:p>
    <w:p w:rsidR="00715193" w:rsidRPr="002E5D2A" w:rsidRDefault="00715193" w:rsidP="00715193">
      <w:r w:rsidRPr="002E5D2A">
        <w:rPr>
          <w:i/>
          <w:iCs/>
        </w:rPr>
        <w:t>g)</w:t>
      </w:r>
      <w:r w:rsidRPr="002E5D2A">
        <w:tab/>
        <w:t>что 3-й Исследовательской комиссией МСЭ-R также были исследованы характеристики распространения радиоволн на частотах выше 275 ГГц;</w:t>
      </w:r>
    </w:p>
    <w:p w:rsidR="00715193" w:rsidRPr="002E5D2A" w:rsidRDefault="00715193" w:rsidP="00715193">
      <w:r w:rsidRPr="002E5D2A">
        <w:rPr>
          <w:i/>
          <w:iCs/>
        </w:rPr>
        <w:t>h)</w:t>
      </w:r>
      <w:r w:rsidRPr="002E5D2A">
        <w:tab/>
        <w:t>что МСЭ-R проведены исследования технических и эксплуатационных характеристик активных служб, работающих в диапазоне 275–1000 ГГц;</w:t>
      </w:r>
    </w:p>
    <w:p w:rsidR="00715193" w:rsidRPr="002E5D2A" w:rsidRDefault="00715193" w:rsidP="00715193">
      <w:r w:rsidRPr="002E5D2A">
        <w:rPr>
          <w:i/>
          <w:iCs/>
        </w:rPr>
        <w:t>i)</w:t>
      </w:r>
      <w:r w:rsidRPr="002E5D2A">
        <w:tab/>
        <w:t xml:space="preserve">что по результатам исследований, упомянутых в пункте </w:t>
      </w:r>
      <w:r w:rsidRPr="002E5D2A">
        <w:rPr>
          <w:i/>
          <w:iCs/>
        </w:rPr>
        <w:t>h)</w:t>
      </w:r>
      <w:r w:rsidRPr="002E5D2A">
        <w:t xml:space="preserve"> раздела </w:t>
      </w:r>
      <w:r w:rsidRPr="002E5D2A">
        <w:rPr>
          <w:i/>
          <w:iCs/>
        </w:rPr>
        <w:t>учитывая</w:t>
      </w:r>
      <w:r w:rsidRPr="002E5D2A">
        <w:t>, в МСЭ-R началось изучение технических и эксплуатационных характеристик сухопутной подвижной и фиксированной служб, работающих в диапазоне частот 275–1000 ГГц;</w:t>
      </w:r>
    </w:p>
    <w:p w:rsidR="00715193" w:rsidRPr="00A10C3C" w:rsidRDefault="00715193" w:rsidP="00715193">
      <w:r w:rsidRPr="002E5D2A">
        <w:rPr>
          <w:i/>
          <w:iCs/>
        </w:rPr>
        <w:t>j)</w:t>
      </w:r>
      <w:r w:rsidRPr="002E5D2A">
        <w:tab/>
        <w:t>что РГ 7C отметила существование потенциальных помех от активных служб в диапазоне частот 275–1000 ГГц, для которого характерно небольшое зату</w:t>
      </w:r>
      <w:r w:rsidR="002E5D2A">
        <w:t>хание в атмосфере</w:t>
      </w:r>
      <w:r w:rsidR="002E5D2A" w:rsidRPr="00A10C3C">
        <w:t>;</w:t>
      </w:r>
    </w:p>
    <w:p w:rsidR="00715193" w:rsidRPr="002E5D2A" w:rsidRDefault="00715193" w:rsidP="006850C0">
      <w:r w:rsidRPr="002E5D2A">
        <w:rPr>
          <w:i/>
          <w:iCs/>
        </w:rPr>
        <w:t>k)</w:t>
      </w:r>
      <w:r w:rsidRPr="002E5D2A">
        <w:tab/>
        <w:t>что должно быть обеспечено сосуществование пассивных служб, определенных в п. </w:t>
      </w:r>
      <w:r w:rsidRPr="002E5D2A">
        <w:rPr>
          <w:b/>
          <w:bCs/>
        </w:rPr>
        <w:t>5.565</w:t>
      </w:r>
      <w:r w:rsidRPr="002E5D2A">
        <w:t>, и внедряемых активных служб;</w:t>
      </w:r>
    </w:p>
    <w:p w:rsidR="00715193" w:rsidRPr="002E5D2A" w:rsidRDefault="00715193" w:rsidP="00715193">
      <w:r w:rsidRPr="002E5D2A">
        <w:rPr>
          <w:i/>
          <w:iCs/>
        </w:rPr>
        <w:t>l)</w:t>
      </w:r>
      <w:r w:rsidRPr="002E5D2A">
        <w:tab/>
        <w:t>что еще не определены технические и эксплуатационные характеристики сухопутной подвижной и фиксированной служб, работающих в диапазоне частот 275–1000 ГГц, и требуется провести дополнительные исследования;</w:t>
      </w:r>
    </w:p>
    <w:p w:rsidR="00715193" w:rsidRPr="002E5D2A" w:rsidRDefault="00715193" w:rsidP="00715193">
      <w:r w:rsidRPr="002E5D2A">
        <w:rPr>
          <w:i/>
          <w:iCs/>
        </w:rPr>
        <w:t>m)</w:t>
      </w:r>
      <w:r w:rsidRPr="002E5D2A">
        <w:tab/>
        <w:t>что требуются модели распространения радиоволн сухопутной подвижной и фиксированной служб, работающих в диапазоне частот 275–1000 ГГц;</w:t>
      </w:r>
    </w:p>
    <w:p w:rsidR="00715193" w:rsidRPr="002E5D2A" w:rsidRDefault="00715193" w:rsidP="00715193">
      <w:r w:rsidRPr="002E5D2A">
        <w:rPr>
          <w:i/>
          <w:iCs/>
        </w:rPr>
        <w:t>n)</w:t>
      </w:r>
      <w:r w:rsidRPr="002E5D2A">
        <w:tab/>
        <w:t>что не были проведены исследования совместного использования частот и совместимости между пассивными службами и сухопутной подвижной и фиксированной службами, работающими в диапазоне частот 275–1000 ГГц,</w:t>
      </w:r>
    </w:p>
    <w:p w:rsidR="00715193" w:rsidRPr="002E5D2A" w:rsidRDefault="00715193" w:rsidP="00AE6D99">
      <w:pPr>
        <w:pStyle w:val="Call"/>
      </w:pPr>
      <w:r w:rsidRPr="002E5D2A">
        <w:lastRenderedPageBreak/>
        <w:t>отмечая</w:t>
      </w:r>
      <w:r w:rsidRPr="002E5D2A">
        <w:rPr>
          <w:i w:val="0"/>
        </w:rPr>
        <w:t>,</w:t>
      </w:r>
    </w:p>
    <w:p w:rsidR="00715193" w:rsidRPr="002E5D2A" w:rsidRDefault="00715193" w:rsidP="00715193">
      <w:r w:rsidRPr="002E5D2A">
        <w:rPr>
          <w:i/>
          <w:iCs/>
        </w:rPr>
        <w:t>a)</w:t>
      </w:r>
      <w:r w:rsidRPr="002E5D2A">
        <w:tab/>
        <w:t>что Вопрос МСЭ-R 228-2/3 "Данные</w:t>
      </w:r>
      <w:r w:rsidRPr="002E5D2A">
        <w:rPr>
          <w:lang w:eastAsia="ja-JP"/>
        </w:rPr>
        <w:t xml:space="preserve"> о распространении, необходимые для планирования систем радиосвязи, работающих в частотах выше 275 ГГц" касается исследований моделей распространения радиоволн, которые наилучшим образом описывают</w:t>
      </w:r>
      <w:r w:rsidRPr="002E5D2A">
        <w:t xml:space="preserve"> взаимосвязь между параметрами атмосферы и характеристиками электромагнитных волн в наземных линиях, </w:t>
      </w:r>
      <w:r w:rsidR="0011722E" w:rsidRPr="002E5D2A">
        <w:t>работающих на частотах выше 275 </w:t>
      </w:r>
      <w:r w:rsidR="002E5D2A">
        <w:t>ГГц;</w:t>
      </w:r>
    </w:p>
    <w:p w:rsidR="00715193" w:rsidRPr="002E5D2A" w:rsidRDefault="00715193" w:rsidP="00715193">
      <w:r w:rsidRPr="002E5D2A">
        <w:rPr>
          <w:i/>
          <w:iCs/>
        </w:rPr>
        <w:t>b)</w:t>
      </w:r>
      <w:r w:rsidRPr="002E5D2A">
        <w:tab/>
        <w:t>что Вопрос МСЭ-R 264/4 "Технические и эксплуатационные характеристики сетей фиксированной спутниковой службы, работающих на частотах выше 275 ГГц" касается исследований технических и эксплуатационных характеристик линий Земля-космос, космос-Земля и кос</w:t>
      </w:r>
      <w:r w:rsidR="0011722E" w:rsidRPr="002E5D2A">
        <w:t>мос-космос на частотах выше 275 </w:t>
      </w:r>
      <w:r w:rsidRPr="002E5D2A">
        <w:t>ГГц;</w:t>
      </w:r>
    </w:p>
    <w:p w:rsidR="00715193" w:rsidRPr="002E5D2A" w:rsidRDefault="00715193" w:rsidP="00715193">
      <w:r w:rsidRPr="002E5D2A">
        <w:rPr>
          <w:i/>
          <w:iCs/>
        </w:rPr>
        <w:t>c)</w:t>
      </w:r>
      <w:r w:rsidRPr="002E5D2A">
        <w:tab/>
        <w:t xml:space="preserve">что Вопрос МСЭ-R 235-1/7 "Технические и эксплуатационные характеристики применений научных служб, </w:t>
      </w:r>
      <w:r w:rsidR="0011722E" w:rsidRPr="002E5D2A">
        <w:t>работающих на частотах выше 275 </w:t>
      </w:r>
      <w:r w:rsidRPr="002E5D2A">
        <w:t xml:space="preserve">ГГц" касается исследований технических и эксплуатационных характеристик систем, </w:t>
      </w:r>
      <w:r w:rsidR="0011722E" w:rsidRPr="002E5D2A">
        <w:t>работающих на частотах выше 275 </w:t>
      </w:r>
      <w:r w:rsidRPr="002E5D2A">
        <w:t>ГГц в рамках научной службы;</w:t>
      </w:r>
    </w:p>
    <w:p w:rsidR="00715193" w:rsidRPr="002E5D2A" w:rsidRDefault="00715193" w:rsidP="00715193">
      <w:r w:rsidRPr="002E5D2A">
        <w:rPr>
          <w:i/>
          <w:iCs/>
        </w:rPr>
        <w:t>d)</w:t>
      </w:r>
      <w:r w:rsidRPr="002E5D2A">
        <w:tab/>
        <w:t>что Вопрос МСЭ-R 237/1 "Технические и эксплуатационные характеристики активных служб, работающих в полосе 275–1000 ГГц" касается исследований технических и эксплуатационных характеристик активных сл</w:t>
      </w:r>
      <w:r w:rsidR="0011722E" w:rsidRPr="002E5D2A">
        <w:t>ужб в диапазоне частот 275–1000 </w:t>
      </w:r>
      <w:r w:rsidRPr="002E5D2A">
        <w:t>ГГц;</w:t>
      </w:r>
    </w:p>
    <w:p w:rsidR="0011722E" w:rsidRPr="002E5D2A" w:rsidRDefault="0011722E" w:rsidP="0031102C">
      <w:r w:rsidRPr="002E5D2A">
        <w:rPr>
          <w:i/>
          <w:iCs/>
        </w:rPr>
        <w:t>e)</w:t>
      </w:r>
      <w:r w:rsidRPr="002E5D2A">
        <w:tab/>
        <w:t xml:space="preserve">что Вопрос МСЭ-R 256-0/5 "Технические и эксплуатационные характеристики сухопутной подвижной службы в диапазоне частот 275–1000 ГГц" </w:t>
      </w:r>
      <w:r w:rsidR="0031102C" w:rsidRPr="002E5D2A">
        <w:t xml:space="preserve">касается исследований технических и эксплуатационных характеристик сухопутной подвижной службы в диапазоне частот </w:t>
      </w:r>
      <w:r w:rsidRPr="002E5D2A">
        <w:t>275−1000 ГГц;</w:t>
      </w:r>
    </w:p>
    <w:p w:rsidR="0011722E" w:rsidRPr="002E5D2A" w:rsidRDefault="0011722E" w:rsidP="0031102C">
      <w:r w:rsidRPr="002E5D2A">
        <w:rPr>
          <w:i/>
          <w:iCs/>
        </w:rPr>
        <w:t>f)</w:t>
      </w:r>
      <w:r w:rsidRPr="002E5D2A">
        <w:tab/>
        <w:t>что Вопрос МСЭ-R 257-0/5 "</w:t>
      </w:r>
      <w:r w:rsidRPr="002E5D2A">
        <w:rPr>
          <w:bCs/>
        </w:rPr>
        <w:t xml:space="preserve">Технические и эксплуатационные характеристики станций фиксированной службы в диапазоне частот </w:t>
      </w:r>
      <w:r w:rsidRPr="002E5D2A">
        <w:t xml:space="preserve">275–1000 ГГц" </w:t>
      </w:r>
      <w:r w:rsidR="0031102C" w:rsidRPr="002E5D2A">
        <w:t xml:space="preserve">касается исследований технических и эксплуатационных характеристик фиксированной службы в диапазоне частот </w:t>
      </w:r>
      <w:r w:rsidRPr="002E5D2A">
        <w:t>275−1000 ГГц;</w:t>
      </w:r>
    </w:p>
    <w:p w:rsidR="0011722E" w:rsidRPr="002E5D2A" w:rsidRDefault="00715193" w:rsidP="0011722E">
      <w:r w:rsidRPr="002E5D2A">
        <w:rPr>
          <w:i/>
          <w:iCs/>
        </w:rPr>
        <w:t>g)</w:t>
      </w:r>
      <w:r w:rsidRPr="002E5D2A">
        <w:tab/>
      </w:r>
      <w:r w:rsidR="0011722E" w:rsidRPr="002E5D2A">
        <w:t xml:space="preserve">что в Рекомендации МСЭ-R </w:t>
      </w:r>
      <w:hyperlink r:id="rId13" w:history="1">
        <w:r w:rsidR="0011722E" w:rsidRPr="002E5D2A">
          <w:rPr>
            <w:rStyle w:val="Hyperlink"/>
          </w:rPr>
          <w:t>P.676</w:t>
        </w:r>
      </w:hyperlink>
      <w:r w:rsidR="0011722E" w:rsidRPr="002E5D2A">
        <w:rPr>
          <w:rStyle w:val="Hyperlink"/>
        </w:rPr>
        <w:t>-10</w:t>
      </w:r>
      <w:r w:rsidR="0011722E" w:rsidRPr="002E5D2A">
        <w:t xml:space="preserve"> "Затухание в атмосферных газах" представлены методы, позволяющие оценивать затухание радиоволн в атмосферных газах на наземных и наклонных трассах с использованием оценки затухания в атмосферных газах, полученной путем суммирования индивидуальных линий поглощения, которая действительна для диапазона частот 1−</w:t>
      </w:r>
      <w:r w:rsidR="00251768" w:rsidRPr="002E5D2A">
        <w:t>1000 </w:t>
      </w:r>
      <w:r w:rsidR="0011722E" w:rsidRPr="002E5D2A">
        <w:t>ГГц, а также упрощенный метод приблизительной оценки затухания в атмосферных газах, который применя</w:t>
      </w:r>
      <w:r w:rsidR="00251768" w:rsidRPr="002E5D2A">
        <w:t>ется для диапазона частот 1–350 </w:t>
      </w:r>
      <w:r w:rsidR="0011722E" w:rsidRPr="002E5D2A">
        <w:t>ГГц;</w:t>
      </w:r>
    </w:p>
    <w:p w:rsidR="00251768" w:rsidRPr="002E5D2A" w:rsidRDefault="00715193" w:rsidP="00251768">
      <w:r w:rsidRPr="002E5D2A">
        <w:rPr>
          <w:i/>
          <w:iCs/>
        </w:rPr>
        <w:t>h)</w:t>
      </w:r>
      <w:r w:rsidRPr="002E5D2A">
        <w:tab/>
      </w:r>
      <w:r w:rsidR="00251768" w:rsidRPr="002E5D2A">
        <w:t xml:space="preserve">что в Рекомендации МСЭ-R </w:t>
      </w:r>
      <w:hyperlink r:id="rId14" w:history="1">
        <w:r w:rsidR="00251768" w:rsidRPr="002E5D2A">
          <w:rPr>
            <w:rStyle w:val="Hyperlink"/>
          </w:rPr>
          <w:t>P.838</w:t>
        </w:r>
      </w:hyperlink>
      <w:r w:rsidR="00251768" w:rsidRPr="002E5D2A">
        <w:rPr>
          <w:rStyle w:val="Hyperlink"/>
        </w:rPr>
        <w:t>-3</w:t>
      </w:r>
      <w:r w:rsidR="00251768" w:rsidRPr="002E5D2A">
        <w:t xml:space="preserve"> "Модель погонного ослабления в дожде, используемая в методах прогнозирования" представлены методы прогнозирования, используемые в модели погонного ослабления в дожде;</w:t>
      </w:r>
    </w:p>
    <w:p w:rsidR="00251768" w:rsidRPr="002E5D2A" w:rsidRDefault="00251768" w:rsidP="00251768">
      <w:r w:rsidRPr="002E5D2A">
        <w:rPr>
          <w:i/>
          <w:iCs/>
        </w:rPr>
        <w:t>i)</w:t>
      </w:r>
      <w:r w:rsidRPr="002E5D2A">
        <w:tab/>
        <w:t xml:space="preserve">что в Рекомендации МСЭ-R </w:t>
      </w:r>
      <w:hyperlink r:id="rId15" w:history="1">
        <w:r w:rsidRPr="002E5D2A">
          <w:rPr>
            <w:rStyle w:val="Hyperlink"/>
          </w:rPr>
          <w:t>P.840</w:t>
        </w:r>
      </w:hyperlink>
      <w:r w:rsidRPr="002E5D2A">
        <w:rPr>
          <w:rStyle w:val="Hyperlink"/>
        </w:rPr>
        <w:t>-6</w:t>
      </w:r>
      <w:r w:rsidRPr="002E5D2A">
        <w:t xml:space="preserve"> "Ослабление из-за облачности и тумана" приведены методы прогнозирования ослабления из-за облачности и тумана на трассах Земля-космос;</w:t>
      </w:r>
    </w:p>
    <w:p w:rsidR="00715193" w:rsidRPr="002E5D2A" w:rsidRDefault="00251768" w:rsidP="00715193">
      <w:r w:rsidRPr="002E5D2A">
        <w:rPr>
          <w:i/>
          <w:iCs/>
        </w:rPr>
        <w:t>j)</w:t>
      </w:r>
      <w:r w:rsidRPr="002E5D2A">
        <w:tab/>
      </w:r>
      <w:r w:rsidR="00715193" w:rsidRPr="002E5D2A">
        <w:t>что в Отчете МСЭ-R RA.2189 "Совместное использование частот радиоастрономической службой и активными службами (система на борту воздушного судна, НГСО система) в диапазоне частот 275</w:t>
      </w:r>
      <w:r w:rsidR="00715193" w:rsidRPr="002E5D2A">
        <w:sym w:font="Symbol" w:char="F02D"/>
      </w:r>
      <w:r w:rsidR="00715193" w:rsidRPr="002E5D2A">
        <w:t>3000 ГГц" указано, что совместное использование частот радиоастрономической службой и активными службами в диапазоне 275−3000 ГГц;</w:t>
      </w:r>
    </w:p>
    <w:p w:rsidR="00715193" w:rsidRPr="002E5D2A" w:rsidRDefault="00251768" w:rsidP="00715193">
      <w:r w:rsidRPr="002E5D2A">
        <w:rPr>
          <w:i/>
          <w:iCs/>
        </w:rPr>
        <w:t>k</w:t>
      </w:r>
      <w:r w:rsidR="00715193" w:rsidRPr="002E5D2A">
        <w:rPr>
          <w:i/>
          <w:iCs/>
        </w:rPr>
        <w:t>)</w:t>
      </w:r>
      <w:r w:rsidR="00715193" w:rsidRPr="002E5D2A">
        <w:tab/>
        <w:t>что в Отчете МСЭ-R F.2323-0 "</w:t>
      </w:r>
      <w:r w:rsidR="00715193" w:rsidRPr="002E5D2A">
        <w:rPr>
          <w:rFonts w:eastAsia="SimSun"/>
          <w:szCs w:val="18"/>
          <w:lang w:eastAsia="zh-CN"/>
        </w:rPr>
        <w:t>Использование фиксированной службы и будущие тенденции</w:t>
      </w:r>
      <w:r w:rsidR="00715193" w:rsidRPr="002E5D2A">
        <w:t>" приведено руководство, касающееся будущего развития фиксированной службы (ФС) с учетом изменения текущего использования и развития технологий, тенденций в области применения систем фиксированной беспроводной связи и будущих требований к системам фиксированной беспроводной связи;</w:t>
      </w:r>
    </w:p>
    <w:p w:rsidR="00715193" w:rsidRPr="002E5D2A" w:rsidRDefault="00251768" w:rsidP="00251768">
      <w:r w:rsidRPr="002E5D2A">
        <w:rPr>
          <w:i/>
          <w:iCs/>
        </w:rPr>
        <w:t>l</w:t>
      </w:r>
      <w:r w:rsidR="00715193" w:rsidRPr="002E5D2A">
        <w:rPr>
          <w:i/>
          <w:iCs/>
        </w:rPr>
        <w:t>)</w:t>
      </w:r>
      <w:r w:rsidR="00715193" w:rsidRPr="002E5D2A">
        <w:tab/>
        <w:t>что в Отчете МСЭ-R SM.2352-0 "</w:t>
      </w:r>
      <w:r w:rsidR="00715193" w:rsidRPr="002E5D2A">
        <w:rPr>
          <w:lang w:eastAsia="ja-JP"/>
        </w:rPr>
        <w:t>Тенденции в области технологий активных сл</w:t>
      </w:r>
      <w:r w:rsidRPr="002E5D2A">
        <w:rPr>
          <w:lang w:eastAsia="ja-JP"/>
        </w:rPr>
        <w:t>ужб в диапазоне частот 275–3000 </w:t>
      </w:r>
      <w:r w:rsidR="00715193" w:rsidRPr="002E5D2A">
        <w:rPr>
          <w:lang w:eastAsia="ja-JP"/>
        </w:rPr>
        <w:t>ГГц</w:t>
      </w:r>
      <w:r w:rsidR="00715193" w:rsidRPr="002E5D2A">
        <w:t xml:space="preserve">" приведены тенденции в области технологий активных служб </w:t>
      </w:r>
      <w:r w:rsidR="00715193" w:rsidRPr="002E5D2A">
        <w:rPr>
          <w:lang w:eastAsia="ja-JP"/>
        </w:rPr>
        <w:t>в диапазоне частот 275−3000</w:t>
      </w:r>
      <w:r w:rsidRPr="002E5D2A">
        <w:rPr>
          <w:lang w:eastAsia="ja-JP"/>
        </w:rPr>
        <w:t> </w:t>
      </w:r>
      <w:r w:rsidR="00715193" w:rsidRPr="002E5D2A">
        <w:rPr>
          <w:lang w:eastAsia="ja-JP"/>
        </w:rPr>
        <w:t>ГГц</w:t>
      </w:r>
      <w:r w:rsidR="00005B78" w:rsidRPr="002E5D2A">
        <w:t>,</w:t>
      </w:r>
    </w:p>
    <w:p w:rsidR="00715193" w:rsidRPr="002E5D2A" w:rsidRDefault="00251768" w:rsidP="00251768">
      <w:pPr>
        <w:pStyle w:val="Call"/>
      </w:pPr>
      <w:r w:rsidRPr="002E5D2A">
        <w:lastRenderedPageBreak/>
        <w:t>решает</w:t>
      </w:r>
    </w:p>
    <w:p w:rsidR="00715193" w:rsidRPr="002E5D2A" w:rsidRDefault="00715193" w:rsidP="00715193">
      <w:r w:rsidRPr="002E5D2A">
        <w:t>рассмотреть соответствующие регламентарные меры для определения сухопутной подвижной и фиксированной служб, работаю</w:t>
      </w:r>
      <w:r w:rsidR="00251768" w:rsidRPr="002E5D2A">
        <w:t>щих в диапазоне частот 275–1000 </w:t>
      </w:r>
      <w:r w:rsidRPr="002E5D2A">
        <w:t>ГГц, принимая во внимание результаты исследований МСЭ-R,</w:t>
      </w:r>
    </w:p>
    <w:p w:rsidR="00715193" w:rsidRPr="002E5D2A" w:rsidRDefault="00715193" w:rsidP="00AE6D99">
      <w:pPr>
        <w:pStyle w:val="Call"/>
      </w:pPr>
      <w:r w:rsidRPr="002E5D2A">
        <w:t>предлагает МСЭ-R</w:t>
      </w:r>
    </w:p>
    <w:p w:rsidR="00251768" w:rsidRPr="002E5D2A" w:rsidRDefault="00251768" w:rsidP="0031102C">
      <w:r w:rsidRPr="002E5D2A">
        <w:t>1</w:t>
      </w:r>
      <w:r w:rsidRPr="002E5D2A">
        <w:tab/>
      </w:r>
      <w:r w:rsidR="0031102C" w:rsidRPr="002E5D2A">
        <w:t>определить потенциальные характеристики систем сухопутной подвижной службы, работающих в диапазоне частот</w:t>
      </w:r>
      <w:r w:rsidRPr="002E5D2A">
        <w:t xml:space="preserve"> 275−1000</w:t>
      </w:r>
      <w:r w:rsidR="00AE6D99" w:rsidRPr="002E5D2A">
        <w:t> </w:t>
      </w:r>
      <w:r w:rsidRPr="002E5D2A">
        <w:t>ГГц;</w:t>
      </w:r>
    </w:p>
    <w:p w:rsidR="00251768" w:rsidRPr="002E5D2A" w:rsidRDefault="00251768" w:rsidP="0031102C">
      <w:r w:rsidRPr="002E5D2A">
        <w:t>2</w:t>
      </w:r>
      <w:r w:rsidRPr="002E5D2A">
        <w:tab/>
      </w:r>
      <w:r w:rsidR="0031102C" w:rsidRPr="002E5D2A">
        <w:t>определить потенциальные характеристики систем фиксированной службы, работающих в диапазоне частот</w:t>
      </w:r>
      <w:r w:rsidRPr="002E5D2A">
        <w:t xml:space="preserve"> 275−100</w:t>
      </w:r>
      <w:r w:rsidR="00AE6D99" w:rsidRPr="002E5D2A">
        <w:t>0 </w:t>
      </w:r>
      <w:r w:rsidRPr="002E5D2A">
        <w:t>ГГц;</w:t>
      </w:r>
    </w:p>
    <w:p w:rsidR="00251768" w:rsidRPr="002E5D2A" w:rsidRDefault="00251768" w:rsidP="000165FE">
      <w:r w:rsidRPr="002E5D2A">
        <w:t>3</w:t>
      </w:r>
      <w:r w:rsidRPr="002E5D2A">
        <w:tab/>
      </w:r>
      <w:r w:rsidR="0031102C" w:rsidRPr="002E5D2A">
        <w:t>исследовать потребности в спектре сухопутной подвижной службы</w:t>
      </w:r>
      <w:r w:rsidR="000165FE" w:rsidRPr="002E5D2A">
        <w:t>, принимая во внимание технические и эксплуатационные характеристики службы, работающей в диапазоне частот</w:t>
      </w:r>
      <w:r w:rsidRPr="002E5D2A">
        <w:t xml:space="preserve"> 275−1000</w:t>
      </w:r>
      <w:r w:rsidR="00AE6D99" w:rsidRPr="002E5D2A">
        <w:t> </w:t>
      </w:r>
      <w:r w:rsidRPr="002E5D2A">
        <w:t>ГГц;</w:t>
      </w:r>
    </w:p>
    <w:p w:rsidR="00251768" w:rsidRPr="002E5D2A" w:rsidRDefault="00251768" w:rsidP="000165FE">
      <w:r w:rsidRPr="002E5D2A">
        <w:t>4</w:t>
      </w:r>
      <w:r w:rsidRPr="002E5D2A">
        <w:tab/>
      </w:r>
      <w:r w:rsidR="000165FE" w:rsidRPr="002E5D2A">
        <w:t xml:space="preserve">исследовать потребности в спектре фиксированной службы, принимая во внимание технические и эксплуатационные характеристики службы, работающей в диапазоне частот </w:t>
      </w:r>
      <w:r w:rsidRPr="002E5D2A">
        <w:t>275−1000</w:t>
      </w:r>
      <w:r w:rsidR="00AE6D99" w:rsidRPr="002E5D2A">
        <w:t> ГГц</w:t>
      </w:r>
      <w:r w:rsidRPr="002E5D2A">
        <w:t>;</w:t>
      </w:r>
    </w:p>
    <w:p w:rsidR="00251768" w:rsidRPr="002E5D2A" w:rsidRDefault="00251768" w:rsidP="000165FE">
      <w:r w:rsidRPr="002E5D2A">
        <w:t>5</w:t>
      </w:r>
      <w:r w:rsidRPr="002E5D2A">
        <w:tab/>
      </w:r>
      <w:r w:rsidR="000165FE" w:rsidRPr="002E5D2A">
        <w:t>провести исследования совместного использования частот и совместимости между пассивными службами и сухопутной подвижной службой, а также между активными службами, работающими в диапазоне частот</w:t>
      </w:r>
      <w:r w:rsidRPr="002E5D2A">
        <w:t xml:space="preserve"> 275</w:t>
      </w:r>
      <w:r w:rsidR="00AE6D99" w:rsidRPr="002E5D2A">
        <w:t>−</w:t>
      </w:r>
      <w:r w:rsidRPr="002E5D2A">
        <w:t>1000</w:t>
      </w:r>
      <w:r w:rsidR="00AE6D99" w:rsidRPr="002E5D2A">
        <w:t> ГГц</w:t>
      </w:r>
      <w:r w:rsidRPr="002E5D2A">
        <w:t>;</w:t>
      </w:r>
    </w:p>
    <w:p w:rsidR="00251768" w:rsidRPr="002E5D2A" w:rsidRDefault="00251768" w:rsidP="000165FE">
      <w:r w:rsidRPr="002E5D2A">
        <w:t>6</w:t>
      </w:r>
      <w:r w:rsidRPr="002E5D2A">
        <w:tab/>
      </w:r>
      <w:r w:rsidR="000165FE" w:rsidRPr="002E5D2A">
        <w:t>провести исследования совместного использования частот и совместимости между пассивными службами и фиксированной службой, а также между активными службами, работающими в диапазоне частот 275−1000 ГГц</w:t>
      </w:r>
      <w:r w:rsidRPr="002E5D2A">
        <w:t>;</w:t>
      </w:r>
    </w:p>
    <w:p w:rsidR="00251768" w:rsidRPr="002E5D2A" w:rsidRDefault="00251768" w:rsidP="000165FE">
      <w:r w:rsidRPr="002E5D2A">
        <w:t>7</w:t>
      </w:r>
      <w:r w:rsidRPr="002E5D2A">
        <w:tab/>
      </w:r>
      <w:r w:rsidR="000165FE" w:rsidRPr="002E5D2A">
        <w:t>исследовать потенциальные кандидатные полосы частот для использования сухопутной подвижной службой, принимая во внимание результаты исследований, проведенных в соответствии с пунктами</w:t>
      </w:r>
      <w:r w:rsidRPr="002E5D2A">
        <w:t xml:space="preserve"> 1, 3 </w:t>
      </w:r>
      <w:r w:rsidR="00005B78" w:rsidRPr="002E5D2A">
        <w:t>и</w:t>
      </w:r>
      <w:r w:rsidRPr="002E5D2A">
        <w:t xml:space="preserve"> 5 </w:t>
      </w:r>
      <w:r w:rsidR="000165FE" w:rsidRPr="002E5D2A">
        <w:t xml:space="preserve">раздела </w:t>
      </w:r>
      <w:r w:rsidR="000165FE" w:rsidRPr="002E5D2A">
        <w:rPr>
          <w:i/>
          <w:iCs/>
        </w:rPr>
        <w:t>предлагает МСЭ-R</w:t>
      </w:r>
      <w:r w:rsidR="000165FE" w:rsidRPr="002E5D2A">
        <w:t xml:space="preserve">, и защиту пассивных служб, о которой говорится в </w:t>
      </w:r>
      <w:r w:rsidR="00005B78" w:rsidRPr="002E5D2A">
        <w:t>п</w:t>
      </w:r>
      <w:r w:rsidRPr="002E5D2A">
        <w:t>.</w:t>
      </w:r>
      <w:r w:rsidR="000165FE" w:rsidRPr="002E5D2A">
        <w:t> </w:t>
      </w:r>
      <w:r w:rsidRPr="002E5D2A">
        <w:rPr>
          <w:b/>
          <w:bCs/>
        </w:rPr>
        <w:t>5.565</w:t>
      </w:r>
      <w:r w:rsidR="00005B78" w:rsidRPr="002E5D2A">
        <w:t>;</w:t>
      </w:r>
    </w:p>
    <w:p w:rsidR="00251768" w:rsidRPr="002E5D2A" w:rsidRDefault="00251768" w:rsidP="000165FE">
      <w:r w:rsidRPr="002E5D2A">
        <w:t>8</w:t>
      </w:r>
      <w:r w:rsidRPr="002E5D2A">
        <w:tab/>
      </w:r>
      <w:r w:rsidR="000165FE" w:rsidRPr="002E5D2A">
        <w:t xml:space="preserve">исследовать потенциальные кандидатные полосы частот для использования фиксированной службой, принимая во внимание результаты исследований, проведенных в соответствии с пунктами 2, 4 и 6 раздела </w:t>
      </w:r>
      <w:r w:rsidR="000165FE" w:rsidRPr="002E5D2A">
        <w:rPr>
          <w:i/>
          <w:iCs/>
        </w:rPr>
        <w:t>предлагает МСЭ-R</w:t>
      </w:r>
      <w:r w:rsidR="000165FE" w:rsidRPr="002E5D2A">
        <w:t>, и защиту пассивных служб, о которой говорится в п. </w:t>
      </w:r>
      <w:r w:rsidR="000165FE" w:rsidRPr="002E5D2A">
        <w:rPr>
          <w:b/>
          <w:bCs/>
        </w:rPr>
        <w:t>5.565</w:t>
      </w:r>
      <w:r w:rsidR="00005B78" w:rsidRPr="002E5D2A">
        <w:t>,</w:t>
      </w:r>
    </w:p>
    <w:p w:rsidR="00AE6D99" w:rsidRPr="002E5D2A" w:rsidRDefault="00AE6D99" w:rsidP="00AE6D99">
      <w:pPr>
        <w:pStyle w:val="Call"/>
      </w:pPr>
      <w:r w:rsidRPr="002E5D2A">
        <w:t>призывает Государства-Члены, Членов Сектора, Академические организации и Ассоциированных членов</w:t>
      </w:r>
    </w:p>
    <w:p w:rsidR="00AE6D99" w:rsidRPr="002E5D2A" w:rsidRDefault="00AE6D99" w:rsidP="00AE6D99">
      <w:r w:rsidRPr="002E5D2A">
        <w:t>представлять в течение исследовательского периода вклады, содержащие собственные оценки воздействия на определенные службы, основываясь на результатах исследований, проводимых во исполнение настоящей Резолюции,</w:t>
      </w:r>
    </w:p>
    <w:p w:rsidR="00AE6D99" w:rsidRPr="002E5D2A" w:rsidRDefault="00AE6D99" w:rsidP="00AE6D99">
      <w:pPr>
        <w:pStyle w:val="Call"/>
      </w:pPr>
      <w:r w:rsidRPr="002E5D2A">
        <w:t>предлагает администрациям</w:t>
      </w:r>
    </w:p>
    <w:p w:rsidR="00AE6D99" w:rsidRPr="002E5D2A" w:rsidRDefault="00AE6D99" w:rsidP="00AE6D99">
      <w:r w:rsidRPr="002E5D2A">
        <w:t>принять участие в исследованиях, представляя свои вклады в МСЭ-R.</w:t>
      </w:r>
    </w:p>
    <w:p w:rsidR="008E5821" w:rsidRPr="002E5D2A" w:rsidRDefault="00AE6D99" w:rsidP="000165FE">
      <w:pPr>
        <w:pStyle w:val="Reasons"/>
      </w:pPr>
      <w:r w:rsidRPr="002E5D2A">
        <w:rPr>
          <w:b/>
          <w:bCs/>
        </w:rPr>
        <w:t>Основания</w:t>
      </w:r>
      <w:r w:rsidRPr="002E5D2A">
        <w:t>:</w:t>
      </w:r>
      <w:r w:rsidRPr="002E5D2A">
        <w:tab/>
      </w:r>
      <w:r w:rsidR="000165FE" w:rsidRPr="002E5D2A">
        <w:t>Обеспечить удовлетворение международных потребностей в спектре в диапазоне частот</w:t>
      </w:r>
      <w:r w:rsidRPr="002E5D2A">
        <w:t xml:space="preserve"> 275−1000 </w:t>
      </w:r>
      <w:r w:rsidR="000165FE" w:rsidRPr="002E5D2A">
        <w:t>ГГц, требований</w:t>
      </w:r>
      <w:r w:rsidRPr="002E5D2A">
        <w:t xml:space="preserve"> IEEE </w:t>
      </w:r>
      <w:r w:rsidR="000165FE" w:rsidRPr="002E5D2A">
        <w:t>и внедрение систем беспроводной связи терагерцевого диапазона</w:t>
      </w:r>
      <w:r w:rsidRPr="002E5D2A">
        <w:t>.</w:t>
      </w:r>
    </w:p>
    <w:p w:rsidR="00AE6D99" w:rsidRPr="002E5D2A" w:rsidRDefault="00AE6D99" w:rsidP="00AE6D99">
      <w:pPr>
        <w:spacing w:before="720"/>
        <w:jc w:val="center"/>
      </w:pPr>
      <w:r w:rsidRPr="002E5D2A">
        <w:t>______________</w:t>
      </w:r>
    </w:p>
    <w:sectPr w:rsidR="00AE6D99" w:rsidRPr="002E5D2A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2C" w:rsidRDefault="0031102C">
      <w:r>
        <w:separator/>
      </w:r>
    </w:p>
  </w:endnote>
  <w:endnote w:type="continuationSeparator" w:id="0">
    <w:p w:rsidR="0031102C" w:rsidRDefault="0031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2C" w:rsidRDefault="003110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1102C" w:rsidRPr="00A10C3C" w:rsidRDefault="0031102C">
    <w:pPr>
      <w:ind w:right="360"/>
      <w:rPr>
        <w:lang w:val="en-GB"/>
      </w:rPr>
    </w:pPr>
    <w:r>
      <w:fldChar w:fldCharType="begin"/>
    </w:r>
    <w:r w:rsidRPr="00A10C3C">
      <w:rPr>
        <w:lang w:val="en-GB"/>
      </w:rPr>
      <w:instrText xml:space="preserve"> FILENAME \p  \* MERGEFORMAT </w:instrText>
    </w:r>
    <w:r>
      <w:fldChar w:fldCharType="separate"/>
    </w:r>
    <w:r w:rsidR="00F840D8">
      <w:rPr>
        <w:noProof/>
        <w:lang w:val="en-GB"/>
      </w:rPr>
      <w:t>P:\RUS\ITU-R\CONF-R\CMR15\100\103ADD24REV1R.docx</w:t>
    </w:r>
    <w:r>
      <w:fldChar w:fldCharType="end"/>
    </w:r>
    <w:r w:rsidRPr="00A10C3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40D8">
      <w:rPr>
        <w:noProof/>
      </w:rPr>
      <w:t>01.11.15</w:t>
    </w:r>
    <w:r>
      <w:fldChar w:fldCharType="end"/>
    </w:r>
    <w:r w:rsidRPr="00A10C3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40D8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2C" w:rsidRDefault="0031102C" w:rsidP="006850C0">
    <w:pPr>
      <w:pStyle w:val="Footer"/>
    </w:pPr>
    <w:r w:rsidRPr="00CB7CB5">
      <w:rPr>
        <w:lang w:val="en-US"/>
      </w:rPr>
      <w:t>P:\RUS\ITU-R\CONF-R\CMR15\100\103ADD24R.DOCX (</w:t>
    </w:r>
    <w:r w:rsidR="006850C0">
      <w:rPr>
        <w:lang w:val="ru-RU"/>
      </w:rPr>
      <w:t>389493</w:t>
    </w:r>
    <w:r w:rsidRPr="00CB7CB5">
      <w:rPr>
        <w:lang w:val="en-US"/>
      </w:rPr>
      <w:t>)</w:t>
    </w:r>
    <w:r w:rsidRPr="00CB7CB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40D8">
      <w:t>01.11.15</w:t>
    </w:r>
    <w:r>
      <w:fldChar w:fldCharType="end"/>
    </w:r>
    <w:r w:rsidRPr="00CB7CB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40D8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2C" w:rsidRPr="00CB7CB5" w:rsidRDefault="0031102C" w:rsidP="006850C0">
    <w:pPr>
      <w:pStyle w:val="Footer"/>
      <w:rPr>
        <w:lang w:val="en-US"/>
      </w:rPr>
    </w:pPr>
    <w:r w:rsidRPr="00CB7CB5">
      <w:rPr>
        <w:lang w:val="en-US"/>
      </w:rPr>
      <w:t>P:\RUS\ITU-R\CONF-R\CMR15\100\103ADD24R.DOCX (</w:t>
    </w:r>
    <w:r w:rsidR="006850C0">
      <w:rPr>
        <w:lang w:val="ru-RU"/>
      </w:rPr>
      <w:t>389493</w:t>
    </w:r>
    <w:r w:rsidRPr="00CB7CB5">
      <w:rPr>
        <w:lang w:val="en-US"/>
      </w:rPr>
      <w:t>)</w:t>
    </w:r>
    <w:r w:rsidRPr="00CB7CB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40D8">
      <w:t>01.11.15</w:t>
    </w:r>
    <w:r>
      <w:fldChar w:fldCharType="end"/>
    </w:r>
    <w:r w:rsidRPr="00CB7CB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40D8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2C" w:rsidRDefault="0031102C">
      <w:r>
        <w:rPr>
          <w:b/>
        </w:rPr>
        <w:t>_______________</w:t>
      </w:r>
    </w:p>
  </w:footnote>
  <w:footnote w:type="continuationSeparator" w:id="0">
    <w:p w:rsidR="0031102C" w:rsidRDefault="0031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2C" w:rsidRPr="00434A7C" w:rsidRDefault="0031102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40D8">
      <w:rPr>
        <w:noProof/>
      </w:rPr>
      <w:t>4</w:t>
    </w:r>
    <w:r>
      <w:fldChar w:fldCharType="end"/>
    </w:r>
  </w:p>
  <w:p w:rsidR="0031102C" w:rsidRDefault="0031102C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/103(</w:t>
    </w:r>
    <w:proofErr w:type="spellStart"/>
    <w:r>
      <w:t>Add.24</w:t>
    </w:r>
    <w:proofErr w:type="spellEnd"/>
    <w:proofErr w:type="gramStart"/>
    <w:r>
      <w:t>)</w:t>
    </w:r>
    <w:r w:rsidR="006850C0">
      <w:rPr>
        <w:lang w:val="ru-RU"/>
      </w:rPr>
      <w:t>(</w:t>
    </w:r>
    <w:proofErr w:type="spellStart"/>
    <w:proofErr w:type="gramEnd"/>
    <w:r w:rsidR="006850C0">
      <w:rPr>
        <w:lang w:val="en-US"/>
      </w:rPr>
      <w:t>Rev.1</w:t>
    </w:r>
    <w:proofErr w:type="spellEnd"/>
    <w:r w:rsidR="006850C0">
      <w:rPr>
        <w:lang w:val="ru-RU"/>
      </w:rPr>
      <w:t>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6FB4DCC"/>
    <w:multiLevelType w:val="hybridMultilevel"/>
    <w:tmpl w:val="6D6AE47A"/>
    <w:lvl w:ilvl="0" w:tplc="B2B41B6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5B78"/>
    <w:rsid w:val="000165FE"/>
    <w:rsid w:val="000260F1"/>
    <w:rsid w:val="0003535B"/>
    <w:rsid w:val="000A0EF3"/>
    <w:rsid w:val="000C7219"/>
    <w:rsid w:val="000F33D8"/>
    <w:rsid w:val="000F39B4"/>
    <w:rsid w:val="00113D0B"/>
    <w:rsid w:val="0011722E"/>
    <w:rsid w:val="001226EC"/>
    <w:rsid w:val="00123B68"/>
    <w:rsid w:val="00124C09"/>
    <w:rsid w:val="00126F2E"/>
    <w:rsid w:val="001521AE"/>
    <w:rsid w:val="001A5585"/>
    <w:rsid w:val="001E5FB4"/>
    <w:rsid w:val="00202CA0"/>
    <w:rsid w:val="00221A5F"/>
    <w:rsid w:val="00230582"/>
    <w:rsid w:val="002449AA"/>
    <w:rsid w:val="00245A1F"/>
    <w:rsid w:val="00251768"/>
    <w:rsid w:val="002828AB"/>
    <w:rsid w:val="00290C74"/>
    <w:rsid w:val="002A2D3F"/>
    <w:rsid w:val="002E5D2A"/>
    <w:rsid w:val="00300F84"/>
    <w:rsid w:val="0031102C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1CC9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50C0"/>
    <w:rsid w:val="00692C06"/>
    <w:rsid w:val="006A6E9B"/>
    <w:rsid w:val="0071519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D4267"/>
    <w:rsid w:val="008E5821"/>
    <w:rsid w:val="009119CC"/>
    <w:rsid w:val="00917C0A"/>
    <w:rsid w:val="00941A02"/>
    <w:rsid w:val="00982C8F"/>
    <w:rsid w:val="009B5CC2"/>
    <w:rsid w:val="009E5FC8"/>
    <w:rsid w:val="00A10C3C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D99"/>
    <w:rsid w:val="00B14029"/>
    <w:rsid w:val="00B468A6"/>
    <w:rsid w:val="00B75113"/>
    <w:rsid w:val="00B75F47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7CB5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56CF8"/>
    <w:rsid w:val="00E65919"/>
    <w:rsid w:val="00E976C1"/>
    <w:rsid w:val="00F21A03"/>
    <w:rsid w:val="00F65C19"/>
    <w:rsid w:val="00F761D2"/>
    <w:rsid w:val="00F840D8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E74BE7-9BF8-4457-B271-BA0D09B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7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117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rec/R-REC-P.676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rec/R-REC-P.840/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rec/R-REC-P.83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R15-WRC15-C-0103!A24!MSW-R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90450-937B-480D-81EE-0B85891F616D}">
  <ds:schemaRefs>
    <ds:schemaRef ds:uri="32a1a8c5-2265-4ebc-b7a0-2071e2c5c9bb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D66C64-2635-4CD9-8D79-89B82A4B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1352</Words>
  <Characters>9433</Characters>
  <Application>Microsoft Office Word</Application>
  <DocSecurity>0</DocSecurity>
  <Lines>175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R15-WRC15-C-0103!A24!MSW-R</vt:lpstr>
    </vt:vector>
  </TitlesOfParts>
  <Manager>General Secretariat - Pool</Manager>
  <Company>International Telecommunication Union (ITU)</Company>
  <LinksUpToDate>false</LinksUpToDate>
  <CharactersWithSpaces>10704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R15-WRC15-C-0103!A24!MSW-R</dc:title>
  <dc:subject>World Radiocommunication Conference - 2015</dc:subject>
  <dc:creator>Documents Proposals Manager (DPM)</dc:creator>
  <cp:keywords>DPM_v5.2015.10.230_prod</cp:keywords>
  <dc:description/>
  <cp:lastModifiedBy>Maloletkova, Svetlana</cp:lastModifiedBy>
  <cp:revision>4</cp:revision>
  <cp:lastPrinted>2015-11-01T14:49:00Z</cp:lastPrinted>
  <dcterms:created xsi:type="dcterms:W3CDTF">2015-11-01T14:39:00Z</dcterms:created>
  <dcterms:modified xsi:type="dcterms:W3CDTF">2015-11-01T14:49:00Z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