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36756D" w:rsidTr="0036756D">
        <w:trPr>
          <w:cantSplit/>
        </w:trPr>
        <w:tc>
          <w:tcPr>
            <w:tcW w:w="6663" w:type="dxa"/>
          </w:tcPr>
          <w:p w:rsidR="0090121B" w:rsidRPr="0036756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36756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36756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36756D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36756D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36756D">
              <w:rPr>
                <w:noProof/>
                <w:lang w:val="en-GB" w:eastAsia="zh-CN"/>
              </w:rPr>
              <w:drawing>
                <wp:inline distT="0" distB="0" distL="0" distR="0" wp14:anchorId="1FCCD5C8" wp14:editId="1032158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6756D" w:rsidTr="0036756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36756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36756D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36756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36756D" w:rsidTr="0036756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36756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36756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36756D" w:rsidTr="0036756D">
        <w:trPr>
          <w:cantSplit/>
        </w:trPr>
        <w:tc>
          <w:tcPr>
            <w:tcW w:w="6663" w:type="dxa"/>
            <w:shd w:val="clear" w:color="auto" w:fill="auto"/>
          </w:tcPr>
          <w:p w:rsidR="0090121B" w:rsidRPr="0036756D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6756D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36756D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36756D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</w:t>
            </w:r>
            <w:bookmarkStart w:id="2" w:name="_GoBack"/>
            <w:bookmarkEnd w:id="2"/>
            <w:r w:rsidRPr="0036756D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 3 al</w:t>
            </w:r>
            <w:r w:rsidRPr="0036756D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103(Add.21)</w:t>
            </w:r>
            <w:r w:rsidR="0090121B" w:rsidRPr="0036756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36756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36756D" w:rsidTr="0036756D">
        <w:trPr>
          <w:cantSplit/>
        </w:trPr>
        <w:tc>
          <w:tcPr>
            <w:tcW w:w="6663" w:type="dxa"/>
            <w:shd w:val="clear" w:color="auto" w:fill="auto"/>
          </w:tcPr>
          <w:p w:rsidR="000A5B9A" w:rsidRPr="0036756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36756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6756D">
              <w:rPr>
                <w:rFonts w:ascii="Verdana" w:hAnsi="Verdana"/>
                <w:b/>
                <w:sz w:val="20"/>
                <w:lang w:val="es-ES"/>
              </w:rPr>
              <w:t>19 de octubre de 2015</w:t>
            </w:r>
          </w:p>
        </w:tc>
      </w:tr>
      <w:tr w:rsidR="000A5B9A" w:rsidRPr="0036756D" w:rsidTr="0036756D">
        <w:trPr>
          <w:cantSplit/>
        </w:trPr>
        <w:tc>
          <w:tcPr>
            <w:tcW w:w="6663" w:type="dxa"/>
          </w:tcPr>
          <w:p w:rsidR="000A5B9A" w:rsidRPr="0036756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368" w:type="dxa"/>
          </w:tcPr>
          <w:p w:rsidR="000A5B9A" w:rsidRPr="0036756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6756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36756D" w:rsidTr="006744FC">
        <w:trPr>
          <w:cantSplit/>
        </w:trPr>
        <w:tc>
          <w:tcPr>
            <w:tcW w:w="10031" w:type="dxa"/>
            <w:gridSpan w:val="2"/>
          </w:tcPr>
          <w:p w:rsidR="000A5B9A" w:rsidRPr="0036756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36756D" w:rsidTr="0050008E">
        <w:trPr>
          <w:cantSplit/>
        </w:trPr>
        <w:tc>
          <w:tcPr>
            <w:tcW w:w="10031" w:type="dxa"/>
            <w:gridSpan w:val="2"/>
          </w:tcPr>
          <w:p w:rsidR="000A5B9A" w:rsidRPr="0036756D" w:rsidRDefault="000A5B9A" w:rsidP="00D93179">
            <w:pPr>
              <w:pStyle w:val="Source"/>
              <w:spacing w:before="600"/>
              <w:rPr>
                <w:lang w:val="es-ES"/>
              </w:rPr>
            </w:pPr>
            <w:bookmarkStart w:id="3" w:name="dsource" w:colFirst="0" w:colLast="0"/>
            <w:r w:rsidRPr="0036756D">
              <w:rPr>
                <w:lang w:val="es-ES"/>
              </w:rPr>
              <w:t>Japón</w:t>
            </w:r>
          </w:p>
        </w:tc>
      </w:tr>
      <w:tr w:rsidR="000A5B9A" w:rsidRPr="0036756D" w:rsidTr="0050008E">
        <w:trPr>
          <w:cantSplit/>
        </w:trPr>
        <w:tc>
          <w:tcPr>
            <w:tcW w:w="10031" w:type="dxa"/>
            <w:gridSpan w:val="2"/>
          </w:tcPr>
          <w:p w:rsidR="000A5B9A" w:rsidRPr="0036756D" w:rsidRDefault="000A5B9A" w:rsidP="0018498E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36756D">
              <w:rPr>
                <w:lang w:val="es-ES"/>
              </w:rPr>
              <w:t>Prop</w:t>
            </w:r>
            <w:r w:rsidR="0018498E" w:rsidRPr="0036756D">
              <w:rPr>
                <w:lang w:val="es-ES"/>
              </w:rPr>
              <w:t>uestas para los trabajos de la conferencia</w:t>
            </w:r>
          </w:p>
        </w:tc>
      </w:tr>
      <w:tr w:rsidR="000A5B9A" w:rsidRPr="0036756D" w:rsidTr="0050008E">
        <w:trPr>
          <w:cantSplit/>
        </w:trPr>
        <w:tc>
          <w:tcPr>
            <w:tcW w:w="10031" w:type="dxa"/>
            <w:gridSpan w:val="2"/>
          </w:tcPr>
          <w:p w:rsidR="000A5B9A" w:rsidRPr="0036756D" w:rsidRDefault="000A5B9A" w:rsidP="00D93179">
            <w:pPr>
              <w:pStyle w:val="Title2"/>
              <w:spacing w:before="240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:rsidRPr="0036756D" w:rsidTr="0050008E">
        <w:trPr>
          <w:cantSplit/>
        </w:trPr>
        <w:tc>
          <w:tcPr>
            <w:tcW w:w="10031" w:type="dxa"/>
            <w:gridSpan w:val="2"/>
          </w:tcPr>
          <w:p w:rsidR="000A5B9A" w:rsidRPr="00975E36" w:rsidRDefault="000A5B9A" w:rsidP="00975E36">
            <w:pPr>
              <w:pStyle w:val="Agendaitem"/>
            </w:pPr>
            <w:bookmarkStart w:id="6" w:name="dtitle3" w:colFirst="0" w:colLast="0"/>
            <w:bookmarkEnd w:id="5"/>
            <w:r w:rsidRPr="00975E36">
              <w:t>Punto 7(K) del orden del día</w:t>
            </w:r>
          </w:p>
        </w:tc>
      </w:tr>
    </w:tbl>
    <w:bookmarkEnd w:id="6"/>
    <w:p w:rsidR="001C0E40" w:rsidRPr="0036756D" w:rsidRDefault="0036756D" w:rsidP="00512F4E">
      <w:pPr>
        <w:rPr>
          <w:lang w:val="es-ES"/>
        </w:rPr>
      </w:pPr>
      <w:r w:rsidRPr="0036756D">
        <w:rPr>
          <w:lang w:val="es-ES"/>
        </w:rPr>
        <w:t>7</w:t>
      </w:r>
      <w:r w:rsidRPr="0036756D">
        <w:rPr>
          <w:lang w:val="es-ES"/>
        </w:rPr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36756D">
        <w:rPr>
          <w:b/>
          <w:bCs/>
          <w:lang w:val="es-ES"/>
        </w:rPr>
        <w:t>86 (Rev.CMR-07)</w:t>
      </w:r>
      <w:r w:rsidRPr="0036756D">
        <w:rPr>
          <w:lang w:val="es-ES"/>
        </w:rPr>
        <w:t>, para facilitar la utilización racional, eficaz y económica de las frecuencias radioeléctricas y toda órbita asociada, incluida la órbita de los satélites geoestacionarios;</w:t>
      </w:r>
    </w:p>
    <w:p w:rsidR="00636349" w:rsidRPr="0036756D" w:rsidRDefault="00975E36" w:rsidP="0059364F">
      <w:pPr>
        <w:rPr>
          <w:lang w:val="es-ES"/>
        </w:rPr>
      </w:pPr>
      <w:r>
        <w:rPr>
          <w:lang w:val="es-ES"/>
        </w:rPr>
        <w:t>7(K)</w:t>
      </w:r>
      <w:r w:rsidR="0036756D" w:rsidRPr="0036756D">
        <w:rPr>
          <w:lang w:val="es-ES"/>
        </w:rPr>
        <w:tab/>
        <w:t>Tema K – Adición de una disposición reglamentaria en el Artículo </w:t>
      </w:r>
      <w:r w:rsidR="0036756D" w:rsidRPr="0036756D">
        <w:rPr>
          <w:b/>
          <w:bCs/>
          <w:lang w:val="es-ES"/>
        </w:rPr>
        <w:t>11</w:t>
      </w:r>
      <w:r w:rsidR="0036756D" w:rsidRPr="0036756D">
        <w:rPr>
          <w:lang w:val="es-ES"/>
        </w:rPr>
        <w:t xml:space="preserve"> del RR relativa al caso de fallo de lanzamiento</w:t>
      </w:r>
    </w:p>
    <w:p w:rsidR="00F71190" w:rsidRPr="0036756D" w:rsidRDefault="00F71190" w:rsidP="00F71190">
      <w:pPr>
        <w:pStyle w:val="Headingb"/>
        <w:rPr>
          <w:lang w:val="es-ES" w:eastAsia="ja-JP"/>
        </w:rPr>
      </w:pPr>
      <w:r w:rsidRPr="0036756D">
        <w:rPr>
          <w:lang w:val="es-ES"/>
        </w:rPr>
        <w:t>Introducción</w:t>
      </w:r>
    </w:p>
    <w:p w:rsidR="00F71190" w:rsidRPr="0036756D" w:rsidRDefault="00F71190" w:rsidP="00F71190">
      <w:pPr>
        <w:rPr>
          <w:lang w:val="es-ES" w:eastAsia="ja-JP"/>
        </w:rPr>
      </w:pPr>
      <w:r w:rsidRPr="0036756D">
        <w:rPr>
          <w:lang w:val="es-ES" w:eastAsia="ja-JP"/>
        </w:rPr>
        <w:t xml:space="preserve">En los Métodos K1 y K2 se propone añadir nuevas disposiciones reglamentarias en el Artículo </w:t>
      </w:r>
      <w:r w:rsidRPr="0036756D">
        <w:rPr>
          <w:bCs/>
          <w:lang w:val="es-ES" w:eastAsia="ja-JP"/>
        </w:rPr>
        <w:t xml:space="preserve">11 del Reglamento de </w:t>
      </w:r>
      <w:r w:rsidRPr="0036756D">
        <w:rPr>
          <w:lang w:val="es-ES" w:eastAsia="ja-JP"/>
        </w:rPr>
        <w:t>Radiocomunicaciones (RR) para responder a los casos de fallo de lanzamiento.</w:t>
      </w:r>
      <w:r w:rsidR="0036756D">
        <w:rPr>
          <w:lang w:val="es-ES" w:eastAsia="ja-JP"/>
        </w:rPr>
        <w:t xml:space="preserve"> </w:t>
      </w:r>
      <w:r w:rsidRPr="0036756D">
        <w:rPr>
          <w:lang w:val="es-ES" w:eastAsia="ja-JP"/>
        </w:rPr>
        <w:t>En el Método K3 se propone no modificar (NOC) el RR.</w:t>
      </w:r>
    </w:p>
    <w:p w:rsidR="00F71190" w:rsidRPr="0036756D" w:rsidRDefault="00F71190" w:rsidP="00F71190">
      <w:pPr>
        <w:rPr>
          <w:lang w:val="es-ES" w:eastAsia="ja-JP"/>
        </w:rPr>
      </w:pPr>
      <w:r w:rsidRPr="0036756D">
        <w:rPr>
          <w:lang w:val="es-ES" w:eastAsia="ja-JP"/>
        </w:rPr>
        <w:t>En el marco de los Métodos K2 y K3, los casos de fallo de lanzamiento se examinarían caso por caso.</w:t>
      </w:r>
      <w:r w:rsidR="0036756D">
        <w:rPr>
          <w:lang w:val="es-ES" w:eastAsia="ja-JP"/>
        </w:rPr>
        <w:t xml:space="preserve"> </w:t>
      </w:r>
      <w:r w:rsidRPr="0036756D">
        <w:rPr>
          <w:lang w:val="es-ES" w:eastAsia="ja-JP"/>
        </w:rPr>
        <w:t>Sin embargo, tal vez no sea adecuado el periodo de ampliación del plazo reglamentario propuesto en el Método K2.</w:t>
      </w:r>
      <w:r w:rsidR="0036756D">
        <w:rPr>
          <w:lang w:val="es-ES" w:eastAsia="ja-JP"/>
        </w:rPr>
        <w:t xml:space="preserve"> </w:t>
      </w:r>
      <w:r w:rsidRPr="0036756D">
        <w:rPr>
          <w:lang w:val="es-ES" w:eastAsia="ja-JP"/>
        </w:rPr>
        <w:t>Por otra parte, las disposiciones propuestas en el Método K1 pueden aplicarse indebidamente.</w:t>
      </w:r>
    </w:p>
    <w:p w:rsidR="00F71190" w:rsidRPr="0036756D" w:rsidRDefault="00F71190" w:rsidP="00F71190">
      <w:pPr>
        <w:rPr>
          <w:lang w:val="es-ES" w:eastAsia="ja-JP"/>
        </w:rPr>
      </w:pPr>
      <w:r w:rsidRPr="0036756D">
        <w:rPr>
          <w:lang w:val="es-ES" w:eastAsia="ja-JP"/>
        </w:rPr>
        <w:t>Por consiguiente, Japón apoya el Método K3 (NOC).</w:t>
      </w:r>
    </w:p>
    <w:p w:rsidR="00F71190" w:rsidRPr="0036756D" w:rsidRDefault="00F71190" w:rsidP="00F71190">
      <w:pPr>
        <w:pStyle w:val="Headingb"/>
        <w:rPr>
          <w:lang w:val="es-ES"/>
        </w:rPr>
      </w:pPr>
      <w:r w:rsidRPr="0036756D">
        <w:rPr>
          <w:lang w:val="es-ES"/>
        </w:rPr>
        <w:t>Propuestas</w:t>
      </w:r>
    </w:p>
    <w:p w:rsidR="00536F05" w:rsidRPr="0036756D" w:rsidRDefault="0036756D">
      <w:pPr>
        <w:pStyle w:val="Proposal"/>
        <w:rPr>
          <w:lang w:val="es-ES"/>
        </w:rPr>
      </w:pPr>
      <w:r w:rsidRPr="0036756D">
        <w:rPr>
          <w:u w:val="single"/>
          <w:lang w:val="es-ES"/>
        </w:rPr>
        <w:t>NOC</w:t>
      </w:r>
      <w:r w:rsidRPr="0036756D">
        <w:rPr>
          <w:lang w:val="es-ES"/>
        </w:rPr>
        <w:tab/>
        <w:t>J/103A21A3/1</w:t>
      </w:r>
    </w:p>
    <w:p w:rsidR="00F008F3" w:rsidRPr="0036756D" w:rsidRDefault="0036756D" w:rsidP="001A409B">
      <w:pPr>
        <w:pStyle w:val="ArtNo"/>
        <w:rPr>
          <w:lang w:val="es-ES"/>
        </w:rPr>
      </w:pPr>
      <w:r w:rsidRPr="0036756D">
        <w:rPr>
          <w:lang w:val="es-ES"/>
        </w:rPr>
        <w:t xml:space="preserve">ARTÍCULO </w:t>
      </w:r>
      <w:r w:rsidRPr="0036756D">
        <w:rPr>
          <w:rStyle w:val="href"/>
          <w:lang w:val="es-ES"/>
        </w:rPr>
        <w:t>11</w:t>
      </w:r>
    </w:p>
    <w:p w:rsidR="00F008F3" w:rsidRPr="0036756D" w:rsidRDefault="0036756D" w:rsidP="00FD75A4">
      <w:pPr>
        <w:pStyle w:val="Arttitle"/>
        <w:spacing w:before="120"/>
        <w:rPr>
          <w:bCs/>
          <w:lang w:val="es-ES"/>
        </w:rPr>
      </w:pPr>
      <w:r w:rsidRPr="0036756D">
        <w:rPr>
          <w:lang w:val="es-ES"/>
        </w:rPr>
        <w:t>Notificación e inscripción de asignaciones</w:t>
      </w:r>
      <w:r w:rsidRPr="0036756D">
        <w:rPr>
          <w:lang w:val="es-ES"/>
        </w:rPr>
        <w:br/>
        <w:t>de frecuencia</w:t>
      </w:r>
      <w:r w:rsidRPr="0036756D">
        <w:rPr>
          <w:rStyle w:val="FootnoteReference"/>
          <w:bCs/>
          <w:szCs w:val="18"/>
          <w:lang w:val="es-ES"/>
        </w:rPr>
        <w:t>1</w:t>
      </w:r>
      <w:r w:rsidRPr="0036756D">
        <w:rPr>
          <w:bCs/>
          <w:position w:val="6"/>
          <w:sz w:val="18"/>
          <w:szCs w:val="18"/>
          <w:lang w:val="es-ES"/>
        </w:rPr>
        <w:t xml:space="preserve">, </w:t>
      </w:r>
      <w:r w:rsidRPr="0036756D">
        <w:rPr>
          <w:rStyle w:val="FootnoteReference"/>
          <w:bCs/>
          <w:szCs w:val="18"/>
          <w:lang w:val="es-ES"/>
        </w:rPr>
        <w:t>2</w:t>
      </w:r>
      <w:r w:rsidRPr="0036756D">
        <w:rPr>
          <w:bCs/>
          <w:position w:val="6"/>
          <w:sz w:val="18"/>
          <w:szCs w:val="18"/>
          <w:lang w:val="es-ES"/>
        </w:rPr>
        <w:t xml:space="preserve">, </w:t>
      </w:r>
      <w:r w:rsidRPr="0036756D">
        <w:rPr>
          <w:rStyle w:val="FootnoteReference"/>
          <w:bCs/>
          <w:szCs w:val="18"/>
          <w:lang w:val="es-ES"/>
        </w:rPr>
        <w:t>3</w:t>
      </w:r>
      <w:r w:rsidRPr="0036756D">
        <w:rPr>
          <w:bCs/>
          <w:position w:val="6"/>
          <w:sz w:val="18"/>
          <w:szCs w:val="18"/>
          <w:lang w:val="es-ES"/>
        </w:rPr>
        <w:t xml:space="preserve">, </w:t>
      </w:r>
      <w:r w:rsidRPr="0036756D">
        <w:rPr>
          <w:rStyle w:val="FootnoteReference"/>
          <w:bCs/>
          <w:szCs w:val="18"/>
          <w:lang w:val="es-ES"/>
        </w:rPr>
        <w:t>4</w:t>
      </w:r>
      <w:r w:rsidRPr="0036756D">
        <w:rPr>
          <w:bCs/>
          <w:position w:val="6"/>
          <w:sz w:val="18"/>
          <w:szCs w:val="18"/>
          <w:lang w:val="es-ES"/>
        </w:rPr>
        <w:t xml:space="preserve">, </w:t>
      </w:r>
      <w:r w:rsidRPr="0036756D">
        <w:rPr>
          <w:rStyle w:val="FootnoteReference"/>
          <w:bCs/>
          <w:szCs w:val="18"/>
          <w:lang w:val="es-ES"/>
        </w:rPr>
        <w:t>5</w:t>
      </w:r>
      <w:r w:rsidRPr="0036756D">
        <w:rPr>
          <w:bCs/>
          <w:position w:val="6"/>
          <w:sz w:val="18"/>
          <w:szCs w:val="18"/>
          <w:lang w:val="es-ES"/>
        </w:rPr>
        <w:t xml:space="preserve">, </w:t>
      </w:r>
      <w:r w:rsidRPr="0036756D">
        <w:rPr>
          <w:rStyle w:val="FootnoteReference"/>
          <w:bCs/>
          <w:szCs w:val="18"/>
          <w:lang w:val="es-ES"/>
        </w:rPr>
        <w:t>6</w:t>
      </w:r>
      <w:r w:rsidRPr="0036756D">
        <w:rPr>
          <w:bCs/>
          <w:position w:val="6"/>
          <w:sz w:val="18"/>
          <w:szCs w:val="18"/>
          <w:lang w:val="es-ES"/>
        </w:rPr>
        <w:t xml:space="preserve">, </w:t>
      </w:r>
      <w:r w:rsidRPr="0036756D">
        <w:rPr>
          <w:rStyle w:val="FootnoteReference"/>
          <w:bCs/>
          <w:szCs w:val="18"/>
          <w:lang w:val="es-ES"/>
        </w:rPr>
        <w:t>7,</w:t>
      </w:r>
      <w:r w:rsidRPr="0036756D">
        <w:rPr>
          <w:bCs/>
          <w:sz w:val="18"/>
          <w:szCs w:val="18"/>
          <w:lang w:val="es-ES"/>
        </w:rPr>
        <w:t xml:space="preserve"> </w:t>
      </w:r>
      <w:r w:rsidRPr="0036756D">
        <w:rPr>
          <w:bCs/>
          <w:position w:val="6"/>
          <w:sz w:val="18"/>
          <w:szCs w:val="18"/>
          <w:lang w:val="es-ES"/>
        </w:rPr>
        <w:t>7</w:t>
      </w:r>
      <w:r w:rsidRPr="0036756D">
        <w:rPr>
          <w:bCs/>
          <w:i/>
          <w:iCs/>
          <w:position w:val="6"/>
          <w:sz w:val="18"/>
          <w:szCs w:val="18"/>
          <w:lang w:val="es-ES"/>
        </w:rPr>
        <w:t>bis</w:t>
      </w:r>
      <w:r w:rsidRPr="0036756D">
        <w:rPr>
          <w:b w:val="0"/>
          <w:sz w:val="16"/>
          <w:lang w:val="es-ES"/>
        </w:rPr>
        <w:t>     (CMR</w:t>
      </w:r>
      <w:r w:rsidRPr="0036756D">
        <w:rPr>
          <w:b w:val="0"/>
          <w:sz w:val="16"/>
          <w:lang w:val="es-ES"/>
        </w:rPr>
        <w:noBreakHyphen/>
        <w:t>12)</w:t>
      </w:r>
    </w:p>
    <w:p w:rsidR="00F71190" w:rsidRPr="0036756D" w:rsidRDefault="00F71190" w:rsidP="00D93179">
      <w:pPr>
        <w:pStyle w:val="Reasons"/>
        <w:spacing w:before="0"/>
        <w:rPr>
          <w:lang w:val="es-ES"/>
        </w:rPr>
      </w:pPr>
    </w:p>
    <w:p w:rsidR="00F71190" w:rsidRPr="0036756D" w:rsidRDefault="00F71190">
      <w:pPr>
        <w:jc w:val="center"/>
        <w:rPr>
          <w:lang w:val="es-ES"/>
        </w:rPr>
      </w:pPr>
      <w:r w:rsidRPr="0036756D">
        <w:rPr>
          <w:lang w:val="es-ES"/>
        </w:rPr>
        <w:t>______________</w:t>
      </w:r>
    </w:p>
    <w:sectPr w:rsidR="00F71190" w:rsidRPr="0036756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E36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79" w:rsidRDefault="00D93179" w:rsidP="00D93179">
    <w:pPr>
      <w:pStyle w:val="Footer"/>
    </w:pPr>
    <w:fldSimple w:instr=" FILENAME \p  \* MERGEFORMAT ">
      <w:r>
        <w:t>P:\ESP\ITU-R\CONF-R\CMR15\100\103ADD21ADD03S.docx</w:t>
      </w:r>
    </w:fldSimple>
    <w:r>
      <w:t xml:space="preserve"> (388840)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75E36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90" w:rsidRDefault="003E2AE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93179">
      <w:t>P:\ESP\ITU-R\CONF-R\CMR15\100\103ADD21ADD03S.docx</w:t>
    </w:r>
    <w:r>
      <w:fldChar w:fldCharType="end"/>
    </w:r>
    <w:r w:rsidR="00F71190">
      <w:t xml:space="preserve"> (388840)</w:t>
    </w:r>
    <w:r w:rsidR="00F71190">
      <w:tab/>
    </w:r>
    <w:r w:rsidR="00F71190">
      <w:fldChar w:fldCharType="begin"/>
    </w:r>
    <w:r w:rsidR="00F71190">
      <w:instrText xml:space="preserve"> SAVEDATE \@ DD.MM.YY </w:instrText>
    </w:r>
    <w:r w:rsidR="00F71190">
      <w:fldChar w:fldCharType="separate"/>
    </w:r>
    <w:r w:rsidR="00975E36">
      <w:t>25.10.15</w:t>
    </w:r>
    <w:r w:rsidR="00F71190">
      <w:fldChar w:fldCharType="end"/>
    </w:r>
    <w:r w:rsidR="00F71190">
      <w:tab/>
    </w:r>
    <w:r w:rsidR="00F71190">
      <w:fldChar w:fldCharType="begin"/>
    </w:r>
    <w:r w:rsidR="00F71190">
      <w:instrText xml:space="preserve"> PRINTDATE \@ DD.MM.YY </w:instrText>
    </w:r>
    <w:r w:rsidR="00F71190">
      <w:fldChar w:fldCharType="separate"/>
    </w:r>
    <w:r w:rsidR="00D93179">
      <w:t>19.02.03</w:t>
    </w:r>
    <w:r w:rsidR="00F7119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5E3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103(Add.21)(Add.3)-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498E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6756D"/>
    <w:rsid w:val="003B1E8C"/>
    <w:rsid w:val="003C2508"/>
    <w:rsid w:val="003D0AA3"/>
    <w:rsid w:val="003E2AEA"/>
    <w:rsid w:val="00440B3A"/>
    <w:rsid w:val="0045384C"/>
    <w:rsid w:val="00454553"/>
    <w:rsid w:val="004B124A"/>
    <w:rsid w:val="005133B5"/>
    <w:rsid w:val="00532097"/>
    <w:rsid w:val="00536F05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75E36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93179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71190"/>
    <w:rsid w:val="00F8150C"/>
    <w:rsid w:val="00FB3CF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B240211-D2B9-4D43-A984-3FE822D0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R15-WRC15-C-0103!A21-A3!MSW-S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49DDF-89BA-4386-80EE-B88DF5D1530F}">
  <ds:schemaRefs>
    <ds:schemaRef ds:uri="http://purl.org/dc/terms/"/>
    <ds:schemaRef ds:uri="996b2e75-67fd-4955-a3b0-5ab9934cb50b"/>
    <ds:schemaRef ds:uri="http://www.w3.org/XML/1998/namespace"/>
    <ds:schemaRef ds:uri="http://purl.org/dc/dcmitype/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C79E1D-68D5-477B-A28A-D1B95B3D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R15-WRC15-C-0103!A21-A3!MSW-S</vt:lpstr>
    </vt:vector>
  </TitlesOfParts>
  <Manager>Secretaría General - Pool</Manager>
  <Company>Unión Internacional de Telecomunicaciones (UIT)</Company>
  <LinksUpToDate>false</LinksUpToDate>
  <CharactersWithSpaces>1729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R15-WRC15-C-0103!A21-A3!MSW-S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2003-02-19T20:20:00Z</cp:lastPrinted>
  <dcterms:created xsi:type="dcterms:W3CDTF">2015-10-25T11:17:00Z</dcterms:created>
  <dcterms:modified xsi:type="dcterms:W3CDTF">2015-10-28T21:43:00Z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