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3E48A8" w:rsidTr="00927C04">
        <w:trPr>
          <w:cantSplit/>
        </w:trPr>
        <w:tc>
          <w:tcPr>
            <w:tcW w:w="6663" w:type="dxa"/>
          </w:tcPr>
          <w:p w:rsidR="0090121B" w:rsidRPr="003E48A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E48A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E48A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E48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3E48A8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E48A8">
              <w:rPr>
                <w:noProof/>
                <w:lang w:eastAsia="zh-CN"/>
              </w:rPr>
              <w:drawing>
                <wp:inline distT="0" distB="0" distL="0" distR="0" wp14:anchorId="47C3B30B" wp14:editId="39B87D8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E48A8" w:rsidTr="00927C0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3E48A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3E48A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3E48A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E48A8" w:rsidTr="00927C0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3E48A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3E48A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E48A8" w:rsidTr="00927C04">
        <w:trPr>
          <w:cantSplit/>
        </w:trPr>
        <w:tc>
          <w:tcPr>
            <w:tcW w:w="6663" w:type="dxa"/>
            <w:shd w:val="clear" w:color="auto" w:fill="auto"/>
          </w:tcPr>
          <w:p w:rsidR="0090121B" w:rsidRPr="003E48A8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48A8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3E48A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3E48A8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3E48A8">
              <w:rPr>
                <w:rFonts w:ascii="Verdana" w:eastAsia="SimSun" w:hAnsi="Verdana" w:cs="Traditional Arabic"/>
                <w:b/>
                <w:sz w:val="20"/>
              </w:rPr>
              <w:br/>
              <w:t>Documento 103(Add.21)</w:t>
            </w:r>
            <w:r w:rsidR="0090121B" w:rsidRPr="003E48A8">
              <w:rPr>
                <w:rFonts w:ascii="Verdana" w:hAnsi="Verdana"/>
                <w:b/>
                <w:sz w:val="20"/>
              </w:rPr>
              <w:t>-</w:t>
            </w:r>
            <w:r w:rsidRPr="003E48A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E48A8" w:rsidTr="00927C04">
        <w:trPr>
          <w:cantSplit/>
        </w:trPr>
        <w:tc>
          <w:tcPr>
            <w:tcW w:w="6663" w:type="dxa"/>
            <w:shd w:val="clear" w:color="auto" w:fill="auto"/>
          </w:tcPr>
          <w:p w:rsidR="000A5B9A" w:rsidRPr="003E48A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3E48A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48A8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3E48A8" w:rsidTr="00927C04">
        <w:trPr>
          <w:cantSplit/>
        </w:trPr>
        <w:tc>
          <w:tcPr>
            <w:tcW w:w="6663" w:type="dxa"/>
          </w:tcPr>
          <w:p w:rsidR="000A5B9A" w:rsidRPr="003E48A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3E48A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48A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E48A8" w:rsidTr="006744FC">
        <w:trPr>
          <w:cantSplit/>
        </w:trPr>
        <w:tc>
          <w:tcPr>
            <w:tcW w:w="10031" w:type="dxa"/>
            <w:gridSpan w:val="2"/>
          </w:tcPr>
          <w:p w:rsidR="000A5B9A" w:rsidRPr="003E48A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E48A8" w:rsidTr="0050008E">
        <w:trPr>
          <w:cantSplit/>
        </w:trPr>
        <w:tc>
          <w:tcPr>
            <w:tcW w:w="10031" w:type="dxa"/>
            <w:gridSpan w:val="2"/>
          </w:tcPr>
          <w:p w:rsidR="000A5B9A" w:rsidRPr="003E48A8" w:rsidRDefault="000A5B9A" w:rsidP="000A5B9A">
            <w:pPr>
              <w:pStyle w:val="Source"/>
            </w:pPr>
            <w:bookmarkStart w:id="2" w:name="dsource" w:colFirst="0" w:colLast="0"/>
            <w:r w:rsidRPr="003E48A8">
              <w:t>Japón</w:t>
            </w:r>
          </w:p>
        </w:tc>
      </w:tr>
      <w:tr w:rsidR="000A5B9A" w:rsidRPr="003E48A8" w:rsidTr="0050008E">
        <w:trPr>
          <w:cantSplit/>
        </w:trPr>
        <w:tc>
          <w:tcPr>
            <w:tcW w:w="10031" w:type="dxa"/>
            <w:gridSpan w:val="2"/>
          </w:tcPr>
          <w:p w:rsidR="000A5B9A" w:rsidRPr="003E48A8" w:rsidRDefault="000A5B9A" w:rsidP="00927C04">
            <w:pPr>
              <w:pStyle w:val="Title1"/>
            </w:pPr>
            <w:bookmarkStart w:id="3" w:name="dtitle1" w:colFirst="0" w:colLast="0"/>
            <w:bookmarkEnd w:id="2"/>
            <w:r w:rsidRPr="003E48A8">
              <w:t>Prop</w:t>
            </w:r>
            <w:r w:rsidR="00927C04">
              <w:t>uestas para los trabajos de la conferencia</w:t>
            </w:r>
            <w:bookmarkStart w:id="4" w:name="_GoBack"/>
            <w:bookmarkEnd w:id="4"/>
          </w:p>
        </w:tc>
      </w:tr>
      <w:tr w:rsidR="000A5B9A" w:rsidRPr="003E48A8" w:rsidTr="0050008E">
        <w:trPr>
          <w:cantSplit/>
        </w:trPr>
        <w:tc>
          <w:tcPr>
            <w:tcW w:w="10031" w:type="dxa"/>
            <w:gridSpan w:val="2"/>
          </w:tcPr>
          <w:p w:rsidR="000A5B9A" w:rsidRPr="003E48A8" w:rsidRDefault="000A5B9A" w:rsidP="000A5B9A">
            <w:pPr>
              <w:pStyle w:val="Title2"/>
            </w:pPr>
            <w:bookmarkStart w:id="5" w:name="dtitle2" w:colFirst="0" w:colLast="0"/>
            <w:bookmarkEnd w:id="3"/>
          </w:p>
        </w:tc>
      </w:tr>
      <w:tr w:rsidR="000A5B9A" w:rsidRPr="003E48A8" w:rsidTr="0050008E">
        <w:trPr>
          <w:cantSplit/>
        </w:trPr>
        <w:tc>
          <w:tcPr>
            <w:tcW w:w="10031" w:type="dxa"/>
            <w:gridSpan w:val="2"/>
          </w:tcPr>
          <w:p w:rsidR="000A5B9A" w:rsidRPr="003E48A8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3E48A8">
              <w:t>Punto 7(I) del orden del día</w:t>
            </w:r>
          </w:p>
        </w:tc>
      </w:tr>
    </w:tbl>
    <w:bookmarkEnd w:id="6"/>
    <w:p w:rsidR="001C0E40" w:rsidRPr="003E48A8" w:rsidRDefault="00927C04" w:rsidP="00512F4E">
      <w:r w:rsidRPr="003E48A8">
        <w:t>7</w:t>
      </w:r>
      <w:r w:rsidRPr="003E48A8">
        <w:tab/>
        <w:t>considerar posibles modificaciones y otras opciones como consecuencia de la Resolución</w:t>
      </w:r>
      <w:r w:rsidRPr="003E48A8">
        <w:t> </w:t>
      </w:r>
      <w:r w:rsidRPr="003E48A8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3E48A8">
        <w:rPr>
          <w:b/>
          <w:bCs/>
        </w:rPr>
        <w:t>86 (Rev.CM</w:t>
      </w:r>
      <w:r w:rsidRPr="003E48A8">
        <w:rPr>
          <w:b/>
          <w:bCs/>
        </w:rPr>
        <w:t>R-07)</w:t>
      </w:r>
      <w:r w:rsidRPr="003E48A8">
        <w:t>, para facilitar la utilización racional, eficaz y económica de las frecuencias radioeléctricas y toda órbita asociada, incluida la órbita de los satélites geoestacionarios;</w:t>
      </w:r>
    </w:p>
    <w:p w:rsidR="001C0E40" w:rsidRPr="003E48A8" w:rsidRDefault="00927C04" w:rsidP="002478DC">
      <w:r w:rsidRPr="003E48A8">
        <w:t xml:space="preserve">7(I) </w:t>
      </w:r>
      <w:r w:rsidRPr="003E48A8">
        <w:tab/>
      </w:r>
      <w:r w:rsidRPr="003E48A8">
        <w:t>Tema I</w:t>
      </w:r>
      <w:r w:rsidRPr="003E48A8">
        <w:t xml:space="preserve"> – </w:t>
      </w:r>
      <w:r w:rsidRPr="003E48A8">
        <w:t>Posible método para resolver el problema de la notificación ex</w:t>
      </w:r>
      <w:r w:rsidRPr="003E48A8">
        <w:t>cesiva de redes de satélite</w:t>
      </w:r>
    </w:p>
    <w:p w:rsidR="00DC7F2A" w:rsidRPr="003E48A8" w:rsidRDefault="00DC7F2A" w:rsidP="00DC7F2A">
      <w:pPr>
        <w:pStyle w:val="Headingb"/>
        <w:rPr>
          <w:lang w:eastAsia="ja-JP"/>
        </w:rPr>
      </w:pPr>
      <w:r w:rsidRPr="003E48A8">
        <w:t>Introducción</w:t>
      </w:r>
    </w:p>
    <w:p w:rsidR="00DC7F2A" w:rsidRPr="003E48A8" w:rsidRDefault="00DC7F2A" w:rsidP="00DC7F2A">
      <w:pPr>
        <w:rPr>
          <w:lang w:eastAsia="ja-JP"/>
        </w:rPr>
      </w:pPr>
      <w:r w:rsidRPr="003E48A8">
        <w:rPr>
          <w:lang w:eastAsia="ja-JP"/>
        </w:rPr>
        <w:t>Japón duda de que los métodos propuestos contribuyan realmente a reducir el número de notificaciones de redes de satélite. Además, este problema no se resolverá necesariamente reduciendo el número de notificaciones de información de publicación anticipada (API).</w:t>
      </w:r>
    </w:p>
    <w:p w:rsidR="00DC7F2A" w:rsidRPr="003E48A8" w:rsidRDefault="00DC7F2A" w:rsidP="00DC7F2A">
      <w:pPr>
        <w:rPr>
          <w:lang w:eastAsia="ja-JP"/>
        </w:rPr>
      </w:pPr>
      <w:r w:rsidRPr="003E48A8">
        <w:rPr>
          <w:lang w:eastAsia="ja-JP"/>
        </w:rPr>
        <w:t>Por consiguiente, Japón apoya los Métodos I1.4 y I2.1, en los que se propone no modificar el Reglamento de Radiocomunicaciones.</w:t>
      </w:r>
    </w:p>
    <w:p w:rsidR="00DC7F2A" w:rsidRPr="003E48A8" w:rsidRDefault="00DC7F2A" w:rsidP="00DC7F2A">
      <w:pPr>
        <w:pStyle w:val="Headingb"/>
      </w:pPr>
      <w:r w:rsidRPr="003E48A8">
        <w:t>Propuestas</w:t>
      </w:r>
    </w:p>
    <w:p w:rsidR="00C33E87" w:rsidRPr="003E48A8" w:rsidRDefault="00927C04">
      <w:pPr>
        <w:pStyle w:val="Proposal"/>
      </w:pPr>
      <w:r w:rsidRPr="003E48A8">
        <w:rPr>
          <w:u w:val="single"/>
        </w:rPr>
        <w:t>NOC</w:t>
      </w:r>
      <w:r w:rsidRPr="003E48A8">
        <w:tab/>
        <w:t>J/103A21A2/1</w:t>
      </w:r>
    </w:p>
    <w:p w:rsidR="00F008F3" w:rsidRPr="003E48A8" w:rsidRDefault="00927C04" w:rsidP="00D44B91">
      <w:pPr>
        <w:pStyle w:val="ArtNo"/>
      </w:pPr>
      <w:r w:rsidRPr="003E48A8">
        <w:t xml:space="preserve">ARTÍCULO </w:t>
      </w:r>
      <w:r w:rsidRPr="003E48A8">
        <w:rPr>
          <w:rStyle w:val="href"/>
        </w:rPr>
        <w:t>9</w:t>
      </w:r>
    </w:p>
    <w:p w:rsidR="00F008F3" w:rsidRPr="003E48A8" w:rsidRDefault="00927C04" w:rsidP="00835B7C">
      <w:pPr>
        <w:pStyle w:val="Arttitle"/>
        <w:rPr>
          <w:b w:val="0"/>
          <w:bCs/>
          <w:sz w:val="16"/>
        </w:rPr>
      </w:pPr>
      <w:r w:rsidRPr="003E48A8">
        <w:t>Procedimiento para efectuar la co</w:t>
      </w:r>
      <w:r w:rsidRPr="003E48A8">
        <w:t>ordinación u obtener</w:t>
      </w:r>
      <w:r w:rsidRPr="003E48A8">
        <w:t xml:space="preserve"> </w:t>
      </w:r>
      <w:r w:rsidRPr="003E48A8">
        <w:t xml:space="preserve">el acuerdo </w:t>
      </w:r>
      <w:r w:rsidRPr="003E48A8">
        <w:br/>
      </w:r>
      <w:r w:rsidRPr="003E48A8">
        <w:t>de otras administraciones</w:t>
      </w:r>
      <w:r w:rsidRPr="003E48A8">
        <w:rPr>
          <w:rStyle w:val="FootnoteReference"/>
          <w:bCs/>
          <w:szCs w:val="18"/>
        </w:rPr>
        <w:t>1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2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3</w:t>
      </w:r>
      <w:r w:rsidRPr="003E48A8">
        <w:rPr>
          <w:rStyle w:val="FootnoteReference"/>
          <w:bCs/>
          <w:szCs w:val="18"/>
        </w:rPr>
        <w:t>,</w:t>
      </w:r>
      <w:r w:rsidRPr="003E48A8">
        <w:rPr>
          <w:bCs/>
          <w:position w:val="6"/>
          <w:sz w:val="18"/>
          <w:szCs w:val="18"/>
        </w:rPr>
        <w:t xml:space="preserve"> </w:t>
      </w:r>
      <w:r w:rsidRPr="003E48A8">
        <w:rPr>
          <w:rStyle w:val="FootnoteReference"/>
          <w:bCs/>
          <w:szCs w:val="18"/>
        </w:rPr>
        <w:t>4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5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6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7</w:t>
      </w:r>
      <w:r w:rsidRPr="003E48A8">
        <w:rPr>
          <w:bCs/>
          <w:position w:val="6"/>
          <w:sz w:val="18"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8</w:t>
      </w:r>
      <w:r w:rsidRPr="003E48A8">
        <w:rPr>
          <w:rStyle w:val="FootnoteReference"/>
          <w:bCs/>
          <w:szCs w:val="18"/>
        </w:rPr>
        <w:t xml:space="preserve">, </w:t>
      </w:r>
      <w:r w:rsidRPr="003E48A8">
        <w:rPr>
          <w:rStyle w:val="FootnoteReference"/>
          <w:bCs/>
          <w:szCs w:val="18"/>
        </w:rPr>
        <w:t>8</w:t>
      </w:r>
      <w:r w:rsidRPr="003E48A8">
        <w:rPr>
          <w:rStyle w:val="FootnoteReference"/>
          <w:bCs/>
          <w:i/>
          <w:iCs/>
          <w:szCs w:val="18"/>
        </w:rPr>
        <w:t>bis</w:t>
      </w:r>
      <w:r w:rsidRPr="003E48A8">
        <w:rPr>
          <w:b w:val="0"/>
          <w:sz w:val="16"/>
          <w:szCs w:val="16"/>
        </w:rPr>
        <w:t>     </w:t>
      </w:r>
      <w:r w:rsidRPr="003E48A8">
        <w:rPr>
          <w:b w:val="0"/>
          <w:sz w:val="16"/>
        </w:rPr>
        <w:t>(CMR-12)</w:t>
      </w:r>
    </w:p>
    <w:p w:rsidR="00DC7F2A" w:rsidRPr="003E48A8" w:rsidRDefault="00DC7F2A" w:rsidP="0032202E">
      <w:pPr>
        <w:pStyle w:val="Reasons"/>
      </w:pPr>
    </w:p>
    <w:p w:rsidR="00C33E87" w:rsidRPr="003E48A8" w:rsidRDefault="00DC7F2A" w:rsidP="00DC7F2A">
      <w:pPr>
        <w:jc w:val="center"/>
      </w:pPr>
      <w:r w:rsidRPr="003E48A8">
        <w:t>______________</w:t>
      </w:r>
    </w:p>
    <w:sectPr w:rsidR="00C33E87" w:rsidRPr="003E48A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F2A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F2A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A8" w:rsidRDefault="003E48A8">
    <w:pPr>
      <w:pStyle w:val="Footer"/>
    </w:pPr>
    <w:fldSimple w:instr=" FILENAME \p  \* MERGEFORMAT ">
      <w:r>
        <w:t>P:\ESP\ITU-R\CONF-R\CMR15\100\103ADD21ADD02S.docx</w:t>
      </w:r>
    </w:fldSimple>
    <w:r>
      <w:t xml:space="preserve"> (388839)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7F2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103(Add.21)(Add.2)-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48A8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27C04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3E87"/>
    <w:rsid w:val="00C63EB5"/>
    <w:rsid w:val="00CC01E0"/>
    <w:rsid w:val="00CD5FEE"/>
    <w:rsid w:val="00CE60D2"/>
    <w:rsid w:val="00CE7431"/>
    <w:rsid w:val="00D0288A"/>
    <w:rsid w:val="00D72A5D"/>
    <w:rsid w:val="00DC629B"/>
    <w:rsid w:val="00DC7F2A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DC8D08-3717-44C3-9523-FB2B1F8E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1A1C-C1DA-45A1-9EEA-CD3B9320DBC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787CC3-A363-4328-9096-BE27F251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R15-WRC15-C-0103!A21-A2!MSW-S</vt:lpstr>
    </vt:vector>
  </TitlesOfParts>
  <Manager>Secretaría General - Pool</Manager>
  <Company>Unión Internacional de Telecomunicaciones (UIT)</Company>
  <LinksUpToDate>false</LinksUpToDate>
  <CharactersWithSpaces>1542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R15-WRC15-C-0103!A21-A2!MSW-S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4</cp:revision>
  <cp:lastPrinted>2003-02-19T20:20:00Z</cp:lastPrinted>
  <dcterms:created xsi:type="dcterms:W3CDTF">2015-10-25T11:31:00Z</dcterms:created>
  <dcterms:modified xsi:type="dcterms:W3CDTF">2015-10-25T11:32:00Z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