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3D01E4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3D01E4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D01E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3D01E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D01E4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D01E4">
              <w:rPr>
                <w:rFonts w:ascii="Verdana" w:hAnsi="Verdana"/>
                <w:rtl/>
              </w:rPr>
              <w:t xml:space="preserve">الإضافة </w:t>
            </w:r>
            <w:r w:rsidRPr="003D01E4">
              <w:rPr>
                <w:rFonts w:ascii="Verdana" w:hAnsi="Verdana"/>
              </w:rPr>
              <w:t>2</w:t>
            </w:r>
            <w:r w:rsidRPr="003D01E4">
              <w:rPr>
                <w:rFonts w:ascii="Verdana" w:hAnsi="Verdana"/>
              </w:rPr>
              <w:br/>
            </w:r>
            <w:r w:rsidRPr="003D01E4">
              <w:rPr>
                <w:rFonts w:ascii="Verdana" w:hAnsi="Verdana"/>
                <w:rtl/>
              </w:rPr>
              <w:t xml:space="preserve">للوثيقة </w:t>
            </w:r>
            <w:r w:rsidRPr="003D01E4">
              <w:rPr>
                <w:rFonts w:ascii="Verdana" w:hAnsi="Verdana"/>
              </w:rPr>
              <w:t>103(Add.21)-</w:t>
            </w:r>
            <w:r w:rsidR="003D01E4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D01E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D01E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D01E4">
              <w:rPr>
                <w:rFonts w:ascii="Verdana" w:eastAsia="SimSun" w:hAnsi="Verdana"/>
              </w:rPr>
              <w:t>19</w:t>
            </w:r>
            <w:r w:rsidRPr="003D01E4">
              <w:rPr>
                <w:rFonts w:ascii="Verdana" w:eastAsia="SimSun" w:hAnsi="Verdana"/>
                <w:rtl/>
              </w:rPr>
              <w:t xml:space="preserve"> أكتوبر </w:t>
            </w:r>
            <w:r w:rsidRPr="003D01E4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D01E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D01E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3D01E4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D01E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اليابان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D01E4" w:rsidP="003D01E4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105C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105C3E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D01E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D01E4">
              <w:t>(I)7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301872" w:rsidP="00105C3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105C3E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105C3E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105C3E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105C3E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301872" w:rsidP="00C2775E">
      <w:pPr>
        <w:rPr>
          <w:rFonts w:eastAsia="SimSun"/>
        </w:rPr>
      </w:pPr>
      <w:r w:rsidRPr="00431196">
        <w:rPr>
          <w:rFonts w:eastAsia="SimSun"/>
        </w:rPr>
        <w:t>(I)7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I</w:t>
      </w:r>
      <w:r w:rsidRPr="00431196">
        <w:rPr>
          <w:rFonts w:eastAsia="SimSun" w:hint="cs"/>
          <w:rtl/>
        </w:rPr>
        <w:t xml:space="preserve"> - أسلوب ممكن للتخفيف من وطأة مسألة العدد المفرط لبطاقات التبليغ عن الشبكات الساتلية</w:t>
      </w:r>
    </w:p>
    <w:p w:rsidR="00F16602" w:rsidRDefault="003D01E4" w:rsidP="003D01E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D01E4" w:rsidRDefault="00223274" w:rsidP="00B2289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إن اليابان غير متأكدة من أن </w:t>
      </w:r>
      <w:r w:rsidR="00CC1075">
        <w:rPr>
          <w:rFonts w:hint="cs"/>
          <w:rtl/>
          <w:lang w:bidi="ar-EG"/>
        </w:rPr>
        <w:t xml:space="preserve">الأساليب المقترحة </w:t>
      </w:r>
      <w:r>
        <w:rPr>
          <w:rFonts w:hint="cs"/>
          <w:rtl/>
          <w:lang w:bidi="ar-EG"/>
        </w:rPr>
        <w:t xml:space="preserve">ستسمح </w:t>
      </w:r>
      <w:r w:rsidR="00CC1075">
        <w:rPr>
          <w:rFonts w:hint="cs"/>
          <w:rtl/>
          <w:lang w:bidi="ar-EG"/>
        </w:rPr>
        <w:t xml:space="preserve">بتخفيض عدد بطاقات التبليغ عن الشبكات الساتلية </w:t>
      </w:r>
      <w:r w:rsidR="00B2289E">
        <w:rPr>
          <w:rFonts w:hint="cs"/>
          <w:rtl/>
          <w:lang w:bidi="ar-EG"/>
        </w:rPr>
        <w:t>بشكل فعلي</w:t>
      </w:r>
      <w:r w:rsidR="00CC1075">
        <w:rPr>
          <w:rFonts w:hint="cs"/>
          <w:rtl/>
          <w:lang w:bidi="ar-EG"/>
        </w:rPr>
        <w:t xml:space="preserve">. وعلاوة على ذلك، </w:t>
      </w:r>
      <w:r w:rsidR="00A559F9">
        <w:rPr>
          <w:rFonts w:hint="cs"/>
          <w:rtl/>
          <w:lang w:bidi="ar-EG"/>
        </w:rPr>
        <w:t>فتخفيض</w:t>
      </w:r>
      <w:r w:rsidR="00CC1075">
        <w:rPr>
          <w:rFonts w:hint="cs"/>
          <w:rtl/>
          <w:lang w:bidi="ar-EG"/>
        </w:rPr>
        <w:t xml:space="preserve"> عدد بطاقات التبليغ </w:t>
      </w:r>
      <w:r w:rsidR="00A559F9">
        <w:rPr>
          <w:rFonts w:hint="cs"/>
          <w:rtl/>
          <w:lang w:bidi="ar-EG"/>
        </w:rPr>
        <w:t>المتعلقة</w:t>
      </w:r>
      <w:r w:rsidR="00CC1075">
        <w:rPr>
          <w:rFonts w:hint="cs"/>
          <w:rtl/>
          <w:lang w:bidi="ar-EG"/>
        </w:rPr>
        <w:t xml:space="preserve"> </w:t>
      </w:r>
      <w:r w:rsidR="00A559F9">
        <w:rPr>
          <w:rFonts w:hint="cs"/>
          <w:rtl/>
          <w:lang w:bidi="ar-EG"/>
        </w:rPr>
        <w:t>ب</w:t>
      </w:r>
      <w:r w:rsidR="00CC1075">
        <w:rPr>
          <w:rFonts w:hint="cs"/>
          <w:rtl/>
          <w:lang w:bidi="ar-EG"/>
        </w:rPr>
        <w:t xml:space="preserve">معلومات النشر المسبق قد لا </w:t>
      </w:r>
      <w:r w:rsidR="00A559F9">
        <w:rPr>
          <w:rFonts w:hint="cs"/>
          <w:rtl/>
          <w:lang w:bidi="ar-EG"/>
        </w:rPr>
        <w:t>يؤدي بالضرورة إلى حل</w:t>
      </w:r>
      <w:r w:rsidR="00CC1075">
        <w:rPr>
          <w:rFonts w:hint="cs"/>
          <w:rtl/>
          <w:lang w:bidi="ar-EG"/>
        </w:rPr>
        <w:t xml:space="preserve"> هذه المسألة.</w:t>
      </w:r>
    </w:p>
    <w:p w:rsidR="00F34CD8" w:rsidRDefault="00AB3D11" w:rsidP="00DE742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ولذلك، تؤيد اليابان الأسلوبين </w:t>
      </w:r>
      <w:r w:rsidR="00DE742B">
        <w:rPr>
          <w:lang w:bidi="ar-EG"/>
        </w:rPr>
        <w:t>4.</w:t>
      </w:r>
      <w:r>
        <w:rPr>
          <w:lang w:bidi="ar-EG"/>
        </w:rPr>
        <w:t>I</w:t>
      </w:r>
      <w:r w:rsidR="00223274">
        <w:rPr>
          <w:lang w:bidi="ar-EG"/>
        </w:rPr>
        <w:t>1</w:t>
      </w:r>
      <w:r>
        <w:rPr>
          <w:rFonts w:hint="cs"/>
          <w:rtl/>
          <w:lang w:bidi="ar-EG"/>
        </w:rPr>
        <w:t xml:space="preserve"> و</w:t>
      </w:r>
      <w:r w:rsidR="00DE742B">
        <w:rPr>
          <w:lang w:bidi="ar-EG"/>
        </w:rPr>
        <w:t>1.</w:t>
      </w:r>
      <w:r>
        <w:rPr>
          <w:lang w:bidi="ar-EG"/>
        </w:rPr>
        <w:t>I2</w:t>
      </w:r>
      <w:r>
        <w:rPr>
          <w:rFonts w:hint="cs"/>
          <w:rtl/>
          <w:lang w:bidi="ar-EG"/>
        </w:rPr>
        <w:t xml:space="preserve"> </w:t>
      </w:r>
      <w:r w:rsidR="00BB473C">
        <w:rPr>
          <w:rFonts w:hint="cs"/>
          <w:rtl/>
          <w:lang w:bidi="ar-EG"/>
        </w:rPr>
        <w:t>اللذين</w:t>
      </w:r>
      <w:r>
        <w:rPr>
          <w:rFonts w:hint="cs"/>
          <w:rtl/>
          <w:lang w:bidi="ar-EG"/>
        </w:rPr>
        <w:t xml:space="preserve"> يقترحان ألا يدخل أي تعديل على لوائح الراديو.</w:t>
      </w:r>
    </w:p>
    <w:p w:rsidR="002919E1" w:rsidRDefault="003D01E4" w:rsidP="003D01E4">
      <w:pPr>
        <w:pStyle w:val="Headingb"/>
        <w:rPr>
          <w:noProof/>
          <w:rtl/>
        </w:rPr>
      </w:pPr>
      <w:r>
        <w:rPr>
          <w:rFonts w:hint="cs"/>
          <w:rtl/>
        </w:rPr>
        <w:t>المقترحات</w:t>
      </w:r>
    </w:p>
    <w:p w:rsidR="009E4A4F" w:rsidRDefault="009E4A4F" w:rsidP="009E4A4F">
      <w:pPr>
        <w:rPr>
          <w:noProof/>
          <w:rtl/>
        </w:rPr>
      </w:pPr>
      <w:r>
        <w:rPr>
          <w:noProof/>
          <w:rtl/>
        </w:rPr>
        <w:br w:type="page"/>
      </w:r>
    </w:p>
    <w:p w:rsidR="00456EE7" w:rsidRDefault="00301872">
      <w:pPr>
        <w:pStyle w:val="Proposal"/>
      </w:pPr>
      <w:r>
        <w:rPr>
          <w:u w:val="single"/>
        </w:rPr>
        <w:lastRenderedPageBreak/>
        <w:t>NOC</w:t>
      </w:r>
      <w:r>
        <w:tab/>
        <w:t>J/103A21A2/1</w:t>
      </w:r>
    </w:p>
    <w:p w:rsidR="009F37C9" w:rsidRDefault="00301872" w:rsidP="00D80C2E">
      <w:pPr>
        <w:pStyle w:val="ArtNo"/>
        <w:spacing w:before="240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73992" w:rsidRDefault="00301872" w:rsidP="00C73992">
      <w:pPr>
        <w:pStyle w:val="Arttitle"/>
        <w:rPr>
          <w:rtl/>
        </w:rPr>
      </w:pPr>
      <w:bookmarkStart w:id="2" w:name="_Toc331055743"/>
      <w:r w:rsidRPr="00C73992">
        <w:rPr>
          <w:rtl/>
        </w:rPr>
        <w:t xml:space="preserve">الإجراءات الواجب تطبيقها لتحقيق التنسيق مع الإدارات الأخرى </w:t>
      </w:r>
      <w:r w:rsidRPr="00C73992">
        <w:rPr>
          <w:rtl/>
        </w:rPr>
        <w:br/>
        <w:t>أو الحصول على موافقة هذه الإدارات</w:t>
      </w:r>
      <w:r w:rsidRPr="005864D5">
        <w:rPr>
          <w:rStyle w:val="FootnoteReference"/>
          <w:b w:val="0"/>
          <w:bCs w:val="0"/>
          <w:sz w:val="16"/>
          <w:szCs w:val="22"/>
          <w:rtl/>
        </w:rPr>
        <w:t>1</w:t>
      </w:r>
      <w:r w:rsidRPr="005864D5">
        <w:rPr>
          <w:rStyle w:val="FootnoteReference"/>
          <w:rFonts w:hint="cs"/>
          <w:b w:val="0"/>
          <w:bCs w:val="0"/>
          <w:sz w:val="16"/>
          <w:szCs w:val="22"/>
          <w:rtl/>
        </w:rPr>
        <w:t xml:space="preserve">، </w:t>
      </w:r>
      <w:r w:rsidRPr="005864D5">
        <w:rPr>
          <w:rStyle w:val="FootnoteReference"/>
          <w:b w:val="0"/>
          <w:bCs w:val="0"/>
          <w:sz w:val="16"/>
          <w:szCs w:val="22"/>
          <w:rtl/>
        </w:rPr>
        <w:t>2</w:t>
      </w:r>
      <w:r w:rsidRPr="005864D5">
        <w:rPr>
          <w:rStyle w:val="FootnoteReference"/>
          <w:rFonts w:hint="cs"/>
          <w:b w:val="0"/>
          <w:bCs w:val="0"/>
          <w:sz w:val="16"/>
          <w:szCs w:val="22"/>
          <w:rtl/>
        </w:rPr>
        <w:t xml:space="preserve">، </w:t>
      </w:r>
      <w:r w:rsidRPr="005864D5">
        <w:rPr>
          <w:rStyle w:val="FootnoteReference"/>
          <w:b w:val="0"/>
          <w:bCs w:val="0"/>
          <w:sz w:val="16"/>
          <w:szCs w:val="22"/>
          <w:rtl/>
        </w:rPr>
        <w:t>3</w:t>
      </w:r>
      <w:r w:rsidRPr="005864D5">
        <w:rPr>
          <w:rStyle w:val="FootnoteReference"/>
          <w:rFonts w:hint="cs"/>
          <w:b w:val="0"/>
          <w:bCs w:val="0"/>
          <w:sz w:val="16"/>
          <w:szCs w:val="22"/>
          <w:rtl/>
        </w:rPr>
        <w:t xml:space="preserve">، </w:t>
      </w:r>
      <w:r w:rsidRPr="005864D5">
        <w:rPr>
          <w:rStyle w:val="FootnoteReference"/>
          <w:b w:val="0"/>
          <w:bCs w:val="0"/>
          <w:sz w:val="16"/>
          <w:szCs w:val="22"/>
          <w:rtl/>
        </w:rPr>
        <w:t>4</w:t>
      </w:r>
      <w:r w:rsidRPr="005864D5">
        <w:rPr>
          <w:rStyle w:val="FootnoteReference"/>
          <w:rFonts w:hint="cs"/>
          <w:b w:val="0"/>
          <w:bCs w:val="0"/>
          <w:sz w:val="16"/>
          <w:szCs w:val="22"/>
          <w:rtl/>
        </w:rPr>
        <w:t xml:space="preserve">، </w:t>
      </w:r>
      <w:r w:rsidRPr="005864D5">
        <w:rPr>
          <w:rStyle w:val="FootnoteReference"/>
          <w:b w:val="0"/>
          <w:bCs w:val="0"/>
          <w:sz w:val="16"/>
          <w:szCs w:val="22"/>
          <w:rtl/>
        </w:rPr>
        <w:t>5</w:t>
      </w:r>
      <w:r w:rsidRPr="005864D5">
        <w:rPr>
          <w:rStyle w:val="FootnoteReference"/>
          <w:rFonts w:hint="cs"/>
          <w:b w:val="0"/>
          <w:bCs w:val="0"/>
          <w:sz w:val="16"/>
          <w:szCs w:val="22"/>
          <w:rtl/>
        </w:rPr>
        <w:t>،</w:t>
      </w:r>
      <w:r w:rsidRPr="005864D5">
        <w:rPr>
          <w:rStyle w:val="FootnoteReference"/>
          <w:b w:val="0"/>
          <w:bCs w:val="0"/>
          <w:sz w:val="16"/>
          <w:szCs w:val="22"/>
          <w:rtl/>
        </w:rPr>
        <w:t xml:space="preserve"> 6</w:t>
      </w:r>
      <w:r w:rsidRPr="005864D5">
        <w:rPr>
          <w:rStyle w:val="FootnoteReference"/>
          <w:rFonts w:hint="cs"/>
          <w:b w:val="0"/>
          <w:bCs w:val="0"/>
          <w:sz w:val="16"/>
          <w:szCs w:val="22"/>
          <w:rtl/>
        </w:rPr>
        <w:t>،</w:t>
      </w:r>
      <w:r w:rsidRPr="005864D5">
        <w:rPr>
          <w:rStyle w:val="FootnoteReference"/>
          <w:b w:val="0"/>
          <w:bCs w:val="0"/>
          <w:sz w:val="16"/>
          <w:szCs w:val="22"/>
          <w:rtl/>
        </w:rPr>
        <w:t xml:space="preserve"> 7</w:t>
      </w:r>
      <w:r w:rsidRPr="005864D5">
        <w:rPr>
          <w:rStyle w:val="FootnoteReference"/>
          <w:rFonts w:hint="cs"/>
          <w:b w:val="0"/>
          <w:bCs w:val="0"/>
          <w:sz w:val="16"/>
          <w:szCs w:val="22"/>
          <w:rtl/>
        </w:rPr>
        <w:t xml:space="preserve">، </w:t>
      </w:r>
      <w:r w:rsidRPr="005864D5">
        <w:rPr>
          <w:rStyle w:val="FootnoteReference"/>
          <w:b w:val="0"/>
          <w:bCs w:val="0"/>
          <w:sz w:val="16"/>
          <w:szCs w:val="22"/>
          <w:rtl/>
        </w:rPr>
        <w:t>8</w:t>
      </w:r>
      <w:r w:rsidRPr="005864D5">
        <w:rPr>
          <w:rStyle w:val="FootnoteReference"/>
          <w:rFonts w:hint="cs"/>
          <w:b w:val="0"/>
          <w:bCs w:val="0"/>
          <w:sz w:val="16"/>
          <w:szCs w:val="22"/>
          <w:rtl/>
        </w:rPr>
        <w:t xml:space="preserve">، </w:t>
      </w:r>
      <w:r w:rsidRPr="005864D5">
        <w:rPr>
          <w:rStyle w:val="FootnoteReference"/>
          <w:b w:val="0"/>
          <w:bCs w:val="0"/>
          <w:sz w:val="16"/>
          <w:szCs w:val="22"/>
          <w:rtl/>
        </w:rPr>
        <w:t>8</w:t>
      </w:r>
      <w:r w:rsidRPr="005864D5">
        <w:rPr>
          <w:rStyle w:val="FootnoteReference"/>
          <w:rFonts w:ascii="Traditional Arabic" w:hAnsi="Traditional Arabic" w:cs="Traditional Arabic"/>
          <w:b w:val="0"/>
          <w:bCs w:val="0"/>
          <w:i/>
          <w:iCs/>
          <w:sz w:val="16"/>
          <w:szCs w:val="22"/>
          <w:rtl/>
        </w:rPr>
        <w:t>مكرراً</w:t>
      </w:r>
      <w:r w:rsidRPr="00E73AA3">
        <w:rPr>
          <w:rFonts w:hint="cs"/>
          <w:b w:val="0"/>
          <w:bCs w:val="0"/>
          <w:rtl/>
        </w:rPr>
        <w:t xml:space="preserve"> </w:t>
      </w:r>
      <w:r w:rsidRPr="00202800">
        <w:rPr>
          <w:b w:val="0"/>
          <w:bCs w:val="0"/>
          <w:sz w:val="16"/>
          <w:szCs w:val="16"/>
        </w:rPr>
        <w:t>(WRC-12)</w:t>
      </w:r>
      <w:bookmarkEnd w:id="2"/>
      <w:r w:rsidRPr="00E73AA3">
        <w:rPr>
          <w:b w:val="0"/>
          <w:bCs w:val="0"/>
        </w:rPr>
        <w:t>    </w:t>
      </w:r>
    </w:p>
    <w:p w:rsidR="00456EE7" w:rsidRPr="00C73992" w:rsidRDefault="00456EE7">
      <w:pPr>
        <w:pStyle w:val="Reasons"/>
        <w:rPr>
          <w:rFonts w:hint="cs"/>
          <w:b w:val="0"/>
          <w:bCs w:val="0"/>
          <w:lang w:bidi="ar-EG"/>
        </w:rPr>
      </w:pPr>
    </w:p>
    <w:p w:rsidR="003D01E4" w:rsidRPr="003D01E4" w:rsidRDefault="003D01E4" w:rsidP="003D01E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3" w:name="_GoBack"/>
      <w:bookmarkEnd w:id="3"/>
    </w:p>
    <w:sectPr w:rsidR="003D01E4" w:rsidRPr="003D01E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D01E4" w:rsidRDefault="00281F5F" w:rsidP="003D01E4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3D01E4">
      <w:instrText xml:space="preserve"> FILENAME \p \* MERGEFORMAT </w:instrText>
    </w:r>
    <w:r w:rsidRPr="00CB4300">
      <w:fldChar w:fldCharType="separate"/>
    </w:r>
    <w:r w:rsidR="00262144">
      <w:rPr>
        <w:noProof/>
      </w:rPr>
      <w:t>P:\ARA\ITU-R\CONF-R\CMR15\100\103ADD21ADD02A.docx</w:t>
    </w:r>
    <w:r w:rsidRPr="00CB4300">
      <w:fldChar w:fldCharType="end"/>
    </w:r>
    <w:r w:rsidRPr="003D01E4">
      <w:t xml:space="preserve">  (</w:t>
    </w:r>
    <w:r w:rsidR="003D01E4">
      <w:t>388839</w:t>
    </w:r>
    <w:r w:rsidRPr="003D01E4">
      <w:t>)</w:t>
    </w:r>
    <w:r w:rsidRPr="003D01E4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E4A4F">
      <w:rPr>
        <w:noProof/>
      </w:rPr>
      <w:t>31.10.15</w:t>
    </w:r>
    <w:r w:rsidRPr="00CB4300">
      <w:fldChar w:fldCharType="end"/>
    </w:r>
    <w:r w:rsidRPr="003D01E4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D01E4" w:rsidRDefault="00281F5F" w:rsidP="003D01E4">
    <w:pPr>
      <w:pStyle w:val="Footer"/>
      <w:tabs>
        <w:tab w:val="clear" w:pos="5812"/>
        <w:tab w:val="left" w:pos="6379"/>
      </w:tabs>
    </w:pPr>
    <w:r>
      <w:fldChar w:fldCharType="begin"/>
    </w:r>
    <w:r w:rsidRPr="003D01E4">
      <w:instrText xml:space="preserve"> FILENAME \p \* MERGEFORMAT </w:instrText>
    </w:r>
    <w:r>
      <w:fldChar w:fldCharType="separate"/>
    </w:r>
    <w:r w:rsidR="00262144">
      <w:rPr>
        <w:noProof/>
      </w:rPr>
      <w:t>P:\ARA\ITU-R\CONF-R\CMR15\100\103ADD21ADD02A.docx</w:t>
    </w:r>
    <w:r>
      <w:fldChar w:fldCharType="end"/>
    </w:r>
    <w:r w:rsidRPr="003D01E4">
      <w:t xml:space="preserve">   (</w:t>
    </w:r>
    <w:r w:rsidR="003D01E4">
      <w:t>388839</w:t>
    </w:r>
    <w:r w:rsidRPr="003D01E4">
      <w:t>)</w:t>
    </w:r>
    <w:r w:rsidRPr="003D01E4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E4A4F">
      <w:rPr>
        <w:noProof/>
      </w:rPr>
      <w:t>31.10.15</w:t>
    </w:r>
    <w:r w:rsidRPr="00B12661">
      <w:fldChar w:fldCharType="end"/>
    </w:r>
    <w:r w:rsidRPr="003D01E4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73AA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103(Add.21)(Add.2)-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5C3E"/>
    <w:rsid w:val="001464F2"/>
    <w:rsid w:val="001629EC"/>
    <w:rsid w:val="00167364"/>
    <w:rsid w:val="001903B2"/>
    <w:rsid w:val="001E190C"/>
    <w:rsid w:val="001E54F6"/>
    <w:rsid w:val="001E5A8C"/>
    <w:rsid w:val="001F0934"/>
    <w:rsid w:val="00201A0A"/>
    <w:rsid w:val="00202800"/>
    <w:rsid w:val="002075D4"/>
    <w:rsid w:val="00211B2A"/>
    <w:rsid w:val="00223274"/>
    <w:rsid w:val="002333A0"/>
    <w:rsid w:val="002543CF"/>
    <w:rsid w:val="00255868"/>
    <w:rsid w:val="0026062E"/>
    <w:rsid w:val="00260F50"/>
    <w:rsid w:val="00261EF7"/>
    <w:rsid w:val="00262144"/>
    <w:rsid w:val="0027069F"/>
    <w:rsid w:val="00272335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187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01E4"/>
    <w:rsid w:val="003E02EF"/>
    <w:rsid w:val="003E1608"/>
    <w:rsid w:val="003E1D90"/>
    <w:rsid w:val="00400CD4"/>
    <w:rsid w:val="004147B9"/>
    <w:rsid w:val="00422C04"/>
    <w:rsid w:val="00426144"/>
    <w:rsid w:val="00456EE7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64D5"/>
    <w:rsid w:val="005930D8"/>
    <w:rsid w:val="00594E1F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675C0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4A4F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59F9"/>
    <w:rsid w:val="00A66D2B"/>
    <w:rsid w:val="00A83981"/>
    <w:rsid w:val="00A870AD"/>
    <w:rsid w:val="00A90843"/>
    <w:rsid w:val="00A9645C"/>
    <w:rsid w:val="00AB2A33"/>
    <w:rsid w:val="00AB3D11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289E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2377"/>
    <w:rsid w:val="00B9727C"/>
    <w:rsid w:val="00BA610A"/>
    <w:rsid w:val="00BA7D44"/>
    <w:rsid w:val="00BB473C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3992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1075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742B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3A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4CD8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8B239D8E-29DF-4180-9199-8F186928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R15-WRC15-C-0103!A21-A2!MSW-A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FCD7-84DF-47C5-9E37-A696E3E2B7E8}">
  <ds:schemaRefs>
    <ds:schemaRef ds:uri="http://purl.org/dc/dcmitype/"/>
    <ds:schemaRef ds:uri="32a1a8c5-2265-4ebc-b7a0-2071e2c5c9bb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6D7B26-A329-451F-81D3-0DF556CE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187</Words>
  <Characters>1076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R15-WRC15-C-0103!A21-A2!MSW-A</vt:lpstr>
    </vt:vector>
  </TitlesOfParts>
  <Manager>General Secretariat - Pool</Manager>
  <Company>International Telecommunication Union (ITU)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R15-WRC15-C-0103!A21-A2!MSW-A</dc:title>
  <dc:creator>Documents Proposals Manager (DPM)</dc:creator>
  <cp:keywords>DPM_v5.2015.10.230_prod</cp:keywords>
  <cp:lastModifiedBy>Awad, Samy</cp:lastModifiedBy>
  <cp:revision>11</cp:revision>
  <cp:lastPrinted>2011-11-07T13:53:00Z</cp:lastPrinted>
  <dcterms:created xsi:type="dcterms:W3CDTF">2015-10-31T15:56:00Z</dcterms:created>
  <dcterms:modified xsi:type="dcterms:W3CDTF">2015-10-31T23:18:00Z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