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90121B" w:rsidRPr="00FD0D0D" w:rsidTr="00260F65">
        <w:trPr>
          <w:cantSplit/>
        </w:trPr>
        <w:tc>
          <w:tcPr>
            <w:tcW w:w="6663" w:type="dxa"/>
          </w:tcPr>
          <w:p w:rsidR="0090121B" w:rsidRPr="00FD0D0D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D0D0D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FD0D0D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FD0D0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368" w:type="dxa"/>
          </w:tcPr>
          <w:p w:rsidR="0090121B" w:rsidRPr="00FD0D0D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D0D0D">
              <w:rPr>
                <w:noProof/>
                <w:lang w:eastAsia="zh-CN"/>
              </w:rPr>
              <w:drawing>
                <wp:inline distT="0" distB="0" distL="0" distR="0" wp14:anchorId="27F93034" wp14:editId="1DBB0E4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FD0D0D" w:rsidTr="00260F65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90121B" w:rsidRPr="00FD0D0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FD0D0D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90121B" w:rsidRPr="00FD0D0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FD0D0D" w:rsidTr="00260F65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90121B" w:rsidRPr="00FD0D0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90121B" w:rsidRPr="00FD0D0D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FD0D0D" w:rsidTr="00260F65">
        <w:trPr>
          <w:cantSplit/>
        </w:trPr>
        <w:tc>
          <w:tcPr>
            <w:tcW w:w="6663" w:type="dxa"/>
            <w:shd w:val="clear" w:color="auto" w:fill="auto"/>
          </w:tcPr>
          <w:p w:rsidR="0090121B" w:rsidRPr="00FD0D0D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D0D0D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368" w:type="dxa"/>
            <w:shd w:val="clear" w:color="auto" w:fill="auto"/>
          </w:tcPr>
          <w:p w:rsidR="0090121B" w:rsidRPr="00FD0D0D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FD0D0D">
              <w:rPr>
                <w:rFonts w:ascii="Verdana" w:eastAsia="SimSun" w:hAnsi="Verdana" w:cs="Traditional Arabic"/>
                <w:b/>
                <w:sz w:val="20"/>
              </w:rPr>
              <w:t>Addéndum 1 al</w:t>
            </w:r>
            <w:r w:rsidRPr="00FD0D0D">
              <w:rPr>
                <w:rFonts w:ascii="Verdana" w:eastAsia="SimSun" w:hAnsi="Verdana" w:cs="Traditional Arabic"/>
                <w:b/>
                <w:sz w:val="20"/>
              </w:rPr>
              <w:br/>
              <w:t>Documento 102(Add.21)</w:t>
            </w:r>
            <w:r w:rsidR="0090121B" w:rsidRPr="00FD0D0D">
              <w:rPr>
                <w:rFonts w:ascii="Verdana" w:hAnsi="Verdana"/>
                <w:b/>
                <w:sz w:val="20"/>
              </w:rPr>
              <w:t>-</w:t>
            </w:r>
            <w:r w:rsidRPr="00FD0D0D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FD0D0D" w:rsidTr="00260F65">
        <w:trPr>
          <w:cantSplit/>
        </w:trPr>
        <w:tc>
          <w:tcPr>
            <w:tcW w:w="6663" w:type="dxa"/>
            <w:shd w:val="clear" w:color="auto" w:fill="auto"/>
          </w:tcPr>
          <w:p w:rsidR="000A5B9A" w:rsidRPr="00FD0D0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0A5B9A" w:rsidRPr="00FD0D0D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D0D0D">
              <w:rPr>
                <w:rFonts w:ascii="Verdana" w:hAnsi="Verdana"/>
                <w:b/>
                <w:sz w:val="20"/>
              </w:rPr>
              <w:t>19 de octubre de 2015</w:t>
            </w:r>
          </w:p>
        </w:tc>
      </w:tr>
      <w:tr w:rsidR="000A5B9A" w:rsidRPr="00FD0D0D" w:rsidTr="00260F65">
        <w:trPr>
          <w:cantSplit/>
        </w:trPr>
        <w:tc>
          <w:tcPr>
            <w:tcW w:w="6663" w:type="dxa"/>
          </w:tcPr>
          <w:p w:rsidR="000A5B9A" w:rsidRPr="00FD0D0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:rsidR="000A5B9A" w:rsidRPr="00FD0D0D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FD0D0D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FD0D0D" w:rsidTr="006744FC">
        <w:trPr>
          <w:cantSplit/>
        </w:trPr>
        <w:tc>
          <w:tcPr>
            <w:tcW w:w="10031" w:type="dxa"/>
            <w:gridSpan w:val="2"/>
          </w:tcPr>
          <w:p w:rsidR="000A5B9A" w:rsidRPr="00FD0D0D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FD0D0D" w:rsidTr="0050008E">
        <w:trPr>
          <w:cantSplit/>
        </w:trPr>
        <w:tc>
          <w:tcPr>
            <w:tcW w:w="10031" w:type="dxa"/>
            <w:gridSpan w:val="2"/>
          </w:tcPr>
          <w:p w:rsidR="000A5B9A" w:rsidRPr="00FD0D0D" w:rsidRDefault="000A5B9A" w:rsidP="000A5B9A">
            <w:pPr>
              <w:pStyle w:val="Source"/>
            </w:pPr>
            <w:bookmarkStart w:id="2" w:name="dsource" w:colFirst="0" w:colLast="0"/>
            <w:r w:rsidRPr="00FD0D0D">
              <w:t>Corea (República de)</w:t>
            </w:r>
          </w:p>
        </w:tc>
      </w:tr>
      <w:tr w:rsidR="000A5B9A" w:rsidRPr="00FD0D0D" w:rsidTr="0050008E">
        <w:trPr>
          <w:cantSplit/>
        </w:trPr>
        <w:tc>
          <w:tcPr>
            <w:tcW w:w="10031" w:type="dxa"/>
            <w:gridSpan w:val="2"/>
          </w:tcPr>
          <w:p w:rsidR="000A5B9A" w:rsidRPr="00FD0D0D" w:rsidRDefault="00BB6019" w:rsidP="000A5B9A">
            <w:pPr>
              <w:pStyle w:val="Title1"/>
            </w:pPr>
            <w:bookmarkStart w:id="3" w:name="dtitle1" w:colFirst="0" w:colLast="0"/>
            <w:bookmarkEnd w:id="2"/>
            <w:r w:rsidRPr="00FD0D0D">
              <w:t>propuestas para los trabajos de la conferencia</w:t>
            </w:r>
          </w:p>
        </w:tc>
      </w:tr>
      <w:tr w:rsidR="000A5B9A" w:rsidRPr="00FD0D0D" w:rsidTr="0050008E">
        <w:trPr>
          <w:cantSplit/>
        </w:trPr>
        <w:tc>
          <w:tcPr>
            <w:tcW w:w="10031" w:type="dxa"/>
            <w:gridSpan w:val="2"/>
          </w:tcPr>
          <w:p w:rsidR="000A5B9A" w:rsidRPr="00FD0D0D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FD0D0D" w:rsidTr="0050008E">
        <w:trPr>
          <w:cantSplit/>
        </w:trPr>
        <w:tc>
          <w:tcPr>
            <w:tcW w:w="10031" w:type="dxa"/>
            <w:gridSpan w:val="2"/>
          </w:tcPr>
          <w:p w:rsidR="000A5B9A" w:rsidRPr="00FD0D0D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FD0D0D">
              <w:t>Punto 7(A) del orden del día</w:t>
            </w:r>
          </w:p>
        </w:tc>
      </w:tr>
    </w:tbl>
    <w:bookmarkEnd w:id="5"/>
    <w:p w:rsidR="001C0E40" w:rsidRPr="00FD0D0D" w:rsidRDefault="00FD0D0D" w:rsidP="00512F4E">
      <w:r w:rsidRPr="00FD0D0D">
        <w:t>7</w:t>
      </w:r>
      <w:r w:rsidRPr="00FD0D0D">
        <w:tab/>
        <w:t xml:space="preserve">considerar posibles modificaciones y otras opciones como consecuencia de la Resolución 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FD0D0D">
        <w:rPr>
          <w:b/>
          <w:bCs/>
        </w:rPr>
        <w:t>86 (Rev.CMR-07)</w:t>
      </w:r>
      <w:r w:rsidRPr="00FD0D0D">
        <w:t>, para facilitar la utilización racional, eficaz y económica de las frecuencias radioeléctricas y toda órbita asociada, incluida la órbita de los satélites geoestacionarios;</w:t>
      </w:r>
    </w:p>
    <w:p w:rsidR="001C0E40" w:rsidRDefault="003457EE">
      <w:r>
        <w:t>7(A)</w:t>
      </w:r>
      <w:r w:rsidR="00FD0D0D" w:rsidRPr="00FD0D0D">
        <w:tab/>
        <w:t xml:space="preserve">Tema A – Información a la Oficina de Radiocomunicaciones de una suspensión superior a seis meses, de acuerdo con el número </w:t>
      </w:r>
      <w:r w:rsidR="00FD0D0D" w:rsidRPr="00FD0D0D">
        <w:rPr>
          <w:b/>
          <w:bCs/>
        </w:rPr>
        <w:t>11.49</w:t>
      </w:r>
      <w:r w:rsidR="00FD0D0D" w:rsidRPr="00FD0D0D">
        <w:t xml:space="preserve"> del RR</w:t>
      </w:r>
    </w:p>
    <w:p w:rsidR="00260F65" w:rsidRPr="00FD0D0D" w:rsidRDefault="00260F65" w:rsidP="00EA24FE"/>
    <w:p w:rsidR="003473EA" w:rsidRPr="00FD0D0D" w:rsidRDefault="003473EA" w:rsidP="00EA24FE">
      <w:pPr>
        <w:pStyle w:val="Headingb"/>
      </w:pPr>
      <w:r w:rsidRPr="00EA24FE">
        <w:t>Introducción</w:t>
      </w:r>
    </w:p>
    <w:p w:rsidR="003473EA" w:rsidRPr="00FD0D0D" w:rsidRDefault="003473EA" w:rsidP="003473EA">
      <w:pPr>
        <w:rPr>
          <w:lang w:eastAsia="ko-KR"/>
        </w:rPr>
      </w:pPr>
      <w:r w:rsidRPr="00FD0D0D">
        <w:rPr>
          <w:lang w:eastAsia="ko-KR"/>
        </w:rPr>
        <w:t>Se cree que los procedimientos para abordar esta cuestión ya están indicados en el RR. En particular, el número 13.6 del RR especifica un método para que la BR consulte a la administración y aborde la situación cuando se desprenda que una administración no ha informado a la BR de una suspensión en el plazo de seis meses indicado en el número 11.49 del RR.</w:t>
      </w:r>
    </w:p>
    <w:p w:rsidR="003473EA" w:rsidRPr="00FD0D0D" w:rsidRDefault="003473EA" w:rsidP="003473EA">
      <w:pPr>
        <w:rPr>
          <w:lang w:eastAsia="ko-KR"/>
        </w:rPr>
      </w:pPr>
      <w:r w:rsidRPr="00FD0D0D">
        <w:rPr>
          <w:lang w:eastAsia="ko-KR"/>
        </w:rPr>
        <w:t xml:space="preserve">Sobre la base de lo anterior, la República de Corea apoya el Método A1 del Informe de la RPC para el punto 7, </w:t>
      </w:r>
      <w:r w:rsidR="00593D40" w:rsidRPr="00FD0D0D">
        <w:rPr>
          <w:lang w:eastAsia="ko-KR"/>
        </w:rPr>
        <w:t xml:space="preserve">Tema </w:t>
      </w:r>
      <w:r w:rsidRPr="00FD0D0D">
        <w:rPr>
          <w:lang w:eastAsia="ko-KR"/>
        </w:rPr>
        <w:t>A, del orden del día de la CMR-15, que consiste en no introducir cambios en el Reglamento de Radiocomunicaciones.</w:t>
      </w:r>
    </w:p>
    <w:p w:rsidR="00363A65" w:rsidRPr="00FD0D0D" w:rsidRDefault="001561C5" w:rsidP="003473EA">
      <w:pPr>
        <w:pStyle w:val="Headingb"/>
      </w:pPr>
      <w:r>
        <w:t>Propuesta</w:t>
      </w:r>
    </w:p>
    <w:p w:rsidR="008750A8" w:rsidRPr="00FD0D0D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D0D0D">
        <w:br w:type="page"/>
      </w:r>
    </w:p>
    <w:p w:rsidR="00F008F3" w:rsidRPr="00FD0D0D" w:rsidRDefault="00FD0D0D" w:rsidP="001A409B">
      <w:pPr>
        <w:pStyle w:val="ArtNo"/>
      </w:pPr>
      <w:r w:rsidRPr="00FD0D0D">
        <w:lastRenderedPageBreak/>
        <w:t xml:space="preserve">ARTÍCULO </w:t>
      </w:r>
      <w:r w:rsidRPr="00FD0D0D">
        <w:rPr>
          <w:rStyle w:val="href"/>
        </w:rPr>
        <w:t>11</w:t>
      </w:r>
    </w:p>
    <w:p w:rsidR="00F008F3" w:rsidRPr="00FD0D0D" w:rsidRDefault="00FD0D0D" w:rsidP="00FD75A4">
      <w:pPr>
        <w:pStyle w:val="Arttitle"/>
        <w:spacing w:before="120"/>
        <w:rPr>
          <w:bCs/>
        </w:rPr>
      </w:pPr>
      <w:r w:rsidRPr="00FD0D0D">
        <w:t>Notificación e inscripción de asignaciones</w:t>
      </w:r>
      <w:r w:rsidRPr="00FD0D0D">
        <w:br/>
        <w:t>de frecuencia</w:t>
      </w:r>
      <w:r w:rsidRPr="00FD0D0D">
        <w:rPr>
          <w:rStyle w:val="FootnoteReference"/>
          <w:bCs/>
          <w:szCs w:val="18"/>
        </w:rPr>
        <w:t>1</w:t>
      </w:r>
      <w:r w:rsidRPr="00FD0D0D">
        <w:rPr>
          <w:bCs/>
          <w:position w:val="6"/>
          <w:sz w:val="18"/>
          <w:szCs w:val="18"/>
        </w:rPr>
        <w:t xml:space="preserve">, </w:t>
      </w:r>
      <w:r w:rsidRPr="00FD0D0D">
        <w:rPr>
          <w:rStyle w:val="FootnoteReference"/>
          <w:bCs/>
          <w:szCs w:val="18"/>
        </w:rPr>
        <w:t>2</w:t>
      </w:r>
      <w:r w:rsidRPr="00FD0D0D">
        <w:rPr>
          <w:bCs/>
          <w:position w:val="6"/>
          <w:sz w:val="18"/>
          <w:szCs w:val="18"/>
        </w:rPr>
        <w:t xml:space="preserve">, </w:t>
      </w:r>
      <w:r w:rsidRPr="00FD0D0D">
        <w:rPr>
          <w:rStyle w:val="FootnoteReference"/>
          <w:bCs/>
          <w:szCs w:val="18"/>
        </w:rPr>
        <w:t>3</w:t>
      </w:r>
      <w:r w:rsidRPr="00FD0D0D">
        <w:rPr>
          <w:bCs/>
          <w:position w:val="6"/>
          <w:sz w:val="18"/>
          <w:szCs w:val="18"/>
        </w:rPr>
        <w:t xml:space="preserve">, </w:t>
      </w:r>
      <w:r w:rsidRPr="00FD0D0D">
        <w:rPr>
          <w:rStyle w:val="FootnoteReference"/>
          <w:bCs/>
          <w:szCs w:val="18"/>
        </w:rPr>
        <w:t>4</w:t>
      </w:r>
      <w:r w:rsidRPr="00FD0D0D">
        <w:rPr>
          <w:bCs/>
          <w:position w:val="6"/>
          <w:sz w:val="18"/>
          <w:szCs w:val="18"/>
        </w:rPr>
        <w:t xml:space="preserve">, </w:t>
      </w:r>
      <w:r w:rsidRPr="00FD0D0D">
        <w:rPr>
          <w:rStyle w:val="FootnoteReference"/>
          <w:bCs/>
          <w:szCs w:val="18"/>
        </w:rPr>
        <w:t>5</w:t>
      </w:r>
      <w:r w:rsidRPr="00FD0D0D">
        <w:rPr>
          <w:bCs/>
          <w:position w:val="6"/>
          <w:sz w:val="18"/>
          <w:szCs w:val="18"/>
        </w:rPr>
        <w:t xml:space="preserve">, </w:t>
      </w:r>
      <w:r w:rsidRPr="00FD0D0D">
        <w:rPr>
          <w:rStyle w:val="FootnoteReference"/>
          <w:bCs/>
          <w:szCs w:val="18"/>
        </w:rPr>
        <w:t>6</w:t>
      </w:r>
      <w:r w:rsidRPr="00FD0D0D">
        <w:rPr>
          <w:bCs/>
          <w:position w:val="6"/>
          <w:sz w:val="18"/>
          <w:szCs w:val="18"/>
        </w:rPr>
        <w:t xml:space="preserve">, </w:t>
      </w:r>
      <w:r w:rsidRPr="00FD0D0D">
        <w:rPr>
          <w:rStyle w:val="FootnoteReference"/>
          <w:bCs/>
          <w:szCs w:val="18"/>
        </w:rPr>
        <w:t>7,</w:t>
      </w:r>
      <w:r w:rsidRPr="00FD0D0D">
        <w:rPr>
          <w:bCs/>
          <w:sz w:val="18"/>
          <w:szCs w:val="18"/>
        </w:rPr>
        <w:t xml:space="preserve"> </w:t>
      </w:r>
      <w:r w:rsidRPr="00FD0D0D">
        <w:rPr>
          <w:bCs/>
          <w:position w:val="6"/>
          <w:sz w:val="18"/>
          <w:szCs w:val="18"/>
        </w:rPr>
        <w:t>7</w:t>
      </w:r>
      <w:r w:rsidRPr="00FD0D0D">
        <w:rPr>
          <w:bCs/>
          <w:i/>
          <w:iCs/>
          <w:position w:val="6"/>
          <w:sz w:val="18"/>
          <w:szCs w:val="18"/>
        </w:rPr>
        <w:t>bis</w:t>
      </w:r>
      <w:r w:rsidRPr="00FD0D0D">
        <w:rPr>
          <w:b w:val="0"/>
          <w:sz w:val="16"/>
        </w:rPr>
        <w:t>     (CMR</w:t>
      </w:r>
      <w:r w:rsidRPr="00FD0D0D">
        <w:rPr>
          <w:b w:val="0"/>
          <w:sz w:val="16"/>
        </w:rPr>
        <w:noBreakHyphen/>
        <w:t>12)</w:t>
      </w:r>
    </w:p>
    <w:p w:rsidR="001D34FF" w:rsidRPr="00FD0D0D" w:rsidRDefault="00FD0D0D" w:rsidP="00500BDB">
      <w:pPr>
        <w:pStyle w:val="Section1"/>
      </w:pPr>
      <w:r w:rsidRPr="00FD0D0D">
        <w:t>Sección II – Examen de las notificaciones e inscripción de las asignaciones</w:t>
      </w:r>
      <w:r w:rsidRPr="00FD0D0D">
        <w:br/>
        <w:t>de frecuencia en el Registro</w:t>
      </w:r>
    </w:p>
    <w:p w:rsidR="00467DE4" w:rsidRPr="00FD0D0D" w:rsidRDefault="00FD0D0D">
      <w:pPr>
        <w:pStyle w:val="Proposal"/>
      </w:pPr>
      <w:r w:rsidRPr="00FD0D0D">
        <w:rPr>
          <w:u w:val="single"/>
        </w:rPr>
        <w:t>NOC</w:t>
      </w:r>
      <w:r w:rsidRPr="00FD0D0D">
        <w:tab/>
        <w:t>KOR/102A21A1/1</w:t>
      </w:r>
    </w:p>
    <w:p w:rsidR="001D34FF" w:rsidRPr="00FD0D0D" w:rsidRDefault="00FD0D0D" w:rsidP="007F77FB">
      <w:pPr>
        <w:pStyle w:val="Note"/>
        <w:rPr>
          <w:sz w:val="16"/>
          <w:szCs w:val="16"/>
        </w:rPr>
      </w:pPr>
      <w:r w:rsidRPr="00FD0D0D">
        <w:rPr>
          <w:rStyle w:val="Artdef"/>
          <w:szCs w:val="24"/>
        </w:rPr>
        <w:t>11.49</w:t>
      </w:r>
      <w:r w:rsidRPr="00FD0D0D">
        <w:rPr>
          <w:rStyle w:val="Artdef"/>
          <w:szCs w:val="24"/>
        </w:rPr>
        <w:tab/>
      </w:r>
      <w:r w:rsidRPr="00FD0D0D">
        <w:tab/>
        <w:t xml:space="preserve">Siempre que se suspenda el uso de una asignación de frecuencias inscrita a una estación espacial durante un periodo superior a seis meses, la administración notificante deberá comunicar a la Oficina tan pronto </w:t>
      </w:r>
      <w:r w:rsidRPr="007F77FB">
        <w:t>co</w:t>
      </w:r>
      <w:bookmarkStart w:id="6" w:name="_GoBack"/>
      <w:bookmarkEnd w:id="6"/>
      <w:r w:rsidRPr="007F77FB">
        <w:t>mo</w:t>
      </w:r>
      <w:r w:rsidRPr="00FD0D0D">
        <w:t xml:space="preserve"> sea posible, pero a más tardar seis meses después de la fecha de suspensión de la utilización, la fecha de suspensión de su utilización. Cuando la asignación inscrita vuelva a ponerse en servicio, la administración notificante lo comunicará a la Oficina tan pronto como sea posible, con arreglo a las disposiciones del número </w:t>
      </w:r>
      <w:r w:rsidRPr="00FD0D0D">
        <w:rPr>
          <w:rStyle w:val="Artref"/>
          <w:b/>
          <w:bCs/>
          <w:szCs w:val="24"/>
        </w:rPr>
        <w:t>11.49.1</w:t>
      </w:r>
      <w:r w:rsidRPr="00FD0D0D">
        <w:t>, en su caso. Entre la fecha en que se reanuda el funcionamiento de la asignación inscrita</w:t>
      </w:r>
      <w:r w:rsidRPr="00FD0D0D">
        <w:rPr>
          <w:rStyle w:val="FootnoteReference"/>
          <w:szCs w:val="18"/>
        </w:rPr>
        <w:t>22</w:t>
      </w:r>
      <w:r w:rsidRPr="00FD0D0D">
        <w:t xml:space="preserve"> y la fecha de suspensión no deberán transcurrir más de tres años.</w:t>
      </w:r>
      <w:r w:rsidRPr="00FD0D0D">
        <w:rPr>
          <w:sz w:val="16"/>
          <w:szCs w:val="16"/>
        </w:rPr>
        <w:t>     (CMR-12)</w:t>
      </w:r>
    </w:p>
    <w:p w:rsidR="003473EA" w:rsidRPr="00FD0D0D" w:rsidRDefault="00FD0D0D" w:rsidP="0032202E">
      <w:pPr>
        <w:pStyle w:val="Reasons"/>
      </w:pPr>
      <w:r w:rsidRPr="00FD0D0D">
        <w:rPr>
          <w:b/>
        </w:rPr>
        <w:t>Motivos:</w:t>
      </w:r>
      <w:r w:rsidRPr="00FD0D0D">
        <w:tab/>
      </w:r>
      <w:r w:rsidR="003473EA" w:rsidRPr="00FD0D0D">
        <w:rPr>
          <w:lang w:eastAsia="ko-KR"/>
        </w:rPr>
        <w:t xml:space="preserve">Los </w:t>
      </w:r>
      <w:r w:rsidR="003473EA" w:rsidRPr="00FD0D0D">
        <w:t>procedimientos ya están indicados en el RR. En particular, el número 13.6 del RR especifica un método para que la BR consulte a la administración y aborde la situación cuando se desprenda que una administración no ha informado a la BR de una suspensión en el plazo de seis meses indicado en el número 11.49 del RR</w:t>
      </w:r>
      <w:r w:rsidR="003473EA" w:rsidRPr="00FD0D0D">
        <w:rPr>
          <w:lang w:eastAsia="ko-KR"/>
        </w:rPr>
        <w:t>.</w:t>
      </w:r>
    </w:p>
    <w:p w:rsidR="003473EA" w:rsidRPr="00FD0D0D" w:rsidRDefault="003473EA" w:rsidP="0032202E">
      <w:pPr>
        <w:pStyle w:val="Reasons"/>
      </w:pPr>
    </w:p>
    <w:p w:rsidR="003473EA" w:rsidRPr="00FD0D0D" w:rsidRDefault="003473EA">
      <w:pPr>
        <w:jc w:val="center"/>
      </w:pPr>
      <w:r w:rsidRPr="00FD0D0D">
        <w:t>______________</w:t>
      </w:r>
    </w:p>
    <w:sectPr w:rsidR="003473EA" w:rsidRPr="00FD0D0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FD0D0D" w:rsidRDefault="0077084A">
    <w:pPr>
      <w:ind w:right="360"/>
    </w:pPr>
    <w:r>
      <w:fldChar w:fldCharType="begin"/>
    </w:r>
    <w:r w:rsidRPr="00FD0D0D">
      <w:instrText xml:space="preserve"> FILENAME \p  \* MERGEFORMAT </w:instrText>
    </w:r>
    <w:r>
      <w:fldChar w:fldCharType="separate"/>
    </w:r>
    <w:r w:rsidR="00FD0D0D">
      <w:rPr>
        <w:noProof/>
      </w:rPr>
      <w:t>P:\ESP\ITU-R\CONF-R\CMR15\100\102ADD21ADD01S.docx</w:t>
    </w:r>
    <w:r>
      <w:fldChar w:fldCharType="end"/>
    </w:r>
    <w:r w:rsidRPr="00FD0D0D">
      <w:tab/>
    </w:r>
    <w:r>
      <w:fldChar w:fldCharType="begin"/>
    </w:r>
    <w:r>
      <w:instrText xml:space="preserve"> SAVEDATE \@ DD.MM.YY </w:instrText>
    </w:r>
    <w:r>
      <w:fldChar w:fldCharType="separate"/>
    </w:r>
    <w:r w:rsidR="00260F65">
      <w:rPr>
        <w:noProof/>
      </w:rPr>
      <w:t>26.10.15</w:t>
    </w:r>
    <w:r>
      <w:fldChar w:fldCharType="end"/>
    </w:r>
    <w:r w:rsidRPr="00FD0D0D">
      <w:tab/>
    </w:r>
    <w:r>
      <w:fldChar w:fldCharType="begin"/>
    </w:r>
    <w:r>
      <w:instrText xml:space="preserve"> PRINTDATE \@ DD.MM.YY </w:instrText>
    </w:r>
    <w:r>
      <w:fldChar w:fldCharType="separate"/>
    </w:r>
    <w:r w:rsidR="00FD0D0D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1D5742" w:rsidRDefault="001D5742" w:rsidP="001D5742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D0D0D">
      <w:rPr>
        <w:lang w:val="en-US"/>
      </w:rPr>
      <w:t>P:\ESP\ITU-R\CONF-R\CMR15\100\102ADD21ADD01S.docx</w:t>
    </w:r>
    <w:r>
      <w:fldChar w:fldCharType="end"/>
    </w:r>
    <w:r>
      <w:t xml:space="preserve"> (388787)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0F65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0D0D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FD0D0D">
      <w:rPr>
        <w:lang w:val="en-US"/>
      </w:rPr>
      <w:t>P:\ESP\ITU-R\CONF-R\CMR15\100\102ADD21ADD01S.docx</w:t>
    </w:r>
    <w:r>
      <w:fldChar w:fldCharType="end"/>
    </w:r>
    <w:r w:rsidR="001D5742">
      <w:t xml:space="preserve"> (388787)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0F65">
      <w:t>26.10.15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D0D0D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77FB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102(Add.21)(Add.1)-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561C5"/>
    <w:rsid w:val="001616DC"/>
    <w:rsid w:val="00163962"/>
    <w:rsid w:val="00191A97"/>
    <w:rsid w:val="001A083F"/>
    <w:rsid w:val="001C41FA"/>
    <w:rsid w:val="001D5742"/>
    <w:rsid w:val="001E2B52"/>
    <w:rsid w:val="001E3F27"/>
    <w:rsid w:val="00236D2A"/>
    <w:rsid w:val="00255F12"/>
    <w:rsid w:val="00260F65"/>
    <w:rsid w:val="00262C09"/>
    <w:rsid w:val="002A791F"/>
    <w:rsid w:val="002C1B26"/>
    <w:rsid w:val="002C5D6C"/>
    <w:rsid w:val="002E701F"/>
    <w:rsid w:val="003248A9"/>
    <w:rsid w:val="00324FFA"/>
    <w:rsid w:val="0032680B"/>
    <w:rsid w:val="003457EE"/>
    <w:rsid w:val="003473EA"/>
    <w:rsid w:val="00363A65"/>
    <w:rsid w:val="003B1E8C"/>
    <w:rsid w:val="003C2508"/>
    <w:rsid w:val="003D0AA3"/>
    <w:rsid w:val="00440B3A"/>
    <w:rsid w:val="0045384C"/>
    <w:rsid w:val="00454553"/>
    <w:rsid w:val="00467DE4"/>
    <w:rsid w:val="004B124A"/>
    <w:rsid w:val="005133B5"/>
    <w:rsid w:val="00532097"/>
    <w:rsid w:val="0058350F"/>
    <w:rsid w:val="00583C7E"/>
    <w:rsid w:val="00593D40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7F77FB"/>
    <w:rsid w:val="00866AE6"/>
    <w:rsid w:val="008750A8"/>
    <w:rsid w:val="008E5AF2"/>
    <w:rsid w:val="0090121B"/>
    <w:rsid w:val="009144C9"/>
    <w:rsid w:val="0094091F"/>
    <w:rsid w:val="00973754"/>
    <w:rsid w:val="009B311C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B6019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EA24FE"/>
    <w:rsid w:val="00F66597"/>
    <w:rsid w:val="00F675D0"/>
    <w:rsid w:val="00F8150C"/>
    <w:rsid w:val="00FD0D0D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2013067-DEC4-4E80-9F86-817D1CCD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R15-WRC15-C-0102!A21-A1!MSW-S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29036-99AF-40B4-94BE-405727DC9E8C}">
  <ds:schemaRefs>
    <ds:schemaRef ds:uri="http://purl.org/dc/dcmitype/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48A085-F805-457B-BE4F-97AD07B4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462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R15-WRC15-C-0102!A21-A1!MSW-S</vt:lpstr>
    </vt:vector>
  </TitlesOfParts>
  <Manager>Secretaría General - Pool</Manager>
  <Company>Unión Internacional de Telecomunicaciones (UIT)</Company>
  <LinksUpToDate>false</LinksUpToDate>
  <CharactersWithSpaces>2914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R15-WRC15-C-0102!A21-A1!MSW-S</dc:title>
  <dc:subject>Conferencia Mundial de Radiocomunicaciones - 2015</dc:subject>
  <dc:creator>Documents Proposals Manager (DPM)</dc:creator>
  <cp:keywords>DPM_v5.2015.10.230_prod</cp:keywords>
  <dc:description/>
  <cp:lastModifiedBy>Saez Grau, Ricardo</cp:lastModifiedBy>
  <cp:revision>12</cp:revision>
  <cp:lastPrinted>2015-10-26T22:12:00Z</cp:lastPrinted>
  <dcterms:created xsi:type="dcterms:W3CDTF">2015-10-26T22:07:00Z</dcterms:created>
  <dcterms:modified xsi:type="dcterms:W3CDTF">2015-10-27T21:59:00Z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