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5E335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101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español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E335E" w:rsidRDefault="000A5B9A" w:rsidP="000A5B9A">
            <w:pPr>
              <w:pStyle w:val="Source"/>
            </w:pPr>
            <w:bookmarkStart w:id="2" w:name="dsource" w:colFirst="0" w:colLast="0"/>
            <w:r w:rsidRPr="005E335E">
              <w:t>Argentina (República)/Brasil (República Federativa del)/Chile/Cuba/Dominicana (República)/Ecuador/Guatemala (República de)/Honduras (República de)/Nicaragua/Panamá (República de)/Paraguay (República del)/Perú/Uruguay (República Oriental del)/Venezuela (República Bolivariana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E335E" w:rsidRDefault="005E335E" w:rsidP="000A5B9A">
            <w:pPr>
              <w:pStyle w:val="Title1"/>
            </w:pPr>
            <w:bookmarkStart w:id="3" w:name="dtitle1" w:colFirst="0" w:colLast="0"/>
            <w:bookmarkEnd w:id="2"/>
            <w:r w:rsidRPr="00A555C3">
              <w:rPr>
                <w:rFonts w:eastAsia="SimSun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E335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 del orden del día</w:t>
            </w:r>
          </w:p>
        </w:tc>
      </w:tr>
    </w:tbl>
    <w:bookmarkEnd w:id="5"/>
    <w:p w:rsidR="001C0E40" w:rsidRPr="00C26A0A" w:rsidRDefault="00CC16D1" w:rsidP="00C26A0A">
      <w:r w:rsidRPr="00211854">
        <w:t>1.1</w:t>
      </w:r>
      <w:r w:rsidRPr="00211854">
        <w:tab/>
      </w:r>
      <w:r w:rsidRPr="00211854">
        <w:t>examinar atribuciones adicionales de espectro al servicio móvil a título primario e identificar bandas de frecuencias adicionales para las telecomunicaciones móviles internacionales (IMT) así como las disposiciones transitorias conexas, para facilitar el d</w:t>
      </w:r>
      <w:r w:rsidRPr="00211854">
        <w:t xml:space="preserve">esarrollo de aplicaciones terrenales móviles de banda ancha, de conformidad con la Resolución </w:t>
      </w:r>
      <w:r w:rsidRPr="00211854">
        <w:rPr>
          <w:b/>
          <w:bCs/>
        </w:rPr>
        <w:t>233 (CMR</w:t>
      </w:r>
      <w:r>
        <w:rPr>
          <w:b/>
          <w:bCs/>
        </w:rPr>
        <w:noBreakHyphen/>
      </w:r>
      <w:r w:rsidRPr="00211854">
        <w:rPr>
          <w:b/>
          <w:bCs/>
        </w:rPr>
        <w:t>12)</w:t>
      </w:r>
      <w:r w:rsidRPr="00211854">
        <w:t>;</w:t>
      </w:r>
    </w:p>
    <w:p w:rsidR="005E335E" w:rsidRPr="00A555C3" w:rsidRDefault="005E335E" w:rsidP="005E335E">
      <w:pPr>
        <w:pStyle w:val="Headingb"/>
      </w:pPr>
      <w:bookmarkStart w:id="6" w:name="_Toc327956582"/>
      <w:r>
        <w:t>BANDA 470-698 </w:t>
      </w:r>
      <w:r w:rsidRPr="00A555C3">
        <w:t>MHz</w:t>
      </w:r>
    </w:p>
    <w:p w:rsidR="005E335E" w:rsidRDefault="005E335E" w:rsidP="005E335E">
      <w:pPr>
        <w:pStyle w:val="Headingb"/>
      </w:pPr>
    </w:p>
    <w:p w:rsidR="005E335E" w:rsidRPr="00A555C3" w:rsidRDefault="005E335E" w:rsidP="005E335E">
      <w:pPr>
        <w:pStyle w:val="Headingb"/>
      </w:pPr>
      <w:r w:rsidRPr="00A555C3">
        <w:t>Antecedentes</w:t>
      </w:r>
    </w:p>
    <w:p w:rsidR="005E335E" w:rsidRPr="00A555C3" w:rsidRDefault="005E335E" w:rsidP="005E335E">
      <w:r w:rsidRPr="00A555C3">
        <w:t xml:space="preserve">Al buscar espectro nuevo para atribuir al servicio móvil, es necesario proteger el Servicio de Radiodifusión tal como se expresa en la Resolución 233 (CMR-12) en la que se considera </w:t>
      </w:r>
      <w:r>
        <w:t>«</w:t>
      </w:r>
      <w:r w:rsidRPr="00A555C3">
        <w:rPr>
          <w:i/>
        </w:rPr>
        <w:t>m) la necesidad de proteger los servicios existentes a la hora de considerar estas bandas de frecuencias para posibles atribuciones adicionales a otros servicios</w:t>
      </w:r>
      <w:r>
        <w:t>»</w:t>
      </w:r>
      <w:r w:rsidRPr="00A555C3">
        <w:t xml:space="preserve"> ; y reconoce </w:t>
      </w:r>
      <w:r>
        <w:t>«</w:t>
      </w:r>
      <w:r w:rsidRPr="00A555C3">
        <w:rPr>
          <w:i/>
        </w:rPr>
        <w:t>e) la utilización de partes pertinentes del espectro por otros servicios de radiocomunicaciones, muchos de los cuales suponen la realización de grandes inversiones en infraestructuras o aportan notables beneficios sociales, y las necesidades en permanente evolución de dichos servicios</w:t>
      </w:r>
      <w:r>
        <w:t>».</w:t>
      </w:r>
    </w:p>
    <w:p w:rsidR="005E335E" w:rsidRPr="00A555C3" w:rsidRDefault="005E335E" w:rsidP="005E335E">
      <w:r w:rsidRPr="00A555C3">
        <w:t>Con muy pocas excep</w:t>
      </w:r>
      <w:r>
        <w:t>ciones, los países de la Región </w:t>
      </w:r>
      <w:r w:rsidRPr="00A555C3">
        <w:t>2 todavía están debatiendo su primer Dividendo Digital. Algunos países ya están migrando de la tecnología analógica a la digital, otros aún no han iniciado su proceso migratorio.</w:t>
      </w:r>
    </w:p>
    <w:p w:rsidR="005E335E" w:rsidRPr="00A555C3" w:rsidRDefault="005E335E" w:rsidP="005E335E">
      <w:r w:rsidRPr="00A555C3">
        <w:t xml:space="preserve">El segmento restante </w:t>
      </w:r>
      <w:r>
        <w:t>de onda decimétrica – 470 a 698 </w:t>
      </w:r>
      <w:r w:rsidRPr="00A555C3">
        <w:t>MHz – después de la definición y la liberación del dividendo digital será la banda única y esencial disponible para garantizar el futuro de FTA DTTV, mientras que hay muchas otras bandas disponibles para su uso por los servicios móviles de banda ancha.</w:t>
      </w:r>
    </w:p>
    <w:p w:rsidR="005E335E" w:rsidRPr="00A555C3" w:rsidRDefault="005E335E" w:rsidP="005E335E">
      <w:r w:rsidRPr="00A555C3">
        <w:t xml:space="preserve">Las inversiones que la industria de la radiodifusión ha hecho y hará para la digitalización son notables y están sustentadas por un planeamiento de rendimientos a largo plazo. </w:t>
      </w:r>
    </w:p>
    <w:p w:rsidR="005E335E" w:rsidRPr="00A555C3" w:rsidRDefault="005E335E" w:rsidP="005E335E">
      <w:pPr>
        <w:pStyle w:val="Headingb"/>
      </w:pPr>
      <w:r>
        <w:lastRenderedPageBreak/>
        <w:t>Propuestas</w:t>
      </w:r>
    </w:p>
    <w:bookmarkEnd w:id="6"/>
    <w:p w:rsidR="0099725E" w:rsidRDefault="0099725E" w:rsidP="0099725E">
      <w:pPr>
        <w:pStyle w:val="Proposal"/>
      </w:pPr>
      <w:r>
        <w:rPr>
          <w:u w:val="single"/>
        </w:rPr>
        <w:t>NOC</w:t>
      </w:r>
      <w:r>
        <w:tab/>
        <w:t>ARG/B/CHL/CUB/DOM/EQA/GTM/HND/NCG/PNR/PRG/PRU/URG/VEN/101/1</w:t>
      </w:r>
    </w:p>
    <w:p w:rsidR="00F008F3" w:rsidRPr="00245062" w:rsidRDefault="00CC16D1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CC16D1" w:rsidP="00D44B91">
      <w:pPr>
        <w:pStyle w:val="Arttitle"/>
      </w:pPr>
      <w:r w:rsidRPr="00245062">
        <w:t>Atribuciones de frecuencia</w:t>
      </w:r>
    </w:p>
    <w:p w:rsidR="00F008F3" w:rsidRPr="00245062" w:rsidRDefault="00CC16D1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F008F3" w:rsidRPr="00245062" w:rsidRDefault="00CC16D1" w:rsidP="004D72B7">
      <w:pPr>
        <w:pStyle w:val="Tabletitle"/>
      </w:pPr>
      <w:r w:rsidRPr="00245062"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head"/>
              <w:keepLines/>
            </w:pPr>
            <w:r w:rsidRPr="00245062">
              <w:t>Atribución a los servicios</w:t>
            </w:r>
          </w:p>
        </w:tc>
      </w:tr>
      <w:tr w:rsidR="00F008F3" w:rsidRPr="00245062" w:rsidTr="00B93AF3">
        <w:trPr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head"/>
              <w:keepLines/>
            </w:pPr>
            <w:r w:rsidRPr="00245062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head"/>
              <w:keepLines/>
            </w:pPr>
            <w:r w:rsidRPr="00245062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head"/>
              <w:keepLines/>
            </w:pPr>
            <w:r w:rsidRPr="00245062">
              <w:t>Región 3</w:t>
            </w:r>
          </w:p>
        </w:tc>
      </w:tr>
      <w:tr w:rsidR="00F008F3" w:rsidRPr="00245062" w:rsidTr="00B93AF3">
        <w:trPr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keepNext/>
              <w:keepLines/>
              <w:tabs>
                <w:tab w:val="clear" w:pos="2977"/>
                <w:tab w:val="left" w:pos="2991"/>
              </w:tabs>
              <w:spacing w:before="20" w:after="20"/>
              <w:rPr>
                <w:color w:val="000000"/>
              </w:rPr>
            </w:pPr>
            <w:r w:rsidRPr="00245062">
              <w:rPr>
                <w:rStyle w:val="Tablefreq"/>
              </w:rPr>
              <w:t>460-470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CC16D1" w:rsidP="00B93AF3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MÓVIL </w:t>
            </w:r>
            <w:r w:rsidRPr="00245062">
              <w:t xml:space="preserve"> 5.286AA</w:t>
            </w:r>
          </w:p>
          <w:p w:rsidR="00F008F3" w:rsidRPr="00245062" w:rsidRDefault="00CC16D1" w:rsidP="00B93AF3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  <w:spacing w:line="200" w:lineRule="exact"/>
              <w:ind w:left="130"/>
              <w:rPr>
                <w:color w:val="000000"/>
              </w:rPr>
            </w:pPr>
            <w:r w:rsidRPr="00245062">
              <w:rPr>
                <w:color w:val="000000"/>
              </w:rPr>
              <w:tab/>
              <w:t xml:space="preserve">Meteorología por satélite (espacio-Tierra) </w:t>
            </w:r>
          </w:p>
          <w:p w:rsidR="00F008F3" w:rsidRPr="00245062" w:rsidRDefault="00CC16D1" w:rsidP="00B93AF3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9"/>
              </w:tabs>
            </w:pP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5.287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5.288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5.289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5.290</w:t>
            </w:r>
          </w:p>
        </w:tc>
      </w:tr>
      <w:tr w:rsidR="00F008F3" w:rsidRPr="00245062" w:rsidTr="00B93AF3">
        <w:trPr>
          <w:trHeight w:val="1153"/>
          <w:jc w:val="center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470-790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</w:pPr>
            <w:r w:rsidRPr="0071678E">
              <w:rPr>
                <w:rStyle w:val="Artref10pt"/>
              </w:rPr>
              <w:t>5.149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5.291A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5.294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5.296  5.300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5.304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5.306</w:t>
            </w:r>
            <w:r w:rsidRPr="00245062">
              <w:t xml:space="preserve"> </w:t>
            </w:r>
            <w:r w:rsidRPr="0071678E">
              <w:rPr>
                <w:rStyle w:val="Artref10pt"/>
              </w:rPr>
              <w:t xml:space="preserve"> 5.311A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5.312  5.312A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470-512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F008F3" w:rsidRPr="00245062" w:rsidRDefault="00CC16D1" w:rsidP="00B93AF3">
            <w:pPr>
              <w:pStyle w:val="TableTextS5"/>
              <w:spacing w:before="20" w:after="20"/>
            </w:pPr>
            <w:r w:rsidRPr="0071678E">
              <w:rPr>
                <w:rStyle w:val="Artref10pt"/>
              </w:rPr>
              <w:t>5.292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470-585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</w:p>
          <w:p w:rsidR="00F008F3" w:rsidRPr="00245062" w:rsidRDefault="00CC16D1" w:rsidP="00B93AF3">
            <w:pPr>
              <w:pStyle w:val="TableTextS5"/>
              <w:spacing w:before="20" w:after="20"/>
            </w:pPr>
            <w:r w:rsidRPr="0071678E">
              <w:rPr>
                <w:rStyle w:val="Artref10pt"/>
              </w:rPr>
              <w:t>5.291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5.298</w:t>
            </w:r>
          </w:p>
        </w:tc>
      </w:tr>
      <w:tr w:rsidR="00F008F3" w:rsidRPr="00245062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512-608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71678E" w:rsidRDefault="00CC16D1" w:rsidP="00B93AF3">
            <w:pPr>
              <w:pStyle w:val="TableTextS5"/>
              <w:spacing w:before="20" w:after="20"/>
              <w:rPr>
                <w:rStyle w:val="Artref10pt"/>
              </w:rPr>
            </w:pPr>
            <w:r w:rsidRPr="0071678E">
              <w:rPr>
                <w:rStyle w:val="Artref10pt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408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585-610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RADIONAVEGACIÓN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</w:pPr>
            <w:r w:rsidRPr="0071678E">
              <w:rPr>
                <w:rStyle w:val="Artref10pt"/>
              </w:rPr>
              <w:t>5.149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5.305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5.306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5.307</w:t>
            </w:r>
          </w:p>
        </w:tc>
      </w:tr>
      <w:tr w:rsidR="00F008F3" w:rsidRPr="00245062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608-614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RADIOASTRONOMÍA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ind w:left="170" w:hanging="17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>Móvil por satélite salvo móvil</w:t>
            </w:r>
            <w:r w:rsidRPr="00245062">
              <w:rPr>
                <w:color w:val="000000"/>
              </w:rPr>
              <w:br/>
              <w:t>aeronáutico por satélite</w:t>
            </w:r>
            <w:r w:rsidRPr="00245062">
              <w:rPr>
                <w:color w:val="000000"/>
              </w:rPr>
              <w:br/>
              <w:t>(Tierra-espacio)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610-890</w:t>
            </w:r>
          </w:p>
          <w:p w:rsidR="00F008F3" w:rsidRPr="00245062" w:rsidRDefault="00CC16D1" w:rsidP="00B93AF3">
            <w:pPr>
              <w:pStyle w:val="TableTextS5"/>
              <w:spacing w:before="20" w:after="20"/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MÓVIL 5.313A  5.317A</w:t>
            </w:r>
          </w:p>
          <w:p w:rsidR="00F008F3" w:rsidRPr="00245062" w:rsidRDefault="00CC16D1" w:rsidP="00B93AF3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20"/>
          <w:jc w:val="center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614-698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71678E">
              <w:rPr>
                <w:rStyle w:val="Artref10pt"/>
              </w:rPr>
              <w:t>5.293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5.309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270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698-806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 xml:space="preserve">MÓVIL </w:t>
            </w:r>
            <w:r w:rsidRPr="00245062">
              <w:rPr>
                <w:rStyle w:val="Artref"/>
                <w:color w:val="000000"/>
              </w:rPr>
              <w:t>5.313B</w:t>
            </w:r>
            <w:r w:rsidRPr="00245062">
              <w:rPr>
                <w:color w:val="000000"/>
              </w:rPr>
              <w:t xml:space="preserve">  5.317A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71678E">
              <w:rPr>
                <w:rStyle w:val="Artref10pt"/>
              </w:rPr>
              <w:t>5.293</w:t>
            </w:r>
            <w:r w:rsidRPr="00245062">
              <w:t xml:space="preserve">  </w:t>
            </w:r>
            <w:r w:rsidRPr="0071678E">
              <w:rPr>
                <w:rStyle w:val="Artref10pt"/>
              </w:rPr>
              <w:t>5.309</w:t>
            </w:r>
            <w:r w:rsidRPr="00245062">
              <w:t xml:space="preserve"> </w:t>
            </w:r>
            <w:r w:rsidRPr="0071678E">
              <w:rPr>
                <w:rStyle w:val="Artref10pt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32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790-862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MÓVIL salvo móvil aeronáutico 5.316B  5.317A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71678E">
              <w:rPr>
                <w:rStyle w:val="Artref10pt"/>
              </w:rPr>
              <w:t>5.312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5.314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5.315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5.316</w:t>
            </w:r>
            <w:r w:rsidRPr="0071678E">
              <w:rPr>
                <w:rStyle w:val="Artref10pt"/>
              </w:rPr>
              <w:br/>
            </w:r>
            <w:r w:rsidRPr="00245062">
              <w:rPr>
                <w:color w:val="000000"/>
              </w:rPr>
              <w:t>5.316A</w:t>
            </w:r>
            <w:r w:rsidRPr="0071678E">
              <w:rPr>
                <w:rStyle w:val="Artref10pt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1214"/>
          <w:jc w:val="center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t>806-890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MÓVIL 5.317A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</w:rPr>
            </w:pPr>
            <w:r w:rsidRPr="00245062">
              <w:rPr>
                <w:color w:val="000000"/>
              </w:rPr>
              <w:t>RADIODIFUSIÓN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1251"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</w:rPr>
            </w:pPr>
            <w:r w:rsidRPr="00245062">
              <w:rPr>
                <w:rStyle w:val="Tablefreq"/>
              </w:rPr>
              <w:lastRenderedPageBreak/>
              <w:t>862-890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 xml:space="preserve">MÓVIL salvo </w:t>
            </w:r>
            <w:r w:rsidRPr="00245062">
              <w:rPr>
                <w:color w:val="000000"/>
              </w:rPr>
              <w:t>móvil</w:t>
            </w:r>
            <w:r w:rsidRPr="00245062">
              <w:rPr>
                <w:color w:val="000000"/>
              </w:rPr>
              <w:br/>
              <w:t>aeronáutico 5.317A</w:t>
            </w:r>
          </w:p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245062">
              <w:rPr>
                <w:color w:val="000000"/>
              </w:rPr>
              <w:t xml:space="preserve">RADIODIFUSIÓN </w:t>
            </w:r>
            <w:r w:rsidRPr="0071678E">
              <w:rPr>
                <w:rStyle w:val="Artref10pt"/>
              </w:rPr>
              <w:t>5.322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</w:p>
        </w:tc>
      </w:tr>
      <w:tr w:rsidR="00F008F3" w:rsidRPr="00245062" w:rsidTr="00B93AF3">
        <w:trPr>
          <w:trHeight w:val="276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71678E" w:rsidRDefault="00CC16D1" w:rsidP="00B93AF3">
            <w:pPr>
              <w:pStyle w:val="TableTextS5"/>
              <w:spacing w:before="20" w:after="20"/>
              <w:rPr>
                <w:rStyle w:val="Artref10pt"/>
              </w:rPr>
            </w:pPr>
            <w:r w:rsidRPr="0071678E">
              <w:rPr>
                <w:rStyle w:val="Artref10pt"/>
              </w:rPr>
              <w:br/>
              <w:t>5.319  5.323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71678E">
              <w:rPr>
                <w:rStyle w:val="Artref10pt"/>
              </w:rPr>
              <w:br/>
              <w:t>5.317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5.318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C16D1" w:rsidP="00B93AF3">
            <w:pPr>
              <w:pStyle w:val="TableTextS5"/>
            </w:pPr>
            <w:r w:rsidRPr="0071678E">
              <w:rPr>
                <w:rStyle w:val="Artref10pt"/>
              </w:rPr>
              <w:t>5.149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5.305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5.306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5.307</w:t>
            </w:r>
            <w:r w:rsidRPr="0071678E">
              <w:rPr>
                <w:rStyle w:val="Artref10pt"/>
              </w:rPr>
              <w:br/>
              <w:t>5.311A  5.320</w:t>
            </w:r>
          </w:p>
        </w:tc>
      </w:tr>
    </w:tbl>
    <w:p w:rsidR="00CC16D1" w:rsidRDefault="00CC16D1" w:rsidP="00DB58A9">
      <w:pPr>
        <w:pStyle w:val="Reasons"/>
      </w:pPr>
      <w:r>
        <w:rPr>
          <w:b/>
        </w:rPr>
        <w:t>Motivos:</w:t>
      </w:r>
      <w:bookmarkStart w:id="7" w:name="_GoBack"/>
      <w:bookmarkEnd w:id="7"/>
    </w:p>
    <w:p w:rsidR="00DB58A9" w:rsidRPr="00A555C3" w:rsidRDefault="00DB58A9" w:rsidP="00DB58A9">
      <w:pPr>
        <w:pStyle w:val="Reasons"/>
      </w:pPr>
      <w:r w:rsidRPr="00A555C3">
        <w:t>La radiodifusión terrenal forma parte vital de la infraestructura de comunicaciones e información. </w:t>
      </w:r>
    </w:p>
    <w:p w:rsidR="00DB58A9" w:rsidRPr="00A555C3" w:rsidRDefault="00DB58A9" w:rsidP="00DB58A9">
      <w:pPr>
        <w:pStyle w:val="Reasons"/>
      </w:pPr>
      <w:r w:rsidRPr="00A555C3">
        <w:t>Las bandas de fr</w:t>
      </w:r>
      <w:r>
        <w:t>ecuencias 470-608 MHz y 614-698 </w:t>
      </w:r>
      <w:r w:rsidRPr="00A555C3">
        <w:t xml:space="preserve">MHz constituyen las bandas principales para brindar el servicio de radiodifusión de televisión. </w:t>
      </w:r>
    </w:p>
    <w:p w:rsidR="00DB58A9" w:rsidRPr="00A555C3" w:rsidRDefault="00DB58A9" w:rsidP="00DB58A9">
      <w:pPr>
        <w:pStyle w:val="Reasons"/>
      </w:pPr>
      <w:r w:rsidRPr="00A555C3">
        <w:t>Con muy pocas excep</w:t>
      </w:r>
      <w:r>
        <w:t>ciones, los países de la Región </w:t>
      </w:r>
      <w:r w:rsidRPr="00A555C3">
        <w:t xml:space="preserve">2 todavía están debatiendo su primer Dividendo Digital. Algunos países ya están migrando de la tecnología analógica a la digital, otros aún no han iniciado su proceso migratorio. </w:t>
      </w:r>
    </w:p>
    <w:p w:rsidR="00DB58A9" w:rsidRPr="00A555C3" w:rsidRDefault="00DB58A9" w:rsidP="00DB58A9">
      <w:pPr>
        <w:pStyle w:val="Reasons"/>
      </w:pPr>
      <w:r w:rsidRPr="00A555C3">
        <w:t>Una vez concluido el tránsito de la televisión analógica a la digital, estas bandas de frecuencias mantendrán una alta densidad de utilización de este servicio destinado a la población y las mismas seguirán siendo necesarias además para garantizar la evolución y el desarrollo del servicio de radiodifusión para la transmisión de señales de televisión.</w:t>
      </w:r>
    </w:p>
    <w:p w:rsidR="00DB58A9" w:rsidRPr="00A555C3" w:rsidRDefault="00DB58A9" w:rsidP="00DB58A9">
      <w:pPr>
        <w:pStyle w:val="Reasons"/>
      </w:pPr>
      <w:r w:rsidRPr="00A555C3">
        <w:t>Los países que ya han decidido sobre el uso de la banda de 700</w:t>
      </w:r>
      <w:r>
        <w:t> MHz (698-806 </w:t>
      </w:r>
      <w:r w:rsidRPr="00A555C3">
        <w:t>MHz) para banda ancha móvil deberán garantizar la protección del servicio de radiodifusión, incluida la retransmisión, contra posibles señales interferentes, y deberán garantizar además el mismo nivel de cobertura del servicio de radiodifusión, incluida la retransmisión.</w:t>
      </w:r>
    </w:p>
    <w:p w:rsidR="00DB58A9" w:rsidRPr="00A555C3" w:rsidRDefault="00DB58A9" w:rsidP="00DB58A9">
      <w:pPr>
        <w:pStyle w:val="Reasons"/>
      </w:pPr>
      <w:r w:rsidRPr="00A555C3">
        <w:t>Los estudios realizados muestran la incompatibilidad del servicio de radiodifusión y los servicios móviles constituidos por sistemas IMT, destacando que se requieren grandes separaciones geográficas para asegurar la coexistencia de ambos servicios.</w:t>
      </w:r>
    </w:p>
    <w:p w:rsidR="00DB58A9" w:rsidRDefault="00DB58A9" w:rsidP="00DB58A9">
      <w:pPr>
        <w:pStyle w:val="Reasons"/>
      </w:pPr>
      <w:r>
        <w:t>La banda 608-614 </w:t>
      </w:r>
      <w:r w:rsidRPr="00A555C3">
        <w:t>MHz está atribuida a título primario al servicio de Radioastronomía y los requisitos del mismo no permiten su compartición con los servicios móviles de banda ancha.</w:t>
      </w:r>
    </w:p>
    <w:p w:rsidR="00DB58A9" w:rsidRDefault="00DB58A9" w:rsidP="00DB58A9">
      <w:pPr>
        <w:pStyle w:val="Reasons"/>
      </w:pPr>
    </w:p>
    <w:p w:rsidR="00DB58A9" w:rsidRDefault="00DB58A9" w:rsidP="00DB58A9">
      <w:pPr>
        <w:jc w:val="center"/>
      </w:pPr>
      <w:r>
        <w:t>______________</w:t>
      </w:r>
    </w:p>
    <w:sectPr w:rsidR="00DB58A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2014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BC" w:rsidRDefault="001436BC" w:rsidP="001436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P:\ESP\ITU-R\CONF-R\CMR15\100\101V2S.docx</w:t>
    </w:r>
    <w:r>
      <w:fldChar w:fldCharType="end"/>
    </w:r>
    <w:r>
      <w:t xml:space="preserve"> (388750)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BC" w:rsidRDefault="001436BC" w:rsidP="001436B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P:\ESP\ITU-R\CONF-R\CMR15\100\101</w:t>
    </w:r>
    <w:r>
      <w:t>V2</w:t>
    </w:r>
    <w:r>
      <w:t>S.docx</w:t>
    </w:r>
    <w:r>
      <w:fldChar w:fldCharType="end"/>
    </w:r>
    <w:r>
      <w:t xml:space="preserve"> (388750)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16D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36BC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E335E"/>
    <w:rsid w:val="005F2605"/>
    <w:rsid w:val="005F3B0E"/>
    <w:rsid w:val="005F559C"/>
    <w:rsid w:val="00662BA0"/>
    <w:rsid w:val="00692AAE"/>
    <w:rsid w:val="006D6E67"/>
    <w:rsid w:val="006E1A13"/>
    <w:rsid w:val="00701C20"/>
    <w:rsid w:val="00702014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9725E"/>
    <w:rsid w:val="009C0BED"/>
    <w:rsid w:val="009E11EC"/>
    <w:rsid w:val="00A118DB"/>
    <w:rsid w:val="00A4450C"/>
    <w:rsid w:val="00AA5E6C"/>
    <w:rsid w:val="00AE5677"/>
    <w:rsid w:val="00AE658F"/>
    <w:rsid w:val="00AE7F83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C16D1"/>
    <w:rsid w:val="00CD5FEE"/>
    <w:rsid w:val="00CE60D2"/>
    <w:rsid w:val="00CE7431"/>
    <w:rsid w:val="00D0288A"/>
    <w:rsid w:val="00D72A5D"/>
    <w:rsid w:val="00DB58A9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713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CEC6DAC-B3A6-46B1-BB2E-3F513CC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R15-WRC15-C-0101!!MSW-S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C76EF-B999-4D01-ADBC-3A9EDCB3E916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0A2221-ACCA-4CBF-8104-49B2A2B6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R15-WRC15-C-0101!!MSW-S</vt:lpstr>
    </vt:vector>
  </TitlesOfParts>
  <Manager>Secretaría General - Pool</Manager>
  <Company>Unión Internacional de Telecomunicaciones (UIT)</Company>
  <LinksUpToDate>false</LinksUpToDate>
  <CharactersWithSpaces>5225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R15-WRC15-C-0101!!MSW-S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8</cp:revision>
  <cp:lastPrinted>2003-02-19T20:20:00Z</cp:lastPrinted>
  <dcterms:created xsi:type="dcterms:W3CDTF">2015-10-28T10:27:00Z</dcterms:created>
  <dcterms:modified xsi:type="dcterms:W3CDTF">2015-10-28T10:30:00Z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