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B1D82" w:rsidRPr="002A6F8F" w:rsidTr="00DF56A9">
        <w:trPr>
          <w:cantSplit/>
        </w:trPr>
        <w:tc>
          <w:tcPr>
            <w:tcW w:w="6911" w:type="dxa"/>
          </w:tcPr>
          <w:p w:rsidR="00BB1D82" w:rsidRPr="00930FFD" w:rsidRDefault="00851625" w:rsidP="002A6F8F">
            <w:pPr>
              <w:spacing w:before="400" w:after="48" w:line="240" w:lineRule="atLeast"/>
              <w:rPr>
                <w:rFonts w:ascii="Verdana" w:hAnsi="Verdana"/>
                <w:b/>
                <w:bCs/>
                <w:sz w:val="20"/>
                <w:lang w:val="fr-CH"/>
              </w:rPr>
            </w:pPr>
            <w:bookmarkStart w:id="0" w:name="_GoBack"/>
            <w:bookmarkEnd w:id="0"/>
            <w:r>
              <w:rPr>
                <w:rFonts w:ascii="Verdana" w:hAnsi="Verdana"/>
                <w:b/>
                <w:bCs/>
                <w:sz w:val="20"/>
                <w:lang w:val="fr-CH"/>
              </w:rPr>
              <w:t>Conférence mondiale des radiocommunications (CMR-15)</w:t>
            </w:r>
            <w:r w:rsidRPr="00930FFD">
              <w:rPr>
                <w:rFonts w:ascii="Verdana" w:hAnsi="Verdana"/>
                <w:b/>
                <w:bCs/>
                <w:sz w:val="20"/>
                <w:lang w:val="fr-CH"/>
              </w:rPr>
              <w:br/>
            </w:r>
            <w:r w:rsidRPr="00930FFD">
              <w:rPr>
                <w:rFonts w:ascii="Verdana" w:hAnsi="Verdana"/>
                <w:b/>
                <w:bCs/>
                <w:sz w:val="18"/>
                <w:szCs w:val="18"/>
                <w:lang w:val="fr-CH"/>
              </w:rPr>
              <w:t>Genève,</w:t>
            </w:r>
            <w:r w:rsidR="00E537FF">
              <w:rPr>
                <w:rFonts w:ascii="Verdana" w:hAnsi="Verdana"/>
                <w:b/>
                <w:bCs/>
                <w:sz w:val="18"/>
                <w:szCs w:val="18"/>
                <w:lang w:val="fr-CH"/>
              </w:rPr>
              <w:t xml:space="preserve"> </w:t>
            </w:r>
            <w:r w:rsidRPr="00930FFD">
              <w:rPr>
                <w:rFonts w:ascii="Verdana" w:hAnsi="Verdana"/>
                <w:b/>
                <w:bCs/>
                <w:sz w:val="18"/>
                <w:szCs w:val="18"/>
                <w:lang w:val="fr-CH"/>
              </w:rPr>
              <w:t>2-27 novembre 2015</w:t>
            </w:r>
          </w:p>
        </w:tc>
        <w:tc>
          <w:tcPr>
            <w:tcW w:w="3120" w:type="dxa"/>
          </w:tcPr>
          <w:p w:rsidR="00BB1D82" w:rsidRPr="002A6F8F" w:rsidRDefault="002C28A4" w:rsidP="002C28A4">
            <w:pPr>
              <w:spacing w:before="0" w:line="240" w:lineRule="atLeast"/>
              <w:jc w:val="right"/>
              <w:rPr>
                <w:lang w:val="en-US"/>
              </w:rPr>
            </w:pPr>
            <w:bookmarkStart w:id="1" w:name="ditulogo"/>
            <w:bookmarkEnd w:id="1"/>
            <w:r>
              <w:rPr>
                <w:noProof/>
                <w:lang w:val="en-US" w:eastAsia="zh-CN"/>
              </w:rPr>
              <w:drawing>
                <wp:inline distT="0" distB="0" distL="0" distR="0" wp14:anchorId="4EDCAEED" wp14:editId="032F8E9F">
                  <wp:extent cx="1247775" cy="935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BB1D82" w:rsidRPr="002A6F8F" w:rsidTr="00DF56A9">
        <w:trPr>
          <w:cantSplit/>
        </w:trPr>
        <w:tc>
          <w:tcPr>
            <w:tcW w:w="6911" w:type="dxa"/>
            <w:tcBorders>
              <w:bottom w:val="single" w:sz="12" w:space="0" w:color="auto"/>
            </w:tcBorders>
          </w:tcPr>
          <w:p w:rsidR="00BB1D82" w:rsidRPr="002A6F8F" w:rsidRDefault="002C28A4" w:rsidP="00BB1D82">
            <w:pPr>
              <w:spacing w:before="0" w:after="48" w:line="240" w:lineRule="atLeast"/>
              <w:rPr>
                <w:b/>
                <w:smallCaps/>
                <w:szCs w:val="24"/>
                <w:lang w:val="en-US"/>
              </w:rPr>
            </w:pPr>
            <w:bookmarkStart w:id="2" w:name="dhead"/>
            <w:r w:rsidRPr="00BB51CC">
              <w:rPr>
                <w:rFonts w:ascii="Verdana" w:hAnsi="Verdana"/>
                <w:b/>
                <w:bCs/>
                <w:sz w:val="20"/>
              </w:rPr>
              <w:t>UNION INTERNATIONALE DES T</w:t>
            </w:r>
            <w:r>
              <w:rPr>
                <w:rFonts w:ascii="Verdana" w:hAnsi="Verdana"/>
                <w:b/>
                <w:bCs/>
                <w:sz w:val="20"/>
              </w:rPr>
              <w:t>É</w:t>
            </w:r>
            <w:r w:rsidRPr="00BB51CC">
              <w:rPr>
                <w:rFonts w:ascii="Verdana" w:hAnsi="Verdana"/>
                <w:b/>
                <w:bCs/>
                <w:sz w:val="20"/>
              </w:rPr>
              <w:t>L</w:t>
            </w:r>
            <w:r>
              <w:rPr>
                <w:rFonts w:ascii="Verdana" w:hAnsi="Verdana"/>
                <w:b/>
                <w:bCs/>
                <w:sz w:val="20"/>
              </w:rPr>
              <w:t>É</w:t>
            </w:r>
            <w:r w:rsidRPr="00BB51CC">
              <w:rPr>
                <w:rFonts w:ascii="Verdana" w:hAnsi="Verdana"/>
                <w:b/>
                <w:bCs/>
                <w:sz w:val="20"/>
              </w:rPr>
              <w:t>COMMUNICATIONS</w:t>
            </w:r>
          </w:p>
        </w:tc>
        <w:tc>
          <w:tcPr>
            <w:tcW w:w="3120" w:type="dxa"/>
            <w:tcBorders>
              <w:bottom w:val="single" w:sz="12" w:space="0" w:color="auto"/>
            </w:tcBorders>
          </w:tcPr>
          <w:p w:rsidR="00BB1D82" w:rsidRPr="002A6F8F" w:rsidRDefault="00BB1D82" w:rsidP="00BB1D82">
            <w:pPr>
              <w:spacing w:before="0" w:line="240" w:lineRule="atLeast"/>
              <w:rPr>
                <w:rFonts w:ascii="Verdana" w:hAnsi="Verdana"/>
                <w:szCs w:val="24"/>
                <w:lang w:val="en-US"/>
              </w:rPr>
            </w:pPr>
          </w:p>
        </w:tc>
      </w:tr>
      <w:tr w:rsidR="00BB1D82" w:rsidRPr="002A6F8F" w:rsidTr="00BB1D82">
        <w:trPr>
          <w:cantSplit/>
        </w:trPr>
        <w:tc>
          <w:tcPr>
            <w:tcW w:w="6911" w:type="dxa"/>
            <w:tcBorders>
              <w:top w:val="single" w:sz="12" w:space="0" w:color="auto"/>
            </w:tcBorders>
          </w:tcPr>
          <w:p w:rsidR="00BB1D82" w:rsidRPr="002A6F8F" w:rsidRDefault="00BB1D82" w:rsidP="00BB1D82">
            <w:pPr>
              <w:spacing w:before="0" w:after="48" w:line="240" w:lineRule="atLeast"/>
              <w:rPr>
                <w:rFonts w:ascii="Verdana" w:hAnsi="Verdana"/>
                <w:b/>
                <w:smallCaps/>
                <w:sz w:val="20"/>
                <w:lang w:val="en-US"/>
              </w:rPr>
            </w:pPr>
          </w:p>
        </w:tc>
        <w:tc>
          <w:tcPr>
            <w:tcW w:w="3120" w:type="dxa"/>
            <w:tcBorders>
              <w:top w:val="single" w:sz="12" w:space="0" w:color="auto"/>
            </w:tcBorders>
          </w:tcPr>
          <w:p w:rsidR="00BB1D82" w:rsidRPr="002A6F8F" w:rsidRDefault="00BB1D82" w:rsidP="00BB1D82">
            <w:pPr>
              <w:spacing w:before="0" w:line="240" w:lineRule="atLeast"/>
              <w:rPr>
                <w:rFonts w:ascii="Verdana" w:hAnsi="Verdana"/>
                <w:sz w:val="20"/>
                <w:lang w:val="en-US"/>
              </w:rPr>
            </w:pPr>
          </w:p>
        </w:tc>
      </w:tr>
      <w:tr w:rsidR="00BB1D82" w:rsidRPr="002A6F8F" w:rsidTr="00BB1D82">
        <w:trPr>
          <w:cantSplit/>
        </w:trPr>
        <w:tc>
          <w:tcPr>
            <w:tcW w:w="6911" w:type="dxa"/>
            <w:shd w:val="clear" w:color="auto" w:fill="auto"/>
          </w:tcPr>
          <w:p w:rsidR="00BB1D82" w:rsidRPr="00930FFD" w:rsidRDefault="006D4724" w:rsidP="00BA5BD0">
            <w:pPr>
              <w:spacing w:before="0"/>
              <w:rPr>
                <w:rFonts w:ascii="Verdana" w:hAnsi="Verdana"/>
                <w:b/>
                <w:sz w:val="20"/>
                <w:lang w:val="en-US"/>
              </w:rPr>
            </w:pPr>
            <w:r w:rsidRPr="00930FFD">
              <w:rPr>
                <w:rFonts w:ascii="Verdana" w:hAnsi="Verdana"/>
                <w:b/>
                <w:sz w:val="20"/>
                <w:lang w:val="en-US"/>
              </w:rPr>
              <w:t>SÉANCE PLÉNIÈRE</w:t>
            </w:r>
          </w:p>
        </w:tc>
        <w:tc>
          <w:tcPr>
            <w:tcW w:w="3120" w:type="dxa"/>
            <w:shd w:val="clear" w:color="auto" w:fill="auto"/>
          </w:tcPr>
          <w:p w:rsidR="00BB1D82" w:rsidRPr="002A6F8F" w:rsidRDefault="006D4724" w:rsidP="00BA5BD0">
            <w:pPr>
              <w:spacing w:before="0"/>
              <w:rPr>
                <w:rFonts w:ascii="Verdana" w:hAnsi="Verdana"/>
                <w:sz w:val="20"/>
                <w:lang w:val="en-US"/>
              </w:rPr>
            </w:pPr>
            <w:r>
              <w:rPr>
                <w:rFonts w:ascii="Verdana" w:eastAsia="SimSun" w:hAnsi="Verdana" w:cs="Traditional Arabic"/>
                <w:b/>
                <w:sz w:val="20"/>
                <w:lang w:val="en-US"/>
              </w:rPr>
              <w:t>Document 90</w:t>
            </w:r>
            <w:r w:rsidR="00BB1D82" w:rsidRPr="002A6F8F">
              <w:rPr>
                <w:rFonts w:ascii="Verdana" w:hAnsi="Verdana"/>
                <w:b/>
                <w:sz w:val="20"/>
                <w:lang w:val="en-US"/>
              </w:rPr>
              <w:t>-</w:t>
            </w:r>
            <w:r w:rsidRPr="002A6F8F">
              <w:rPr>
                <w:rFonts w:ascii="Verdana" w:hAnsi="Verdana"/>
                <w:b/>
                <w:sz w:val="20"/>
                <w:lang w:val="en-US"/>
              </w:rPr>
              <w:t>F</w:t>
            </w:r>
          </w:p>
        </w:tc>
      </w:tr>
      <w:bookmarkEnd w:id="2"/>
      <w:tr w:rsidR="00690C7B" w:rsidRPr="002A6F8F" w:rsidTr="00BB1D82">
        <w:trPr>
          <w:cantSplit/>
        </w:trPr>
        <w:tc>
          <w:tcPr>
            <w:tcW w:w="6911" w:type="dxa"/>
            <w:shd w:val="clear" w:color="auto" w:fill="auto"/>
          </w:tcPr>
          <w:p w:rsidR="00690C7B" w:rsidRPr="00930FFD" w:rsidRDefault="00690C7B" w:rsidP="00BA5BD0">
            <w:pPr>
              <w:spacing w:before="0"/>
              <w:rPr>
                <w:rFonts w:ascii="Verdana" w:hAnsi="Verdana"/>
                <w:b/>
                <w:sz w:val="20"/>
                <w:lang w:val="en-US"/>
              </w:rPr>
            </w:pPr>
          </w:p>
        </w:tc>
        <w:tc>
          <w:tcPr>
            <w:tcW w:w="3120" w:type="dxa"/>
            <w:shd w:val="clear" w:color="auto" w:fill="auto"/>
          </w:tcPr>
          <w:p w:rsidR="00690C7B" w:rsidRPr="002A6F8F" w:rsidRDefault="00690C7B" w:rsidP="00BA5BD0">
            <w:pPr>
              <w:spacing w:before="0"/>
              <w:rPr>
                <w:rFonts w:ascii="Verdana" w:hAnsi="Verdana"/>
                <w:b/>
                <w:sz w:val="20"/>
                <w:lang w:val="en-US"/>
              </w:rPr>
            </w:pPr>
            <w:r w:rsidRPr="002A6F8F">
              <w:rPr>
                <w:rFonts w:ascii="Verdana" w:hAnsi="Verdana"/>
                <w:b/>
                <w:sz w:val="20"/>
                <w:lang w:val="en-US"/>
              </w:rPr>
              <w:t>16 octobre 2015</w:t>
            </w:r>
          </w:p>
        </w:tc>
      </w:tr>
      <w:tr w:rsidR="00690C7B" w:rsidRPr="002A6F8F" w:rsidTr="00BB1D82">
        <w:trPr>
          <w:cantSplit/>
        </w:trPr>
        <w:tc>
          <w:tcPr>
            <w:tcW w:w="6911" w:type="dxa"/>
          </w:tcPr>
          <w:p w:rsidR="00690C7B" w:rsidRPr="002A6F8F" w:rsidRDefault="00690C7B" w:rsidP="00BA5BD0">
            <w:pPr>
              <w:spacing w:before="0" w:after="48"/>
              <w:rPr>
                <w:rFonts w:ascii="Verdana" w:hAnsi="Verdana"/>
                <w:b/>
                <w:smallCaps/>
                <w:sz w:val="20"/>
                <w:lang w:val="en-US"/>
              </w:rPr>
            </w:pPr>
          </w:p>
        </w:tc>
        <w:tc>
          <w:tcPr>
            <w:tcW w:w="3120" w:type="dxa"/>
          </w:tcPr>
          <w:p w:rsidR="00690C7B" w:rsidRPr="002A6F8F" w:rsidRDefault="00690C7B" w:rsidP="00BA5BD0">
            <w:pPr>
              <w:spacing w:before="0"/>
              <w:rPr>
                <w:rFonts w:ascii="Verdana" w:hAnsi="Verdana"/>
                <w:b/>
                <w:sz w:val="20"/>
                <w:lang w:val="en-US"/>
              </w:rPr>
            </w:pPr>
            <w:r w:rsidRPr="002A6F8F">
              <w:rPr>
                <w:rFonts w:ascii="Verdana" w:hAnsi="Verdana"/>
                <w:b/>
                <w:sz w:val="20"/>
                <w:lang w:val="en-US"/>
              </w:rPr>
              <w:t>Original: français</w:t>
            </w:r>
          </w:p>
        </w:tc>
      </w:tr>
      <w:tr w:rsidR="00690C7B" w:rsidRPr="002A6F8F" w:rsidTr="00DF56A9">
        <w:trPr>
          <w:cantSplit/>
        </w:trPr>
        <w:tc>
          <w:tcPr>
            <w:tcW w:w="10031" w:type="dxa"/>
            <w:gridSpan w:val="2"/>
          </w:tcPr>
          <w:p w:rsidR="00690C7B" w:rsidRPr="002A6F8F" w:rsidRDefault="00690C7B" w:rsidP="00BA5BD0">
            <w:pPr>
              <w:spacing w:before="0"/>
              <w:rPr>
                <w:rFonts w:ascii="Verdana" w:hAnsi="Verdana"/>
                <w:b/>
                <w:sz w:val="20"/>
                <w:lang w:val="en-US"/>
              </w:rPr>
            </w:pPr>
          </w:p>
        </w:tc>
      </w:tr>
      <w:tr w:rsidR="00690C7B" w:rsidRPr="002A6F8F" w:rsidTr="00DF56A9">
        <w:trPr>
          <w:cantSplit/>
        </w:trPr>
        <w:tc>
          <w:tcPr>
            <w:tcW w:w="10031" w:type="dxa"/>
            <w:gridSpan w:val="2"/>
          </w:tcPr>
          <w:p w:rsidR="00690C7B" w:rsidRPr="002A6F8F" w:rsidRDefault="00690C7B" w:rsidP="00690C7B">
            <w:pPr>
              <w:pStyle w:val="Source"/>
              <w:rPr>
                <w:lang w:val="en-US"/>
              </w:rPr>
            </w:pPr>
            <w:bookmarkStart w:id="3" w:name="dsource" w:colFirst="0" w:colLast="0"/>
            <w:r w:rsidRPr="002A6F8F">
              <w:rPr>
                <w:lang w:val="en-US"/>
              </w:rPr>
              <w:t>France</w:t>
            </w:r>
          </w:p>
        </w:tc>
      </w:tr>
      <w:tr w:rsidR="00690C7B" w:rsidRPr="002A6F8F" w:rsidTr="00DF56A9">
        <w:trPr>
          <w:cantSplit/>
        </w:trPr>
        <w:tc>
          <w:tcPr>
            <w:tcW w:w="10031" w:type="dxa"/>
            <w:gridSpan w:val="2"/>
          </w:tcPr>
          <w:p w:rsidR="00690C7B" w:rsidRPr="002F19CA" w:rsidRDefault="00690C7B" w:rsidP="00690C7B">
            <w:pPr>
              <w:pStyle w:val="Title1"/>
              <w:rPr>
                <w:lang w:val="fr-CH"/>
              </w:rPr>
            </w:pPr>
            <w:bookmarkStart w:id="4" w:name="dtitle1" w:colFirst="0" w:colLast="0"/>
            <w:bookmarkEnd w:id="3"/>
            <w:r w:rsidRPr="002F19CA">
              <w:rPr>
                <w:lang w:val="fr-CH"/>
              </w:rPr>
              <w:t>Propositions pour les travaux de la conférence</w:t>
            </w:r>
          </w:p>
        </w:tc>
      </w:tr>
      <w:tr w:rsidR="00690C7B" w:rsidRPr="002A6F8F" w:rsidTr="00DF56A9">
        <w:trPr>
          <w:cantSplit/>
        </w:trPr>
        <w:tc>
          <w:tcPr>
            <w:tcW w:w="10031" w:type="dxa"/>
            <w:gridSpan w:val="2"/>
          </w:tcPr>
          <w:p w:rsidR="00690C7B" w:rsidRPr="002F19CA" w:rsidRDefault="00690C7B" w:rsidP="00690C7B">
            <w:pPr>
              <w:pStyle w:val="Title2"/>
              <w:rPr>
                <w:lang w:val="fr-CH"/>
              </w:rPr>
            </w:pPr>
            <w:bookmarkStart w:id="5" w:name="dtitle2" w:colFirst="0" w:colLast="0"/>
            <w:bookmarkEnd w:id="4"/>
          </w:p>
        </w:tc>
      </w:tr>
      <w:tr w:rsidR="00690C7B" w:rsidTr="00DF56A9">
        <w:trPr>
          <w:cantSplit/>
        </w:trPr>
        <w:tc>
          <w:tcPr>
            <w:tcW w:w="10031" w:type="dxa"/>
            <w:gridSpan w:val="2"/>
          </w:tcPr>
          <w:p w:rsidR="00690C7B" w:rsidRDefault="00690C7B" w:rsidP="00690C7B">
            <w:pPr>
              <w:pStyle w:val="Agendaitem"/>
            </w:pPr>
            <w:bookmarkStart w:id="6" w:name="dtitle3" w:colFirst="0" w:colLast="0"/>
            <w:bookmarkEnd w:id="5"/>
            <w:r w:rsidRPr="006D4724">
              <w:t>Point 1.5 de l'ordre du jour</w:t>
            </w:r>
          </w:p>
        </w:tc>
      </w:tr>
    </w:tbl>
    <w:bookmarkEnd w:id="6"/>
    <w:p w:rsidR="00DF56A9" w:rsidRPr="004510CB" w:rsidRDefault="00DF56A9" w:rsidP="00DF56A9">
      <w:pPr>
        <w:rPr>
          <w:lang w:val="fr-CA"/>
        </w:rPr>
      </w:pPr>
      <w:r w:rsidRPr="004510CB">
        <w:rPr>
          <w:lang w:val="fr-CA"/>
        </w:rPr>
        <w:t>1.5</w:t>
      </w:r>
      <w:r w:rsidRPr="004510CB">
        <w:rPr>
          <w:lang w:val="fr-CA"/>
        </w:rPr>
        <w:tab/>
        <w:t xml:space="preserve">examiner l'utilisation des bandes de fréquences attribuées au service fixe par satellite qui ne relèvent pas des Appendices </w:t>
      </w:r>
      <w:r w:rsidRPr="00B2618F">
        <w:rPr>
          <w:b/>
          <w:bCs/>
          <w:lang w:val="fr-CA"/>
        </w:rPr>
        <w:t>30</w:t>
      </w:r>
      <w:r w:rsidRPr="004510CB">
        <w:rPr>
          <w:lang w:val="fr-CA"/>
        </w:rPr>
        <w:t xml:space="preserve">, </w:t>
      </w:r>
      <w:r w:rsidRPr="00B2618F">
        <w:rPr>
          <w:b/>
          <w:bCs/>
          <w:lang w:val="fr-CA"/>
        </w:rPr>
        <w:t>30A</w:t>
      </w:r>
      <w:r w:rsidRPr="004510CB">
        <w:rPr>
          <w:lang w:val="fr-CA"/>
        </w:rPr>
        <w:t xml:space="preserve"> et </w:t>
      </w:r>
      <w:r w:rsidRPr="00B2618F">
        <w:rPr>
          <w:b/>
          <w:bCs/>
          <w:lang w:val="fr-CA"/>
        </w:rPr>
        <w:t>30B</w:t>
      </w:r>
      <w:r w:rsidRPr="004510CB">
        <w:rPr>
          <w:lang w:val="fr-CA"/>
        </w:rPr>
        <w:t xml:space="preserve"> pour les communications de contrôle et non associées à la charge utile des systèmes d'aéronef sans pilote (UAS) dans les espaces aériens non réservés, conformément à la Résolution </w:t>
      </w:r>
      <w:r w:rsidRPr="00B2618F">
        <w:rPr>
          <w:b/>
          <w:bCs/>
          <w:lang w:val="fr-CA"/>
        </w:rPr>
        <w:t>153 (CMR-12)</w:t>
      </w:r>
      <w:r w:rsidRPr="004510CB">
        <w:rPr>
          <w:lang w:val="fr-CA"/>
        </w:rPr>
        <w:t>;</w:t>
      </w:r>
    </w:p>
    <w:p w:rsidR="002F19CA" w:rsidRPr="00592005" w:rsidRDefault="002F19CA" w:rsidP="002F19CA">
      <w:pPr>
        <w:pStyle w:val="Headingb"/>
        <w:rPr>
          <w:lang w:val="fr-CH"/>
        </w:rPr>
      </w:pPr>
      <w:r w:rsidRPr="00592005">
        <w:rPr>
          <w:lang w:val="fr-CH"/>
        </w:rPr>
        <w:t>Introduction</w:t>
      </w:r>
    </w:p>
    <w:p w:rsidR="002F19CA" w:rsidRDefault="002F19CA" w:rsidP="002F19CA">
      <w:pPr>
        <w:rPr>
          <w:lang w:val="fr-CH"/>
        </w:rPr>
      </w:pPr>
      <w:r>
        <w:rPr>
          <w:lang w:val="fr-CH"/>
        </w:rPr>
        <w:t xml:space="preserve">La Résolution </w:t>
      </w:r>
      <w:r w:rsidRPr="006D4276">
        <w:rPr>
          <w:b/>
          <w:lang w:val="fr-CH"/>
        </w:rPr>
        <w:t xml:space="preserve">153 (CMR-12) </w:t>
      </w:r>
      <w:r>
        <w:rPr>
          <w:lang w:val="fr-CH"/>
        </w:rPr>
        <w:t>indique en reconnaissant que:</w:t>
      </w:r>
    </w:p>
    <w:p w:rsidR="002F19CA" w:rsidRDefault="002F19CA" w:rsidP="007B7B2C">
      <w:r>
        <w:rPr>
          <w:lang w:val="fr-CH"/>
        </w:rPr>
        <w:t>« </w:t>
      </w:r>
      <w:r>
        <w:rPr>
          <w:i/>
          <w:iCs/>
        </w:rPr>
        <w:t>f)</w:t>
      </w:r>
      <w:r>
        <w:tab/>
        <w:t>que l'utilisation du SFS pour les liaisons CNPC des systèmes UAS, y compris mais non exclusivement les liaisons entre un satellite géostationnaire et les éléments mobiles des systèmes UAS, doit garantir la pro</w:t>
      </w:r>
      <w:r w:rsidR="003E605C">
        <w:t>tection des services existants</w:t>
      </w:r>
      <w:r>
        <w:t>»</w:t>
      </w:r>
      <w:r w:rsidR="007B7B2C">
        <w:t>.</w:t>
      </w:r>
    </w:p>
    <w:p w:rsidR="002F19CA" w:rsidRDefault="002F19CA" w:rsidP="002F19CA">
      <w:pPr>
        <w:pStyle w:val="Reasons"/>
      </w:pPr>
      <w:r>
        <w:rPr>
          <w:lang w:val="fr-CH"/>
        </w:rPr>
        <w:t xml:space="preserve">Ainsi, en l’absence de rapport validé par l’UIT-R sur ce sujet et en cas d’accord sur les autres dispositions requises pour permettre l’autorisation des liaisons du SFS </w:t>
      </w:r>
      <w:r w:rsidRPr="00A97C5B">
        <w:rPr>
          <w:lang w:val="fr-CH"/>
        </w:rPr>
        <w:t xml:space="preserve">pour les communications de contrôle et non associées à la charge utile </w:t>
      </w:r>
      <w:r>
        <w:rPr>
          <w:lang w:val="fr-CH"/>
        </w:rPr>
        <w:t xml:space="preserve">des drones </w:t>
      </w:r>
      <w:r w:rsidRPr="00333B7E">
        <w:rPr>
          <w:lang w:val="fr-CH"/>
        </w:rPr>
        <w:t>dans les espaces aériens non réservés</w:t>
      </w:r>
      <w:r>
        <w:rPr>
          <w:lang w:val="fr-CH"/>
        </w:rPr>
        <w:t>,  la présente contribution a pour objet de fournir une proposition de dispositions techniques relatives à la protection du service fixe dans le cadre du point de l’ordre du jour 1.5 de la CMR-15.</w:t>
      </w:r>
      <w:r w:rsidRPr="009B3646">
        <w:t xml:space="preserve"> </w:t>
      </w:r>
      <w:r>
        <w:t>La section «Propositions» présente les masques de densité de puissance surfacique à la surface de la Terre à respecter par les drones communiquant avec un satellite du SFS, pour protéger les stations de réception du service fixe tandis que l’Annexe du document présente les hypothèses et la méthodologie utilisées pour obtenir ces masques ainsi que des résultats de simulations justifiant ces derniers au regard des critères de protection court et long termes du service fixe.</w:t>
      </w:r>
    </w:p>
    <w:p w:rsidR="002F19CA" w:rsidRPr="00592005" w:rsidRDefault="002F19CA" w:rsidP="002F19CA">
      <w:pPr>
        <w:pStyle w:val="Headingb"/>
        <w:rPr>
          <w:lang w:val="fr-CH"/>
        </w:rPr>
      </w:pPr>
      <w:r>
        <w:rPr>
          <w:lang w:val="fr-CH"/>
        </w:rPr>
        <w:t>Propositions</w:t>
      </w:r>
    </w:p>
    <w:p w:rsidR="002F19CA" w:rsidRDefault="002F19CA" w:rsidP="002F19CA">
      <w:pPr>
        <w:rPr>
          <w:szCs w:val="24"/>
          <w:lang w:val="fr-CH"/>
        </w:rPr>
      </w:pPr>
      <w:r>
        <w:t xml:space="preserve">Pour </w:t>
      </w:r>
      <w:r w:rsidRPr="00B2289F">
        <w:rPr>
          <w:szCs w:val="24"/>
          <w:lang w:val="fr-CH"/>
        </w:rPr>
        <w:t xml:space="preserve">assurer la protection du service fixe vis-à-vis </w:t>
      </w:r>
      <w:r>
        <w:rPr>
          <w:szCs w:val="24"/>
          <w:lang w:val="fr-CH"/>
        </w:rPr>
        <w:t>d’une é</w:t>
      </w:r>
      <w:r w:rsidRPr="00B2289F">
        <w:rPr>
          <w:szCs w:val="24"/>
          <w:lang w:val="fr-CH"/>
        </w:rPr>
        <w:t xml:space="preserve">mission d’un drone communicant avec un satellite, </w:t>
      </w:r>
      <w:r>
        <w:rPr>
          <w:szCs w:val="24"/>
          <w:lang w:val="fr-CH"/>
        </w:rPr>
        <w:t xml:space="preserve">les propositions consistent à demander le respect des </w:t>
      </w:r>
      <w:r w:rsidRPr="00B2289F">
        <w:rPr>
          <w:szCs w:val="24"/>
          <w:lang w:val="fr-CH"/>
        </w:rPr>
        <w:t xml:space="preserve">dispositions techniques suivantes dans les bandes de fréquences candidates pour les drones et utilisées également par le service </w:t>
      </w:r>
      <w:r>
        <w:rPr>
          <w:szCs w:val="24"/>
          <w:lang w:val="fr-CH"/>
        </w:rPr>
        <w:t>fixe en co-primaire avec le SFS.</w:t>
      </w:r>
    </w:p>
    <w:p w:rsidR="003A583E" w:rsidRDefault="003E605C" w:rsidP="00786598">
      <w:r>
        <w:lastRenderedPageBreak/>
        <w:t xml:space="preserve">Les propositions contenues dans le présent document, ont pour but de s’intégrer dans la contribution multi pays référencée </w:t>
      </w:r>
      <w:r w:rsidRPr="003E605C">
        <w:t>[XXX]</w:t>
      </w:r>
      <w:r>
        <w:t xml:space="preserve"> au niveau de l’annexe définissant les limites de pfd à respecter par les stations terriennes.</w:t>
      </w:r>
    </w:p>
    <w:p w:rsidR="003E605C" w:rsidRPr="003E605C" w:rsidRDefault="00DF56A9" w:rsidP="003E605C">
      <w:pPr>
        <w:pStyle w:val="Proposal"/>
        <w:rPr>
          <w:rStyle w:val="Artdef"/>
          <w:rFonts w:hAnsi="Times New Roman Bold"/>
          <w:b/>
        </w:rPr>
      </w:pPr>
      <w:r>
        <w:tab/>
        <w:t>F/90/1</w:t>
      </w:r>
    </w:p>
    <w:p w:rsidR="003E605C" w:rsidRPr="00B2289F" w:rsidRDefault="003E605C" w:rsidP="00603B32">
      <w:pPr>
        <w:rPr>
          <w:lang w:val="fr-CH"/>
        </w:rPr>
      </w:pPr>
      <w:r w:rsidRPr="00B2289F">
        <w:rPr>
          <w:lang w:val="fr-CH"/>
        </w:rPr>
        <w:t>Dans la</w:t>
      </w:r>
      <w:r>
        <w:rPr>
          <w:lang w:val="fr-CH"/>
        </w:rPr>
        <w:t xml:space="preserve"> </w:t>
      </w:r>
      <w:r w:rsidRPr="00B2289F">
        <w:rPr>
          <w:lang w:val="fr-CH"/>
        </w:rPr>
        <w:t>bande de fréquence 14-14,5</w:t>
      </w:r>
      <w:r>
        <w:rPr>
          <w:lang w:val="fr-CH"/>
        </w:rPr>
        <w:t xml:space="preserve"> </w:t>
      </w:r>
      <w:r w:rsidRPr="00B2289F">
        <w:rPr>
          <w:lang w:val="fr-CH"/>
        </w:rPr>
        <w:t xml:space="preserve">GHz utilisée par les réseaux du service fixe, en visibilité directe du territoire d’une administration où les réseaux du service fixe fonctionnent dans cette bande, la puissance surfacique produite à la surface de la Terre par les émissions d’une </w:t>
      </w:r>
      <w:r>
        <w:rPr>
          <w:lang w:val="fr-CH"/>
        </w:rPr>
        <w:t xml:space="preserve">seule </w:t>
      </w:r>
      <w:r w:rsidRPr="00B2289F">
        <w:rPr>
          <w:lang w:val="fr-CH"/>
        </w:rPr>
        <w:t>station embarquée par un drone et opérée dans le service fixe par sa</w:t>
      </w:r>
      <w:r w:rsidR="00DF56A9">
        <w:rPr>
          <w:lang w:val="fr-CH"/>
        </w:rPr>
        <w:t>tellite ne devrait pas dépasser</w:t>
      </w:r>
      <w:r w:rsidRPr="00B2289F">
        <w:rPr>
          <w:lang w:val="fr-CH"/>
        </w:rPr>
        <w:t>:</w:t>
      </w:r>
    </w:p>
    <w:p w:rsidR="007B7B2C" w:rsidRPr="007B7B2C" w:rsidRDefault="007B7B2C" w:rsidP="007B7B2C">
      <w:pPr>
        <w:pStyle w:val="enumlev1"/>
        <w:rPr>
          <w:snapToGrid w:val="0"/>
          <w:lang w:val="fr-CH"/>
        </w:rPr>
      </w:pPr>
      <w:r w:rsidRPr="007B7B2C">
        <w:rPr>
          <w:snapToGrid w:val="0"/>
          <w:lang w:val="fr-CH"/>
        </w:rPr>
        <w:t>–124</w:t>
      </w:r>
      <w:r w:rsidRPr="007B7B2C">
        <w:rPr>
          <w:snapToGrid w:val="0"/>
          <w:lang w:val="fr-CH"/>
        </w:rPr>
        <w:tab/>
      </w:r>
      <w:r w:rsidRPr="007B7B2C">
        <w:rPr>
          <w:snapToGrid w:val="0"/>
          <w:lang w:val="fr-CH"/>
        </w:rPr>
        <w:tab/>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          </w:t>
      </w:r>
      <w:r w:rsidRPr="0063240D">
        <w:rPr>
          <w:snapToGrid w:val="0"/>
        </w:rPr>
        <w:t>θ</w:t>
      </w:r>
      <w:r w:rsidRPr="007B7B2C">
        <w:rPr>
          <w:snapToGrid w:val="0"/>
          <w:lang w:val="fr-CH"/>
        </w:rPr>
        <w:t xml:space="preserve"> ≤ 5°</w:t>
      </w:r>
    </w:p>
    <w:p w:rsidR="007B7B2C" w:rsidRPr="007B7B2C" w:rsidRDefault="007B7B2C" w:rsidP="007B7B2C">
      <w:pPr>
        <w:pStyle w:val="enumlev1"/>
        <w:rPr>
          <w:snapToGrid w:val="0"/>
          <w:lang w:val="fr-CH"/>
        </w:rPr>
      </w:pPr>
      <w:r w:rsidRPr="007B7B2C">
        <w:rPr>
          <w:snapToGrid w:val="0"/>
          <w:lang w:val="fr-CH"/>
        </w:rPr>
        <w:t>–124+ 0,5 *( </w:t>
      </w:r>
      <w:r w:rsidRPr="0063240D">
        <w:rPr>
          <w:snapToGrid w:val="0"/>
        </w:rPr>
        <w:t>θ</w:t>
      </w:r>
      <w:r w:rsidRPr="007B7B2C">
        <w:rPr>
          <w:snapToGrid w:val="0"/>
          <w:lang w:val="fr-CH"/>
        </w:rPr>
        <w:t xml:space="preserve"> – 5)</w:t>
      </w:r>
      <w:r w:rsidRPr="007B7B2C">
        <w:rPr>
          <w:snapToGrid w:val="0"/>
          <w:vertAlign w:val="superscript"/>
          <w:lang w:val="fr-CH"/>
        </w:rPr>
        <w:t>2</w:t>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  5° &lt; </w:t>
      </w:r>
      <w:r w:rsidRPr="0063240D">
        <w:rPr>
          <w:snapToGrid w:val="0"/>
        </w:rPr>
        <w:t>θ</w:t>
      </w:r>
      <w:r w:rsidRPr="007B7B2C">
        <w:rPr>
          <w:snapToGrid w:val="0"/>
          <w:lang w:val="fr-CH"/>
        </w:rPr>
        <w:t xml:space="preserve"> ≤ 10°</w:t>
      </w:r>
    </w:p>
    <w:p w:rsidR="007B7B2C" w:rsidRPr="007B7B2C" w:rsidRDefault="007B7B2C" w:rsidP="007B7B2C">
      <w:pPr>
        <w:pStyle w:val="enumlev1"/>
        <w:rPr>
          <w:snapToGrid w:val="0"/>
          <w:lang w:val="fr-CH"/>
        </w:rPr>
      </w:pPr>
      <w:r w:rsidRPr="007B7B2C">
        <w:rPr>
          <w:snapToGrid w:val="0"/>
          <w:lang w:val="fr-CH"/>
        </w:rPr>
        <w:t>–122+ 28,5*log10(</w:t>
      </w:r>
      <w:r w:rsidRPr="0063240D">
        <w:rPr>
          <w:snapToGrid w:val="0"/>
        </w:rPr>
        <w:t>θ</w:t>
      </w:r>
      <w:r w:rsidRPr="007B7B2C">
        <w:rPr>
          <w:snapToGrid w:val="0"/>
          <w:lang w:val="fr-CH"/>
        </w:rPr>
        <w:t xml:space="preserve"> – 5)</w:t>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10° &lt; </w:t>
      </w:r>
      <w:r w:rsidRPr="0063240D">
        <w:rPr>
          <w:snapToGrid w:val="0"/>
        </w:rPr>
        <w:t>θ</w:t>
      </w:r>
      <w:r w:rsidRPr="007B7B2C">
        <w:rPr>
          <w:snapToGrid w:val="0"/>
          <w:lang w:val="fr-CH"/>
        </w:rPr>
        <w:t xml:space="preserve"> ≤ 50°</w:t>
      </w:r>
    </w:p>
    <w:p w:rsidR="007B7B2C" w:rsidRPr="007B7B2C" w:rsidRDefault="007B7B2C" w:rsidP="007B7B2C">
      <w:pPr>
        <w:pStyle w:val="enumlev1"/>
        <w:rPr>
          <w:snapToGrid w:val="0"/>
          <w:lang w:val="fr-CH"/>
        </w:rPr>
      </w:pPr>
      <w:r w:rsidRPr="007B7B2C">
        <w:rPr>
          <w:snapToGrid w:val="0"/>
          <w:lang w:val="fr-CH"/>
        </w:rPr>
        <w:t>–75</w:t>
      </w:r>
      <w:r w:rsidRPr="007B7B2C">
        <w:rPr>
          <w:snapToGrid w:val="0"/>
          <w:lang w:val="fr-CH"/>
        </w:rPr>
        <w:tab/>
      </w:r>
      <w:r w:rsidRPr="007B7B2C">
        <w:rPr>
          <w:snapToGrid w:val="0"/>
          <w:lang w:val="fr-CH"/>
        </w:rPr>
        <w:tab/>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 MHz))</w:t>
      </w:r>
      <w:r w:rsidRPr="007B7B2C">
        <w:rPr>
          <w:snapToGrid w:val="0"/>
          <w:lang w:val="fr-CH"/>
        </w:rPr>
        <w:tab/>
        <w:t>pour</w:t>
      </w:r>
      <w:r w:rsidRPr="007B7B2C">
        <w:rPr>
          <w:snapToGrid w:val="0"/>
          <w:lang w:val="fr-CH"/>
        </w:rPr>
        <w:tab/>
      </w:r>
      <w:r w:rsidRPr="007B7B2C">
        <w:rPr>
          <w:snapToGrid w:val="0"/>
          <w:lang w:val="fr-CH"/>
        </w:rPr>
        <w:tab/>
        <w:t xml:space="preserve">50° &lt; </w:t>
      </w:r>
      <w:r w:rsidRPr="0063240D">
        <w:rPr>
          <w:snapToGrid w:val="0"/>
        </w:rPr>
        <w:t>θ</w:t>
      </w:r>
      <w:r w:rsidRPr="007B7B2C">
        <w:rPr>
          <w:snapToGrid w:val="0"/>
          <w:lang w:val="fr-CH"/>
        </w:rPr>
        <w:t xml:space="preserve"> ≤ 90°</w:t>
      </w:r>
    </w:p>
    <w:p w:rsidR="003E605C" w:rsidRPr="00B2289F" w:rsidRDefault="003E605C" w:rsidP="004A0AEC">
      <w:pPr>
        <w:rPr>
          <w:b/>
          <w:bCs/>
          <w:snapToGrid w:val="0"/>
        </w:rPr>
      </w:pPr>
      <w:r w:rsidRPr="00B2289F">
        <w:rPr>
          <w:snapToGrid w:val="0"/>
        </w:rPr>
        <w:t xml:space="preserve">où </w:t>
      </w:r>
      <w:r w:rsidRPr="00B2289F">
        <w:rPr>
          <w:snapToGrid w:val="0"/>
          <w:lang w:val="en-US"/>
        </w:rPr>
        <w:t>θ</w:t>
      </w:r>
      <w:r w:rsidRPr="00B2289F">
        <w:rPr>
          <w:snapToGrid w:val="0"/>
        </w:rPr>
        <w:t xml:space="preserve"> est l’angle d’incidence de l’onde radioélectrique.</w:t>
      </w:r>
    </w:p>
    <w:p w:rsidR="003E605C" w:rsidRPr="00B2289F" w:rsidRDefault="003E605C" w:rsidP="00603B32">
      <w:pPr>
        <w:rPr>
          <w:lang w:val="fr-CH"/>
        </w:rPr>
      </w:pPr>
      <w:r w:rsidRPr="00B2289F">
        <w:rPr>
          <w:lang w:val="fr-CH"/>
        </w:rPr>
        <w:t>Dans la</w:t>
      </w:r>
      <w:r>
        <w:rPr>
          <w:lang w:val="fr-CH"/>
        </w:rPr>
        <w:t xml:space="preserve"> </w:t>
      </w:r>
      <w:r w:rsidRPr="00B2289F">
        <w:rPr>
          <w:lang w:val="fr-CH"/>
        </w:rPr>
        <w:t xml:space="preserve">bande de fréquence </w:t>
      </w:r>
      <w:r>
        <w:rPr>
          <w:lang w:val="fr-CH"/>
        </w:rPr>
        <w:t>27,5-29</w:t>
      </w:r>
      <w:r w:rsidRPr="00B2289F">
        <w:rPr>
          <w:lang w:val="fr-CH"/>
        </w:rPr>
        <w:t>,5</w:t>
      </w:r>
      <w:r>
        <w:rPr>
          <w:lang w:val="fr-CH"/>
        </w:rPr>
        <w:t xml:space="preserve"> </w:t>
      </w:r>
      <w:r w:rsidRPr="00B2289F">
        <w:rPr>
          <w:lang w:val="fr-CH"/>
        </w:rPr>
        <w:t xml:space="preserve">GHz utilisée par les réseaux du service fixe, en visibilité directe du territoire d’une administration où les réseaux du service fixe fonctionnent dans cette bande, la puissance surfacique produite à la surface de la Terre par les émissions d’une </w:t>
      </w:r>
      <w:r>
        <w:rPr>
          <w:lang w:val="fr-CH"/>
        </w:rPr>
        <w:t xml:space="preserve">seule </w:t>
      </w:r>
      <w:r w:rsidRPr="00B2289F">
        <w:rPr>
          <w:lang w:val="fr-CH"/>
        </w:rPr>
        <w:t>station embarquée par un drone et opérée dans le service fixe par sa</w:t>
      </w:r>
      <w:r w:rsidR="00DF56A9">
        <w:rPr>
          <w:lang w:val="fr-CH"/>
        </w:rPr>
        <w:t>tellite ne devrait pas dépasser</w:t>
      </w:r>
      <w:r w:rsidRPr="00B2289F">
        <w:rPr>
          <w:lang w:val="fr-CH"/>
        </w:rPr>
        <w:t>:</w:t>
      </w:r>
    </w:p>
    <w:p w:rsidR="007B7B2C" w:rsidRPr="007B7B2C" w:rsidRDefault="007B7B2C" w:rsidP="007B7B2C">
      <w:pPr>
        <w:pStyle w:val="enumlev1"/>
        <w:rPr>
          <w:snapToGrid w:val="0"/>
          <w:lang w:val="fr-CH"/>
        </w:rPr>
      </w:pPr>
      <w:r w:rsidRPr="007B7B2C">
        <w:rPr>
          <w:snapToGrid w:val="0"/>
          <w:lang w:val="fr-CH"/>
        </w:rPr>
        <w:t>–131</w:t>
      </w:r>
      <w:r w:rsidRPr="007B7B2C">
        <w:rPr>
          <w:snapToGrid w:val="0"/>
          <w:lang w:val="fr-CH"/>
        </w:rPr>
        <w:tab/>
      </w:r>
      <w:r w:rsidRPr="007B7B2C">
        <w:rPr>
          <w:snapToGrid w:val="0"/>
          <w:lang w:val="fr-CH"/>
        </w:rPr>
        <w:tab/>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          </w:t>
      </w:r>
      <w:r w:rsidRPr="0063240D">
        <w:rPr>
          <w:snapToGrid w:val="0"/>
        </w:rPr>
        <w:t>θ</w:t>
      </w:r>
      <w:r w:rsidRPr="007B7B2C">
        <w:rPr>
          <w:snapToGrid w:val="0"/>
          <w:lang w:val="fr-CH"/>
        </w:rPr>
        <w:t xml:space="preserve"> ≤ 5°</w:t>
      </w:r>
    </w:p>
    <w:p w:rsidR="007B7B2C" w:rsidRPr="007B7B2C" w:rsidRDefault="007B7B2C" w:rsidP="007B7B2C">
      <w:pPr>
        <w:pStyle w:val="enumlev1"/>
        <w:rPr>
          <w:snapToGrid w:val="0"/>
          <w:lang w:val="fr-CH"/>
        </w:rPr>
      </w:pPr>
      <w:r w:rsidRPr="007B7B2C">
        <w:rPr>
          <w:snapToGrid w:val="0"/>
          <w:lang w:val="fr-CH"/>
        </w:rPr>
        <w:t>–131+ 0,5 *( </w:t>
      </w:r>
      <w:r w:rsidRPr="0063240D">
        <w:rPr>
          <w:snapToGrid w:val="0"/>
        </w:rPr>
        <w:t>θ</w:t>
      </w:r>
      <w:r w:rsidRPr="007B7B2C">
        <w:rPr>
          <w:snapToGrid w:val="0"/>
          <w:lang w:val="fr-CH"/>
        </w:rPr>
        <w:t xml:space="preserve"> – 5)</w:t>
      </w:r>
      <w:r w:rsidRPr="007B7B2C">
        <w:rPr>
          <w:snapToGrid w:val="0"/>
          <w:vertAlign w:val="superscript"/>
          <w:lang w:val="fr-CH"/>
        </w:rPr>
        <w:t>2</w:t>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  5° &lt; </w:t>
      </w:r>
      <w:r w:rsidRPr="0063240D">
        <w:rPr>
          <w:snapToGrid w:val="0"/>
        </w:rPr>
        <w:t>θ</w:t>
      </w:r>
      <w:r w:rsidRPr="007B7B2C">
        <w:rPr>
          <w:snapToGrid w:val="0"/>
          <w:lang w:val="fr-CH"/>
        </w:rPr>
        <w:t xml:space="preserve"> ≤ 10°</w:t>
      </w:r>
    </w:p>
    <w:p w:rsidR="007B7B2C" w:rsidRPr="007B7B2C" w:rsidRDefault="007B7B2C" w:rsidP="007B7B2C">
      <w:pPr>
        <w:pStyle w:val="enumlev1"/>
        <w:rPr>
          <w:snapToGrid w:val="0"/>
          <w:lang w:val="fr-CH"/>
        </w:rPr>
      </w:pPr>
      <w:r w:rsidRPr="007B7B2C">
        <w:rPr>
          <w:snapToGrid w:val="0"/>
          <w:lang w:val="fr-CH"/>
        </w:rPr>
        <w:t>–128+ 23,8*log10(</w:t>
      </w:r>
      <w:r w:rsidRPr="0063240D">
        <w:rPr>
          <w:snapToGrid w:val="0"/>
        </w:rPr>
        <w:t>θ</w:t>
      </w:r>
      <w:r w:rsidRPr="007B7B2C">
        <w:rPr>
          <w:snapToGrid w:val="0"/>
          <w:lang w:val="fr-CH"/>
        </w:rPr>
        <w:t>)</w:t>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xml:space="preserve"> · MHz)) </w:t>
      </w:r>
      <w:r w:rsidRPr="007B7B2C">
        <w:rPr>
          <w:snapToGrid w:val="0"/>
          <w:lang w:val="fr-CH"/>
        </w:rPr>
        <w:tab/>
        <w:t>pour</w:t>
      </w:r>
      <w:r w:rsidRPr="007B7B2C">
        <w:rPr>
          <w:snapToGrid w:val="0"/>
          <w:lang w:val="fr-CH"/>
        </w:rPr>
        <w:tab/>
      </w:r>
      <w:r w:rsidRPr="007B7B2C">
        <w:rPr>
          <w:snapToGrid w:val="0"/>
          <w:lang w:val="fr-CH"/>
        </w:rPr>
        <w:tab/>
        <w:t xml:space="preserve">10° &lt; </w:t>
      </w:r>
      <w:r w:rsidRPr="0063240D">
        <w:rPr>
          <w:snapToGrid w:val="0"/>
        </w:rPr>
        <w:t>θ</w:t>
      </w:r>
      <w:r w:rsidRPr="007B7B2C">
        <w:rPr>
          <w:snapToGrid w:val="0"/>
          <w:lang w:val="fr-CH"/>
        </w:rPr>
        <w:t xml:space="preserve"> ≤ 15°</w:t>
      </w:r>
    </w:p>
    <w:p w:rsidR="007B7B2C" w:rsidRPr="007B7B2C" w:rsidRDefault="007B7B2C" w:rsidP="007B7B2C">
      <w:pPr>
        <w:pStyle w:val="enumlev1"/>
        <w:rPr>
          <w:snapToGrid w:val="0"/>
          <w:lang w:val="fr-CH"/>
        </w:rPr>
      </w:pPr>
      <w:r w:rsidRPr="007B7B2C">
        <w:rPr>
          <w:snapToGrid w:val="0"/>
          <w:lang w:val="fr-CH"/>
        </w:rPr>
        <w:t>–100</w:t>
      </w:r>
      <w:r w:rsidRPr="007B7B2C">
        <w:rPr>
          <w:snapToGrid w:val="0"/>
          <w:lang w:val="fr-CH"/>
        </w:rPr>
        <w:tab/>
      </w:r>
      <w:r w:rsidRPr="007B7B2C">
        <w:rPr>
          <w:snapToGrid w:val="0"/>
          <w:lang w:val="fr-CH"/>
        </w:rPr>
        <w:tab/>
      </w:r>
      <w:r w:rsidRPr="007B7B2C">
        <w:rPr>
          <w:snapToGrid w:val="0"/>
          <w:lang w:val="fr-CH"/>
        </w:rPr>
        <w:tab/>
      </w:r>
      <w:r w:rsidRPr="007B7B2C">
        <w:rPr>
          <w:snapToGrid w:val="0"/>
          <w:lang w:val="fr-CH"/>
        </w:rPr>
        <w:tab/>
        <w:t>dB(W/(m</w:t>
      </w:r>
      <w:r w:rsidRPr="007B7B2C">
        <w:rPr>
          <w:snapToGrid w:val="0"/>
          <w:vertAlign w:val="superscript"/>
          <w:lang w:val="fr-CH"/>
        </w:rPr>
        <w:t>2</w:t>
      </w:r>
      <w:r w:rsidRPr="007B7B2C">
        <w:rPr>
          <w:snapToGrid w:val="0"/>
          <w:lang w:val="fr-CH"/>
        </w:rPr>
        <w:t> · MHz))</w:t>
      </w:r>
      <w:r w:rsidRPr="007B7B2C">
        <w:rPr>
          <w:snapToGrid w:val="0"/>
          <w:lang w:val="fr-CH"/>
        </w:rPr>
        <w:tab/>
        <w:t>pour</w:t>
      </w:r>
      <w:r w:rsidRPr="007B7B2C">
        <w:rPr>
          <w:snapToGrid w:val="0"/>
          <w:lang w:val="fr-CH"/>
        </w:rPr>
        <w:tab/>
      </w:r>
      <w:r w:rsidRPr="007B7B2C">
        <w:rPr>
          <w:snapToGrid w:val="0"/>
          <w:lang w:val="fr-CH"/>
        </w:rPr>
        <w:tab/>
        <w:t xml:space="preserve">15° &lt; </w:t>
      </w:r>
      <w:r w:rsidRPr="0063240D">
        <w:rPr>
          <w:snapToGrid w:val="0"/>
        </w:rPr>
        <w:t>θ</w:t>
      </w:r>
      <w:r w:rsidRPr="007B7B2C">
        <w:rPr>
          <w:snapToGrid w:val="0"/>
          <w:lang w:val="fr-CH"/>
        </w:rPr>
        <w:t xml:space="preserve"> ≤ 90°</w:t>
      </w:r>
    </w:p>
    <w:p w:rsidR="005A1DA0" w:rsidRPr="003E605C" w:rsidRDefault="003E605C" w:rsidP="00603B32">
      <w:pPr>
        <w:rPr>
          <w:b/>
          <w:bCs/>
          <w:snapToGrid w:val="0"/>
        </w:rPr>
      </w:pPr>
      <w:r w:rsidRPr="00B2289F">
        <w:rPr>
          <w:snapToGrid w:val="0"/>
        </w:rPr>
        <w:t xml:space="preserve">où </w:t>
      </w:r>
      <w:r w:rsidRPr="00B2289F">
        <w:rPr>
          <w:snapToGrid w:val="0"/>
          <w:lang w:val="en-US"/>
        </w:rPr>
        <w:t>θ</w:t>
      </w:r>
      <w:r w:rsidRPr="00B2289F">
        <w:rPr>
          <w:snapToGrid w:val="0"/>
        </w:rPr>
        <w:t xml:space="preserve"> est l’angle d’incidence de l’onde radioélectrique.</w:t>
      </w:r>
    </w:p>
    <w:p w:rsidR="005A1DA0" w:rsidRDefault="00DF56A9">
      <w:pPr>
        <w:pStyle w:val="Reasons"/>
        <w:rPr>
          <w:szCs w:val="24"/>
          <w:lang w:val="fr-CH"/>
        </w:rPr>
      </w:pPr>
      <w:r>
        <w:rPr>
          <w:b/>
        </w:rPr>
        <w:t>Motifs:</w:t>
      </w:r>
      <w:r>
        <w:tab/>
      </w:r>
      <w:r w:rsidR="003E605C">
        <w:t xml:space="preserve">Protéger les services de Terre dans les bandes </w:t>
      </w:r>
      <w:r w:rsidR="003E605C" w:rsidRPr="00B2289F">
        <w:rPr>
          <w:szCs w:val="24"/>
          <w:lang w:val="fr-CH"/>
        </w:rPr>
        <w:t>14-14,5</w:t>
      </w:r>
      <w:r w:rsidR="003E605C">
        <w:rPr>
          <w:szCs w:val="24"/>
          <w:lang w:val="fr-CH"/>
        </w:rPr>
        <w:t xml:space="preserve"> </w:t>
      </w:r>
      <w:r w:rsidR="003E605C" w:rsidRPr="00B2289F">
        <w:rPr>
          <w:szCs w:val="24"/>
          <w:lang w:val="fr-CH"/>
        </w:rPr>
        <w:t>GHz</w:t>
      </w:r>
      <w:r w:rsidR="003E605C">
        <w:rPr>
          <w:szCs w:val="24"/>
          <w:lang w:val="fr-CH"/>
        </w:rPr>
        <w:t xml:space="preserve"> et 27,5-29</w:t>
      </w:r>
      <w:r w:rsidR="003E605C" w:rsidRPr="00B2289F">
        <w:rPr>
          <w:szCs w:val="24"/>
          <w:lang w:val="fr-CH"/>
        </w:rPr>
        <w:t>,5</w:t>
      </w:r>
      <w:r w:rsidR="003E605C">
        <w:rPr>
          <w:szCs w:val="24"/>
          <w:lang w:val="fr-CH"/>
        </w:rPr>
        <w:t xml:space="preserve"> </w:t>
      </w:r>
      <w:r w:rsidR="003E605C" w:rsidRPr="00B2289F">
        <w:rPr>
          <w:szCs w:val="24"/>
          <w:lang w:val="fr-CH"/>
        </w:rPr>
        <w:t>GHz</w:t>
      </w:r>
      <w:r w:rsidR="003E605C">
        <w:rPr>
          <w:szCs w:val="24"/>
          <w:lang w:val="fr-CH"/>
        </w:rPr>
        <w:t xml:space="preserve"> des brouillages qui pourraient être causés par les émissions des stations terriennes embarquées à bord des drones.</w:t>
      </w:r>
    </w:p>
    <w:p w:rsidR="003E605C" w:rsidRDefault="003E605C">
      <w:pPr>
        <w:tabs>
          <w:tab w:val="clear" w:pos="1134"/>
          <w:tab w:val="clear" w:pos="1871"/>
          <w:tab w:val="clear" w:pos="2268"/>
        </w:tabs>
        <w:overflowPunct/>
        <w:autoSpaceDE/>
        <w:autoSpaceDN/>
        <w:adjustRightInd/>
        <w:spacing w:before="0"/>
        <w:textAlignment w:val="auto"/>
      </w:pPr>
      <w:r>
        <w:br w:type="page"/>
      </w:r>
    </w:p>
    <w:p w:rsidR="00DF56A9" w:rsidRPr="00821382" w:rsidRDefault="00DF56A9" w:rsidP="00DF56A9">
      <w:pPr>
        <w:pStyle w:val="AnnexNo"/>
      </w:pPr>
      <w:r>
        <w:lastRenderedPageBreak/>
        <w:t>AnnexE</w:t>
      </w:r>
    </w:p>
    <w:p w:rsidR="00DF56A9" w:rsidRPr="009C2C52" w:rsidRDefault="00DF56A9" w:rsidP="009C2C52">
      <w:pPr>
        <w:pStyle w:val="Annextitle"/>
      </w:pPr>
      <w:r w:rsidRPr="00592005">
        <w:t>Description de la méthodologie et de résultats de simulations</w:t>
      </w:r>
    </w:p>
    <w:p w:rsidR="00DF56A9" w:rsidRDefault="00603B32" w:rsidP="00603B32">
      <w:pPr>
        <w:pStyle w:val="Heading1"/>
      </w:pPr>
      <w:r>
        <w:t>1</w:t>
      </w:r>
      <w:r>
        <w:tab/>
      </w:r>
      <w:r w:rsidR="00DF56A9" w:rsidRPr="00603B32">
        <w:t>Introduction</w:t>
      </w:r>
    </w:p>
    <w:p w:rsidR="00DF56A9" w:rsidRDefault="00DF56A9" w:rsidP="00DF56A9">
      <w:r>
        <w:t xml:space="preserve">La présente annexe décrit les études qui ont été menées pour déterminer le masque de PFD proposé pour assurer la protection de l’ensemble des stations du service fixe. </w:t>
      </w:r>
    </w:p>
    <w:p w:rsidR="00DF56A9" w:rsidRDefault="00603B32" w:rsidP="00603B32">
      <w:pPr>
        <w:pStyle w:val="Heading1"/>
      </w:pPr>
      <w:r>
        <w:t>2</w:t>
      </w:r>
      <w:r>
        <w:tab/>
      </w:r>
      <w:r w:rsidR="00DF56A9">
        <w:t>Méthodologie</w:t>
      </w:r>
    </w:p>
    <w:p w:rsidR="00DF56A9" w:rsidRPr="00EC4F8D" w:rsidRDefault="00EC4F8D" w:rsidP="00603B32">
      <w:pPr>
        <w:pStyle w:val="Headingb"/>
      </w:pPr>
      <w:r w:rsidRPr="00EC4F8D">
        <w:t>a</w:t>
      </w:r>
      <w:r w:rsidR="00603B32">
        <w:t>)</w:t>
      </w:r>
      <w:r w:rsidR="00603B32">
        <w:tab/>
      </w:r>
      <w:r w:rsidR="00DF56A9" w:rsidRPr="00EC4F8D">
        <w:t>Principe</w:t>
      </w:r>
    </w:p>
    <w:p w:rsidR="00DF56A9" w:rsidRDefault="00DF56A9" w:rsidP="00DF56A9">
      <w:r w:rsidRPr="00594729">
        <w:t xml:space="preserve">Le scénario consiste à déterminer si les critères de protection d’une station du service fixe sont respectés avec en permanence pendant une durée de 1 mois un drone </w:t>
      </w:r>
      <w:r>
        <w:t>et un seul qui opère en co</w:t>
      </w:r>
      <w:r>
        <w:noBreakHyphen/>
        <w:t xml:space="preserve">canal et </w:t>
      </w:r>
      <w:r w:rsidRPr="00594729">
        <w:t>en visibilité directe</w:t>
      </w:r>
      <w:r>
        <w:t>.</w:t>
      </w:r>
    </w:p>
    <w:p w:rsidR="00DF56A9" w:rsidRDefault="00DF56A9" w:rsidP="008B0B11">
      <w:r>
        <w:t>L</w:t>
      </w:r>
      <w:r w:rsidRPr="00594729">
        <w:t xml:space="preserve">e plan </w:t>
      </w:r>
      <w:r>
        <w:t xml:space="preserve">de </w:t>
      </w:r>
      <w:r w:rsidRPr="00594729">
        <w:t xml:space="preserve">vol </w:t>
      </w:r>
      <w:r>
        <w:t xml:space="preserve">du drone est </w:t>
      </w:r>
      <w:r w:rsidRPr="00594729">
        <w:t xml:space="preserve">défini aléatoirement </w:t>
      </w:r>
      <w:r>
        <w:t>selon</w:t>
      </w:r>
      <w:r w:rsidRPr="00594729">
        <w:t xml:space="preserve"> des trajectoires s</w:t>
      </w:r>
      <w:r>
        <w:t>uivant le grand cercle à alt</w:t>
      </w:r>
      <w:r w:rsidR="008B0B11">
        <w:t>itu</w:t>
      </w:r>
      <w:r>
        <w:t>de et vitesse constantes</w:t>
      </w:r>
      <w:r w:rsidRPr="00594729">
        <w:t>.</w:t>
      </w:r>
      <w:r w:rsidRPr="00B83341">
        <w:t xml:space="preserve"> </w:t>
      </w:r>
    </w:p>
    <w:p w:rsidR="00DF56A9" w:rsidRPr="00EC4F8D" w:rsidRDefault="00EC4F8D" w:rsidP="00603B32">
      <w:pPr>
        <w:pStyle w:val="Headingb"/>
      </w:pPr>
      <w:r w:rsidRPr="00EC4F8D">
        <w:t>b</w:t>
      </w:r>
      <w:r w:rsidR="00603B32">
        <w:t>)</w:t>
      </w:r>
      <w:r w:rsidR="00603B32">
        <w:tab/>
      </w:r>
      <w:r w:rsidR="00DF56A9" w:rsidRPr="00EC4F8D">
        <w:t>Processus</w:t>
      </w:r>
    </w:p>
    <w:p w:rsidR="00DF56A9" w:rsidRPr="00594729" w:rsidRDefault="00DF56A9" w:rsidP="00DF56A9">
      <w:r w:rsidRPr="00594729">
        <w:t>La figure suivante fournit les étapes de la méthodologie retenue.</w:t>
      </w:r>
    </w:p>
    <w:p w:rsidR="00DF56A9" w:rsidRDefault="00DF56A9" w:rsidP="00DF56A9"/>
    <w:p w:rsidR="00DF56A9" w:rsidRDefault="00DF56A9" w:rsidP="00DF56A9">
      <w:r>
        <w:rPr>
          <w:noProof/>
          <w:lang w:val="en-US" w:eastAsia="zh-CN"/>
        </w:rPr>
        <w:drawing>
          <wp:inline distT="0" distB="0" distL="0" distR="0" wp14:anchorId="6ACCEF96" wp14:editId="53104A06">
            <wp:extent cx="6059606" cy="44821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745" cy="4488189"/>
                    </a:xfrm>
                    <a:prstGeom prst="rect">
                      <a:avLst/>
                    </a:prstGeom>
                    <a:noFill/>
                  </pic:spPr>
                </pic:pic>
              </a:graphicData>
            </a:graphic>
          </wp:inline>
        </w:drawing>
      </w:r>
    </w:p>
    <w:p w:rsidR="00DF56A9" w:rsidRDefault="00DF56A9" w:rsidP="00DF56A9">
      <w:pPr>
        <w:pStyle w:val="Heading1"/>
        <w:numPr>
          <w:ilvl w:val="1"/>
          <w:numId w:val="3"/>
        </w:numPr>
        <w:sectPr w:rsidR="00DF56A9">
          <w:headerReference w:type="default" r:id="rId14"/>
          <w:footerReference w:type="default" r:id="rId15"/>
          <w:footerReference w:type="first" r:id="rId16"/>
          <w:pgSz w:w="11907" w:h="16840" w:code="9"/>
          <w:pgMar w:top="1418" w:right="1134" w:bottom="1418" w:left="1134" w:header="720" w:footer="720" w:gutter="0"/>
          <w:paperSrc w:first="15" w:other="15"/>
          <w:cols w:space="720"/>
          <w:titlePg/>
          <w:docGrid w:linePitch="326"/>
        </w:sectPr>
      </w:pPr>
    </w:p>
    <w:p w:rsidR="00DF56A9" w:rsidRPr="00EC4F8D" w:rsidRDefault="00EC4F8D" w:rsidP="00603B32">
      <w:pPr>
        <w:pStyle w:val="Headingb"/>
      </w:pPr>
      <w:r w:rsidRPr="00EC4F8D">
        <w:t>c</w:t>
      </w:r>
      <w:r w:rsidR="00603B32">
        <w:t>)</w:t>
      </w:r>
      <w:r w:rsidR="00603B32">
        <w:tab/>
      </w:r>
      <w:r w:rsidR="00DF56A9" w:rsidRPr="00EC4F8D">
        <w:t>Géométrie</w:t>
      </w:r>
    </w:p>
    <w:p w:rsidR="00DF56A9" w:rsidRPr="00CB33B2" w:rsidRDefault="00CB33B2" w:rsidP="00603B32">
      <w:pPr>
        <w:pStyle w:val="enumlev2"/>
        <w:rPr>
          <w:b/>
          <w:bCs/>
        </w:rPr>
      </w:pPr>
      <w:r>
        <w:rPr>
          <w:b/>
          <w:bCs/>
        </w:rPr>
        <w:t>i</w:t>
      </w:r>
      <w:r w:rsidR="00603B32">
        <w:rPr>
          <w:b/>
          <w:bCs/>
        </w:rPr>
        <w:t>)</w:t>
      </w:r>
      <w:r w:rsidR="00603B32">
        <w:rPr>
          <w:b/>
          <w:bCs/>
        </w:rPr>
        <w:tab/>
      </w:r>
      <w:r w:rsidR="00DF56A9" w:rsidRPr="00CB33B2">
        <w:rPr>
          <w:b/>
          <w:bCs/>
        </w:rPr>
        <w:t>Principe</w:t>
      </w:r>
    </w:p>
    <w:p w:rsidR="00DF56A9" w:rsidRPr="00594729" w:rsidRDefault="00DF56A9" w:rsidP="00DF56A9">
      <w:r w:rsidRPr="00594729">
        <w:t>Selon les définitions du WGS84</w:t>
      </w:r>
      <w:r w:rsidR="004A0AEC">
        <w:t>:</w:t>
      </w:r>
    </w:p>
    <w:p w:rsidR="00DF56A9" w:rsidRPr="00594729" w:rsidRDefault="00DF56A9" w:rsidP="00DF56A9">
      <w:r w:rsidRPr="00594729">
        <w:t>Demi grand axe</w:t>
      </w:r>
      <w:r w:rsidR="004A0AEC">
        <w:t>:</w:t>
      </w:r>
      <w:r w:rsidRPr="00594729">
        <w:tab/>
      </w:r>
      <w:r w:rsidRPr="00594729">
        <w:tab/>
      </w:r>
      <w:r w:rsidRPr="00594729">
        <w:tab/>
      </w:r>
      <w:r w:rsidR="00603B32">
        <w:tab/>
      </w:r>
      <w:r w:rsidRPr="00594729">
        <w:t>a = 6 378 137 m</w:t>
      </w:r>
    </w:p>
    <w:p w:rsidR="00DF56A9" w:rsidRPr="00594729" w:rsidRDefault="00DF56A9" w:rsidP="00DF56A9">
      <w:r w:rsidRPr="00594729">
        <w:t>Coefficient d’aplatissement</w:t>
      </w:r>
      <w:r w:rsidR="004A0AEC">
        <w:t>:</w:t>
      </w:r>
      <w:r w:rsidRPr="00594729">
        <w:tab/>
      </w:r>
      <w:r w:rsidRPr="00594729">
        <w:tab/>
        <w:t>f = 1/298,257223563</w:t>
      </w:r>
    </w:p>
    <w:p w:rsidR="00DF56A9" w:rsidRPr="00594729" w:rsidRDefault="00DF56A9" w:rsidP="00DF56A9">
      <w:r w:rsidRPr="00594729">
        <w:t>Les paramètres suivants en sont déduits</w:t>
      </w:r>
      <w:r w:rsidR="004A0AEC">
        <w:t>:</w:t>
      </w:r>
    </w:p>
    <w:p w:rsidR="00DF56A9" w:rsidRPr="00594729" w:rsidRDefault="00DF56A9" w:rsidP="00DF56A9">
      <w:r w:rsidRPr="00594729">
        <w:t>Demi petit axe</w:t>
      </w:r>
      <w:r w:rsidR="004A0AEC">
        <w:t>:</w:t>
      </w:r>
      <w:r w:rsidRPr="00594729">
        <w:tab/>
      </w:r>
      <w:r w:rsidRPr="00594729">
        <w:tab/>
      </w:r>
      <w:r w:rsidRPr="00594729">
        <w:tab/>
      </w:r>
      <w:r w:rsidRPr="00594729">
        <w:tab/>
        <w:t>b = a(1-f) = 6 356 752,3142 m</w:t>
      </w:r>
    </w:p>
    <w:p w:rsidR="00DF56A9" w:rsidRPr="00594729" w:rsidRDefault="00DF56A9" w:rsidP="00DF56A9">
      <w:r w:rsidRPr="00594729">
        <w:t>Première excentricité</w:t>
      </w:r>
      <w:r w:rsidR="004A0AEC">
        <w:t>:</w:t>
      </w:r>
      <w:r w:rsidRPr="00594729">
        <w:tab/>
      </w:r>
      <w:r w:rsidRPr="00594729">
        <w:tab/>
      </w:r>
      <w:r w:rsidRPr="00594729">
        <w:tab/>
        <w:t xml:space="preserve">e = </w:t>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94729">
        <w:rPr>
          <w:rFonts w:eastAsiaTheme="minorEastAsia"/>
        </w:rPr>
        <w:t xml:space="preserve"> </w:t>
      </w:r>
      <w:r w:rsidRPr="00594729">
        <w:t>= 8,1819190842622*10</w:t>
      </w:r>
      <w:r w:rsidRPr="00594729">
        <w:rPr>
          <w:vertAlign w:val="superscript"/>
        </w:rPr>
        <w:t>^-2</w:t>
      </w:r>
    </w:p>
    <w:p w:rsidR="00DF56A9" w:rsidRPr="00594729" w:rsidRDefault="00DF56A9" w:rsidP="00DF56A9">
      <w:r w:rsidRPr="00594729">
        <w:t>Second excentricité</w:t>
      </w:r>
      <w:r w:rsidR="004A0AEC">
        <w:t>:</w:t>
      </w:r>
      <w:r w:rsidRPr="00594729">
        <w:tab/>
      </w:r>
      <w:r w:rsidRPr="00594729">
        <w:tab/>
      </w:r>
      <w:r w:rsidRPr="00594729">
        <w:tab/>
        <w:t xml:space="preserve">e’ = </w:t>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94729">
        <w:t xml:space="preserve"> = 8,2094437949696*10</w:t>
      </w:r>
      <w:r w:rsidRPr="00594729">
        <w:rPr>
          <w:vertAlign w:val="superscript"/>
        </w:rPr>
        <w:t>^-2</w:t>
      </w:r>
    </w:p>
    <w:p w:rsidR="00DF56A9" w:rsidRPr="00594729" w:rsidRDefault="00DF56A9" w:rsidP="00DF56A9">
      <w:r w:rsidRPr="00594729">
        <w:t>Rayon moyen des demi axes</w:t>
      </w:r>
      <w:r w:rsidR="004A0AEC">
        <w:t>:</w:t>
      </w:r>
      <w:r w:rsidRPr="00594729">
        <w:tab/>
      </w:r>
      <w:r w:rsidRPr="00594729">
        <w:tab/>
        <w:t>R1 = 6 371 008.7714 m</w:t>
      </w:r>
    </w:p>
    <w:p w:rsidR="001505F9" w:rsidRDefault="00DF56A9" w:rsidP="00603B32">
      <w:r w:rsidRPr="00594729">
        <w:t>Les différents repères utilisés sont les suivants:</w:t>
      </w:r>
    </w:p>
    <w:p w:rsidR="001505F9" w:rsidRDefault="001505F9" w:rsidP="00603B32">
      <w:pPr>
        <w:pStyle w:val="enumlev1"/>
        <w:rPr>
          <w:lang w:val="en-US"/>
        </w:rPr>
      </w:pPr>
      <w:r w:rsidRPr="001505F9">
        <w:rPr>
          <w:lang w:val="en-US"/>
        </w:rPr>
        <w:t>–</w:t>
      </w:r>
      <w:r>
        <w:rPr>
          <w:lang w:val="en-US"/>
        </w:rPr>
        <w:tab/>
      </w:r>
      <w:r w:rsidR="00DF56A9" w:rsidRPr="00594729">
        <w:rPr>
          <w:lang w:val="en-US"/>
        </w:rPr>
        <w:t>ECEF</w:t>
      </w:r>
      <w:r w:rsidR="00DF56A9">
        <w:rPr>
          <w:lang w:val="en-US"/>
        </w:rPr>
        <w:t xml:space="preserve"> (Earth-Centered, Earth-Fixed)</w:t>
      </w:r>
      <w:r w:rsidR="00603B32" w:rsidRPr="00EC4F8D">
        <w:rPr>
          <w:lang w:val="en-US"/>
        </w:rPr>
        <w:t>;</w:t>
      </w:r>
    </w:p>
    <w:p w:rsidR="001505F9" w:rsidRPr="00EC4F8D" w:rsidRDefault="001505F9" w:rsidP="00603B32">
      <w:pPr>
        <w:pStyle w:val="enumlev1"/>
        <w:rPr>
          <w:lang w:val="en-US"/>
        </w:rPr>
      </w:pPr>
      <w:r w:rsidRPr="00EC4F8D">
        <w:rPr>
          <w:lang w:val="en-US"/>
        </w:rPr>
        <w:t>–</w:t>
      </w:r>
      <w:r w:rsidRPr="00EC4F8D">
        <w:rPr>
          <w:lang w:val="en-US"/>
        </w:rPr>
        <w:tab/>
      </w:r>
      <w:r w:rsidR="00DF56A9" w:rsidRPr="00EC4F8D">
        <w:rPr>
          <w:lang w:val="en-US"/>
        </w:rPr>
        <w:t>WGS84 (World Geodetic System 84)</w:t>
      </w:r>
      <w:r w:rsidR="00603B32" w:rsidRPr="00EC4F8D">
        <w:rPr>
          <w:lang w:val="en-US"/>
        </w:rPr>
        <w:t>;</w:t>
      </w:r>
    </w:p>
    <w:p w:rsidR="00DF56A9" w:rsidRPr="00EC4F8D" w:rsidRDefault="001505F9" w:rsidP="00603B32">
      <w:pPr>
        <w:pStyle w:val="enumlev1"/>
        <w:rPr>
          <w:lang w:val="en-US"/>
        </w:rPr>
      </w:pPr>
      <w:r w:rsidRPr="00EC4F8D">
        <w:rPr>
          <w:lang w:val="en-US"/>
        </w:rPr>
        <w:t>–</w:t>
      </w:r>
      <w:r w:rsidRPr="00EC4F8D">
        <w:rPr>
          <w:lang w:val="en-US"/>
        </w:rPr>
        <w:tab/>
      </w:r>
      <w:r w:rsidR="00DF56A9" w:rsidRPr="00EC4F8D">
        <w:rPr>
          <w:lang w:val="en-US"/>
        </w:rPr>
        <w:t>ENU (East, North, Up)</w:t>
      </w:r>
      <w:r w:rsidR="00603B32">
        <w:rPr>
          <w:lang w:val="en-US"/>
        </w:rPr>
        <w:t>.</w:t>
      </w:r>
    </w:p>
    <w:p w:rsidR="00DF56A9" w:rsidRPr="00594729" w:rsidRDefault="00DF56A9" w:rsidP="00335409">
      <w:r w:rsidRPr="00594729">
        <w:t xml:space="preserve">Ils sont présentés dans la figure ci-après les angles </w:t>
      </w:r>
      <w:r w:rsidRPr="00594729">
        <w:rPr>
          <w:lang w:val="en-US"/>
        </w:rPr>
        <w:t>φ</w:t>
      </w:r>
      <w:r w:rsidRPr="00594729">
        <w:t xml:space="preserve"> et λ représentant respectivement la </w:t>
      </w:r>
      <w:r w:rsidR="00335409">
        <w:t>l</w:t>
      </w:r>
      <w:r w:rsidRPr="00594729">
        <w:t>at</w:t>
      </w:r>
      <w:r w:rsidR="00335409">
        <w:t>itu</w:t>
      </w:r>
      <w:r w:rsidRPr="00594729">
        <w:t xml:space="preserve">de et la </w:t>
      </w:r>
      <w:r w:rsidR="00335409">
        <w:t>l</w:t>
      </w:r>
      <w:r w:rsidRPr="00594729">
        <w:t>ong</w:t>
      </w:r>
      <w:r w:rsidR="00335409">
        <w:t>itu</w:t>
      </w:r>
      <w:r w:rsidRPr="00594729">
        <w:t>de du WGS84.</w:t>
      </w:r>
    </w:p>
    <w:p w:rsidR="00DF56A9" w:rsidRPr="00594729" w:rsidRDefault="00DF56A9" w:rsidP="00DF56A9">
      <w:pPr>
        <w:jc w:val="center"/>
        <w:sectPr w:rsidR="00DF56A9" w:rsidRPr="00594729" w:rsidSect="00DF56A9">
          <w:pgSz w:w="11906" w:h="16838"/>
          <w:pgMar w:top="1417" w:right="1417" w:bottom="1417" w:left="1417" w:header="708" w:footer="708" w:gutter="0"/>
          <w:cols w:space="708"/>
          <w:docGrid w:linePitch="360"/>
        </w:sectPr>
      </w:pPr>
      <w:r w:rsidRPr="00594729">
        <w:rPr>
          <w:noProof/>
          <w:lang w:val="en-US" w:eastAsia="zh-CN"/>
        </w:rPr>
        <w:drawing>
          <wp:inline distT="0" distB="0" distL="0" distR="0" wp14:anchorId="32F49DD3" wp14:editId="6D5772BA">
            <wp:extent cx="3293386" cy="311467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ECEF_ENU_Longitude_Latitude_relationships.png"/>
                    <pic:cNvPicPr/>
                  </pic:nvPicPr>
                  <pic:blipFill>
                    <a:blip r:embed="rId17">
                      <a:extLst>
                        <a:ext uri="{28A0092B-C50C-407E-A947-70E740481C1C}">
                          <a14:useLocalDpi xmlns:a14="http://schemas.microsoft.com/office/drawing/2010/main" val="0"/>
                        </a:ext>
                      </a:extLst>
                    </a:blip>
                    <a:stretch>
                      <a:fillRect/>
                    </a:stretch>
                  </pic:blipFill>
                  <pic:spPr>
                    <a:xfrm>
                      <a:off x="0" y="0"/>
                      <a:ext cx="3299188" cy="3120162"/>
                    </a:xfrm>
                    <a:prstGeom prst="rect">
                      <a:avLst/>
                    </a:prstGeom>
                  </pic:spPr>
                </pic:pic>
              </a:graphicData>
            </a:graphic>
          </wp:inline>
        </w:drawing>
      </w:r>
    </w:p>
    <w:p w:rsidR="00DF56A9" w:rsidRPr="00CB33B2" w:rsidRDefault="00CB33B2" w:rsidP="00603B32">
      <w:pPr>
        <w:pStyle w:val="enumlev2"/>
        <w:rPr>
          <w:b/>
          <w:bCs/>
        </w:rPr>
      </w:pPr>
      <w:r>
        <w:rPr>
          <w:b/>
          <w:bCs/>
        </w:rPr>
        <w:t>ii</w:t>
      </w:r>
      <w:r w:rsidR="00603B32">
        <w:rPr>
          <w:b/>
          <w:bCs/>
        </w:rPr>
        <w:t>)</w:t>
      </w:r>
      <w:r w:rsidR="00603B32">
        <w:rPr>
          <w:b/>
          <w:bCs/>
        </w:rPr>
        <w:tab/>
      </w:r>
      <w:r w:rsidR="00DF56A9" w:rsidRPr="00CB33B2">
        <w:rPr>
          <w:b/>
          <w:bCs/>
        </w:rPr>
        <w:t>Récept</w:t>
      </w:r>
      <w:r w:rsidR="00D5210E">
        <w:rPr>
          <w:b/>
          <w:bCs/>
        </w:rPr>
        <w:t>eur</w:t>
      </w:r>
      <w:r w:rsidR="00DF56A9" w:rsidRPr="00CB33B2">
        <w:rPr>
          <w:b/>
          <w:bCs/>
        </w:rPr>
        <w:t>: station du service fixe</w:t>
      </w:r>
    </w:p>
    <w:p w:rsidR="00DF56A9" w:rsidRDefault="00DF56A9" w:rsidP="00DF56A9">
      <w:r>
        <w:t>La position de la station du service fixe est définie arbitrairement</w:t>
      </w:r>
      <w:r w:rsidR="004A0AEC">
        <w:t>:</w:t>
      </w:r>
    </w:p>
    <w:p w:rsidR="00DF56A9" w:rsidRPr="00594729" w:rsidRDefault="001505F9" w:rsidP="00335409">
      <w:pPr>
        <w:pStyle w:val="enumlev1"/>
      </w:pPr>
      <w:r>
        <w:t>–</w:t>
      </w:r>
      <w:r>
        <w:tab/>
      </w:r>
      <w:r w:rsidR="00DF56A9" w:rsidRPr="00594729">
        <w:t>L</w:t>
      </w:r>
      <w:r w:rsidR="00335409">
        <w:t>atitu</w:t>
      </w:r>
      <w:r w:rsidR="00DF56A9" w:rsidRPr="00594729">
        <w:t>de, 0°</w:t>
      </w:r>
    </w:p>
    <w:p w:rsidR="00DF56A9" w:rsidRPr="00594729" w:rsidRDefault="001505F9" w:rsidP="00335409">
      <w:pPr>
        <w:pStyle w:val="enumlev1"/>
      </w:pPr>
      <w:r>
        <w:t>–</w:t>
      </w:r>
      <w:r>
        <w:tab/>
      </w:r>
      <w:r w:rsidR="00DF56A9" w:rsidRPr="00594729">
        <w:t>Long</w:t>
      </w:r>
      <w:r w:rsidR="00335409">
        <w:t>itu</w:t>
      </w:r>
      <w:r w:rsidR="00DF56A9" w:rsidRPr="00594729">
        <w:t>de, 0°</w:t>
      </w:r>
    </w:p>
    <w:p w:rsidR="00DF56A9" w:rsidRDefault="00DF56A9" w:rsidP="00DF56A9">
      <w:r>
        <w:t>La hauteur de l’antenne de la station retenue pour l’étude est de 30</w:t>
      </w:r>
      <w:r w:rsidR="007B7B2C">
        <w:t> </w:t>
      </w:r>
      <w:r>
        <w:t>m.</w:t>
      </w:r>
    </w:p>
    <w:p w:rsidR="00DF56A9" w:rsidRPr="00CB33B2" w:rsidRDefault="00CB33B2" w:rsidP="00603B32">
      <w:pPr>
        <w:pStyle w:val="enumlev2"/>
        <w:rPr>
          <w:b/>
          <w:bCs/>
        </w:rPr>
      </w:pPr>
      <w:r>
        <w:rPr>
          <w:b/>
          <w:bCs/>
        </w:rPr>
        <w:t>iii</w:t>
      </w:r>
      <w:r w:rsidR="00603B32">
        <w:rPr>
          <w:b/>
          <w:bCs/>
        </w:rPr>
        <w:t>)</w:t>
      </w:r>
      <w:r w:rsidR="00603B32">
        <w:rPr>
          <w:b/>
          <w:bCs/>
        </w:rPr>
        <w:tab/>
      </w:r>
      <w:r w:rsidR="00D5210E">
        <w:rPr>
          <w:b/>
          <w:bCs/>
        </w:rPr>
        <w:t>Emetteur</w:t>
      </w:r>
      <w:r w:rsidR="00DF56A9" w:rsidRPr="00CB33B2">
        <w:rPr>
          <w:b/>
          <w:bCs/>
        </w:rPr>
        <w:t>: station installée sur le drone</w:t>
      </w:r>
    </w:p>
    <w:p w:rsidR="00DF56A9" w:rsidRDefault="00DF56A9" w:rsidP="00603B32">
      <w:r w:rsidRPr="00594729">
        <w:t xml:space="preserve">La trajectoire du drone est définie par un point d’entrée et un point de sortie choisis aléatoirement sur le cercle de visibilité directe du FH, puis par les points linéairement répartis selon le grand axe entre ces </w:t>
      </w:r>
      <w:r w:rsidR="00603B32">
        <w:t>deux</w:t>
      </w:r>
      <w:r w:rsidRPr="00594729">
        <w:t xml:space="preserve"> points</w:t>
      </w:r>
      <w:r>
        <w:t xml:space="preserve"> (voir figure ci-après pour exemple avec survol du FH)</w:t>
      </w:r>
      <w:r w:rsidRPr="00594729">
        <w:t>.</w:t>
      </w:r>
    </w:p>
    <w:p w:rsidR="00DF56A9" w:rsidRDefault="00DF56A9" w:rsidP="00DF56A9"/>
    <w:p w:rsidR="00DF56A9" w:rsidRDefault="00DF56A9" w:rsidP="00DF56A9">
      <w:pPr>
        <w:jc w:val="center"/>
      </w:pPr>
      <w:r>
        <w:rPr>
          <w:noProof/>
          <w:lang w:val="en-US" w:eastAsia="zh-CN"/>
        </w:rPr>
        <w:drawing>
          <wp:inline distT="0" distB="0" distL="0" distR="0" wp14:anchorId="4ED949EC" wp14:editId="00F5C26C">
            <wp:extent cx="4338696" cy="4338696"/>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1_PrincipleCircleDirectview.png"/>
                    <pic:cNvPicPr/>
                  </pic:nvPicPr>
                  <pic:blipFill>
                    <a:blip r:embed="rId18">
                      <a:extLst>
                        <a:ext uri="{28A0092B-C50C-407E-A947-70E740481C1C}">
                          <a14:useLocalDpi xmlns:a14="http://schemas.microsoft.com/office/drawing/2010/main" val="0"/>
                        </a:ext>
                      </a:extLst>
                    </a:blip>
                    <a:stretch>
                      <a:fillRect/>
                    </a:stretch>
                  </pic:blipFill>
                  <pic:spPr>
                    <a:xfrm>
                      <a:off x="0" y="0"/>
                      <a:ext cx="4338696" cy="4338696"/>
                    </a:xfrm>
                    <a:prstGeom prst="rect">
                      <a:avLst/>
                    </a:prstGeom>
                  </pic:spPr>
                </pic:pic>
              </a:graphicData>
            </a:graphic>
          </wp:inline>
        </w:drawing>
      </w:r>
    </w:p>
    <w:p w:rsidR="00DF56A9" w:rsidRPr="00594729" w:rsidRDefault="00DF56A9" w:rsidP="00DF56A9"/>
    <w:p w:rsidR="00603B32" w:rsidRDefault="00603B32">
      <w:pPr>
        <w:tabs>
          <w:tab w:val="clear" w:pos="1134"/>
          <w:tab w:val="clear" w:pos="1871"/>
          <w:tab w:val="clear" w:pos="2268"/>
        </w:tabs>
        <w:overflowPunct/>
        <w:autoSpaceDE/>
        <w:autoSpaceDN/>
        <w:adjustRightInd/>
        <w:spacing w:before="0"/>
        <w:textAlignment w:val="auto"/>
      </w:pPr>
      <w:r>
        <w:br w:type="page"/>
      </w:r>
    </w:p>
    <w:p w:rsidR="00DF56A9" w:rsidRDefault="00DF56A9" w:rsidP="00DF56A9">
      <w:r w:rsidRPr="00594729">
        <w:t>La figure ci-après représente les paramètres utilisés pour définir le cercle de visibilité directe</w:t>
      </w:r>
      <w:r w:rsidR="004A0AEC">
        <w:t>:</w:t>
      </w:r>
    </w:p>
    <w:p w:rsidR="00DF56A9" w:rsidRPr="00594729" w:rsidRDefault="00DF56A9" w:rsidP="00DF56A9"/>
    <w:p w:rsidR="00DF56A9" w:rsidRPr="00594729" w:rsidRDefault="00DF56A9" w:rsidP="00DF56A9">
      <w:pPr>
        <w:jc w:val="center"/>
      </w:pPr>
      <w:r w:rsidRPr="00594729">
        <w:rPr>
          <w:noProof/>
          <w:lang w:val="en-US" w:eastAsia="zh-CN"/>
        </w:rPr>
        <w:drawing>
          <wp:inline distT="0" distB="0" distL="0" distR="0" wp14:anchorId="6F305AFC" wp14:editId="2D1F66C4">
            <wp:extent cx="2859433" cy="29241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CalculCaloteSphérique.png"/>
                    <pic:cNvPicPr/>
                  </pic:nvPicPr>
                  <pic:blipFill>
                    <a:blip r:embed="rId19">
                      <a:extLst>
                        <a:ext uri="{28A0092B-C50C-407E-A947-70E740481C1C}">
                          <a14:useLocalDpi xmlns:a14="http://schemas.microsoft.com/office/drawing/2010/main" val="0"/>
                        </a:ext>
                      </a:extLst>
                    </a:blip>
                    <a:stretch>
                      <a:fillRect/>
                    </a:stretch>
                  </pic:blipFill>
                  <pic:spPr>
                    <a:xfrm>
                      <a:off x="0" y="0"/>
                      <a:ext cx="2861045" cy="2925824"/>
                    </a:xfrm>
                    <a:prstGeom prst="rect">
                      <a:avLst/>
                    </a:prstGeom>
                  </pic:spPr>
                </pic:pic>
              </a:graphicData>
            </a:graphic>
          </wp:inline>
        </w:drawing>
      </w:r>
    </w:p>
    <w:p w:rsidR="00DF56A9" w:rsidRPr="00594729" w:rsidRDefault="00DF56A9" w:rsidP="00DF56A9"/>
    <w:p w:rsidR="00DF56A9" w:rsidRPr="00594729" w:rsidRDefault="009E7F99" w:rsidP="00DF56A9">
      <w:pPr>
        <w:rPr>
          <w:rFonts w:eastAsiaTheme="minorEastAsia"/>
          <w:iCs/>
        </w:rPr>
      </w:pPr>
      <m:oMathPara>
        <m:oMathParaPr>
          <m:jc m:val="centerGroup"/>
        </m:oMathParaPr>
        <m:oMath>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=arcos(</m:t>
          </m:r>
          <m:f>
            <m:fPr>
              <m:ctrlPr>
                <w:rPr>
                  <w:rFonts w:ascii="Cambria Math" w:hAnsi="Cambria Math"/>
                  <w:i/>
                  <w:iCs/>
                </w:rPr>
              </m:ctrlPr>
            </m:fPr>
            <m:num>
              <m:r>
                <w:rPr>
                  <w:rFonts w:ascii="Cambria Math" w:hAnsi="Cambria Math"/>
                </w:rPr>
                <m:t>R</m:t>
              </m:r>
            </m:num>
            <m:den>
              <m:r>
                <w:rPr>
                  <w:rFonts w:ascii="Cambria Math" w:hAnsi="Cambria Math"/>
                </w:rPr>
                <m:t>R+H1</m:t>
              </m:r>
            </m:den>
          </m:f>
          <m:r>
            <w:rPr>
              <w:rFonts w:ascii="Cambria Math" w:hAnsi="Cambria Math"/>
            </w:rPr>
            <m:t>)</m:t>
          </m:r>
        </m:oMath>
      </m:oMathPara>
    </w:p>
    <w:p w:rsidR="00DF56A9" w:rsidRPr="00594729" w:rsidRDefault="009E7F99" w:rsidP="00DF56A9">
      <m:oMathPara>
        <m:oMathParaPr>
          <m:jc m:val="centerGroup"/>
        </m:oMathParaPr>
        <m:oMath>
          <m:sSub>
            <m:sSubPr>
              <m:ctrlPr>
                <w:rPr>
                  <w:rFonts w:ascii="Cambria Math" w:hAnsi="Cambria Math"/>
                  <w:i/>
                  <w:iCs/>
                </w:rPr>
              </m:ctrlPr>
            </m:sSubPr>
            <m:e>
              <m:r>
                <w:rPr>
                  <w:rFonts w:ascii="Cambria Math" w:hAnsi="Cambria Math"/>
                </w:rPr>
                <m:t>∝</m:t>
              </m:r>
            </m:e>
            <m:sub>
              <m:r>
                <w:rPr>
                  <w:rFonts w:ascii="Cambria Math" w:hAnsi="Cambria Math"/>
                </w:rPr>
                <m:t>2</m:t>
              </m:r>
            </m:sub>
          </m:sSub>
          <m:r>
            <w:rPr>
              <w:rFonts w:ascii="Cambria Math" w:hAnsi="Cambria Math"/>
            </w:rPr>
            <m:t>=arcos(</m:t>
          </m:r>
          <m:f>
            <m:fPr>
              <m:ctrlPr>
                <w:rPr>
                  <w:rFonts w:ascii="Cambria Math" w:hAnsi="Cambria Math"/>
                  <w:i/>
                  <w:iCs/>
                </w:rPr>
              </m:ctrlPr>
            </m:fPr>
            <m:num>
              <m:r>
                <w:rPr>
                  <w:rFonts w:ascii="Cambria Math" w:hAnsi="Cambria Math"/>
                </w:rPr>
                <m:t>R</m:t>
              </m:r>
            </m:num>
            <m:den>
              <m:r>
                <w:rPr>
                  <w:rFonts w:ascii="Cambria Math" w:hAnsi="Cambria Math"/>
                </w:rPr>
                <m:t>R+H2</m:t>
              </m:r>
            </m:den>
          </m:f>
          <m:r>
            <w:rPr>
              <w:rFonts w:ascii="Cambria Math" w:hAnsi="Cambria Math"/>
            </w:rPr>
            <m:t>)</m:t>
          </m:r>
        </m:oMath>
      </m:oMathPara>
    </w:p>
    <w:p w:rsidR="00DF56A9" w:rsidRPr="00594729" w:rsidRDefault="00DF56A9" w:rsidP="00DF56A9">
      <m:oMathPara>
        <m:oMathParaPr>
          <m:jc m:val="centerGroup"/>
        </m:oMathParaPr>
        <m:oMath>
          <m:r>
            <w:rPr>
              <w:rFonts w:ascii="Cambria Math" w:hAnsi="Cambria Math"/>
            </w:rPr>
            <m:t>PtCirconference_ENU(θ)=</m:t>
          </m:r>
          <m:d>
            <m:dPr>
              <m:begChr m:val="{"/>
              <m:endChr m:val=""/>
              <m:ctrlPr>
                <w:rPr>
                  <w:rFonts w:ascii="Cambria Math" w:hAnsi="Cambria Math"/>
                  <w:i/>
                  <w:iCs/>
                </w:rPr>
              </m:ctrlPr>
            </m:dPr>
            <m:e>
              <m:eqArr>
                <m:eqArrPr>
                  <m:ctrlPr>
                    <w:rPr>
                      <w:rFonts w:ascii="Cambria Math" w:hAnsi="Cambria Math"/>
                      <w:i/>
                      <w:iCs/>
                    </w:rPr>
                  </m:ctrlPr>
                </m:eqArrPr>
                <m:e>
                  <m:d>
                    <m:dPr>
                      <m:ctrlPr>
                        <w:rPr>
                          <w:rFonts w:ascii="Cambria Math" w:hAnsi="Cambria Math"/>
                          <w:i/>
                          <w:iCs/>
                        </w:rPr>
                      </m:ctrlPr>
                    </m:dPr>
                    <m:e>
                      <m:r>
                        <w:rPr>
                          <w:rFonts w:ascii="Cambria Math" w:hAnsi="Cambria Math"/>
                        </w:rPr>
                        <m:t>R+H2</m:t>
                      </m:r>
                    </m:e>
                  </m:d>
                  <m:r>
                    <w:rPr>
                      <w:rFonts w:ascii="Cambria Math" w:hAnsi="Cambria Math"/>
                    </w:rPr>
                    <m:t>*</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func>
                  <m:r>
                    <w:rPr>
                      <w:rFonts w:ascii="Cambria Math" w:hAnsi="Cambria Math"/>
                    </w:rPr>
                    <m:t>*</m:t>
                  </m:r>
                  <m:r>
                    <m:rPr>
                      <m:sty m:val="p"/>
                    </m:rPr>
                    <w:rPr>
                      <w:rFonts w:ascii="Cambria Math" w:hAnsi="Cambria Math"/>
                    </w:rPr>
                    <m:t>cos</m:t>
                  </m:r>
                  <m:r>
                    <w:rPr>
                      <w:rFonts w:ascii="Cambria Math" w:hAnsi="Cambria Math"/>
                    </w:rPr>
                    <m:t>(θ)</m:t>
                  </m:r>
                </m:e>
                <m:e>
                  <m:d>
                    <m:dPr>
                      <m:ctrlPr>
                        <w:rPr>
                          <w:rFonts w:ascii="Cambria Math" w:hAnsi="Cambria Math"/>
                          <w:i/>
                          <w:iCs/>
                        </w:rPr>
                      </m:ctrlPr>
                    </m:dPr>
                    <m:e>
                      <m:r>
                        <w:rPr>
                          <w:rFonts w:ascii="Cambria Math" w:hAnsi="Cambria Math"/>
                        </w:rPr>
                        <m:t>R+H2</m:t>
                      </m:r>
                    </m:e>
                  </m:d>
                  <m:r>
                    <w:rPr>
                      <w:rFonts w:ascii="Cambria Math" w:hAnsi="Cambria Math"/>
                    </w:rPr>
                    <m:t>*</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func>
                  <m:r>
                    <w:rPr>
                      <w:rFonts w:ascii="Cambria Math" w:hAnsi="Cambria Math"/>
                    </w:rPr>
                    <m:t>*</m:t>
                  </m:r>
                  <m:r>
                    <m:rPr>
                      <m:sty m:val="p"/>
                    </m:rPr>
                    <w:rPr>
                      <w:rFonts w:ascii="Cambria Math" w:hAnsi="Cambria Math"/>
                    </w:rPr>
                    <m:t>sin</m:t>
                  </m:r>
                  <m:r>
                    <w:rPr>
                      <w:rFonts w:ascii="Cambria Math" w:hAnsi="Cambria Math"/>
                    </w:rPr>
                    <m:t>(θ)</m:t>
                  </m:r>
                </m:e>
                <m:e>
                  <m:r>
                    <w:rPr>
                      <w:rFonts w:ascii="Cambria Math" w:hAnsi="Cambria Math"/>
                    </w:rPr>
                    <m:t>-R+</m:t>
                  </m:r>
                  <m:d>
                    <m:dPr>
                      <m:ctrlPr>
                        <w:rPr>
                          <w:rFonts w:ascii="Cambria Math" w:hAnsi="Cambria Math"/>
                          <w:i/>
                          <w:iCs/>
                        </w:rPr>
                      </m:ctrlPr>
                    </m:dPr>
                    <m:e>
                      <m:r>
                        <w:rPr>
                          <w:rFonts w:ascii="Cambria Math" w:hAnsi="Cambria Math"/>
                        </w:rPr>
                        <m:t>R+H2</m:t>
                      </m:r>
                    </m:e>
                  </m:d>
                  <m:r>
                    <w:rPr>
                      <w:rFonts w:ascii="Cambria Math" w:hAnsi="Cambria Math"/>
                    </w:rPr>
                    <m:t>*</m:t>
                  </m:r>
                  <m:r>
                    <m:rPr>
                      <m:sty m:val="p"/>
                    </m:rPr>
                    <w:rPr>
                      <w:rFonts w:ascii="Cambria Math" w:hAnsi="Cambria Math"/>
                    </w:rPr>
                    <m:t>cos</m:t>
                  </m:r>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eqArr>
            </m:e>
          </m:d>
        </m:oMath>
      </m:oMathPara>
    </w:p>
    <w:p w:rsidR="00DF56A9" w:rsidRDefault="00DF56A9" w:rsidP="00DF56A9"/>
    <w:p w:rsidR="00DF56A9" w:rsidRDefault="00603B32" w:rsidP="00603B32">
      <w:pPr>
        <w:pStyle w:val="Heading1"/>
      </w:pPr>
      <w:r>
        <w:t>3</w:t>
      </w:r>
      <w:r>
        <w:tab/>
      </w:r>
      <w:r w:rsidR="00DF56A9" w:rsidRPr="00603B32">
        <w:t>Analyse</w:t>
      </w:r>
      <w:r w:rsidR="00DF56A9">
        <w:t xml:space="preserve"> en bande 14/10GHz</w:t>
      </w:r>
    </w:p>
    <w:p w:rsidR="00DF56A9" w:rsidRPr="00CB33B2" w:rsidRDefault="00CB33B2" w:rsidP="00603B32">
      <w:pPr>
        <w:pStyle w:val="Headingb"/>
      </w:pPr>
      <w:r>
        <w:t>a</w:t>
      </w:r>
      <w:r w:rsidR="00603B32">
        <w:t>)</w:t>
      </w:r>
      <w:r w:rsidR="00603B32">
        <w:tab/>
      </w:r>
      <w:r w:rsidR="00DF56A9" w:rsidRPr="00CB33B2">
        <w:t>Caractéristiques de l’émission</w:t>
      </w:r>
    </w:p>
    <w:p w:rsidR="00DF56A9" w:rsidRPr="00CB33B2" w:rsidRDefault="00CB33B2" w:rsidP="00603B32">
      <w:pPr>
        <w:pStyle w:val="enumlev2"/>
        <w:rPr>
          <w:b/>
          <w:bCs/>
        </w:rPr>
      </w:pPr>
      <w:bookmarkStart w:id="7" w:name="_Toc431815738"/>
      <w:r>
        <w:rPr>
          <w:b/>
          <w:bCs/>
        </w:rPr>
        <w:t>i</w:t>
      </w:r>
      <w:r w:rsidR="00603B32">
        <w:rPr>
          <w:b/>
          <w:bCs/>
        </w:rPr>
        <w:t>)</w:t>
      </w:r>
      <w:r w:rsidR="00603B32">
        <w:rPr>
          <w:b/>
          <w:bCs/>
        </w:rPr>
        <w:tab/>
      </w:r>
      <w:r w:rsidR="00DF56A9" w:rsidRPr="00CB33B2">
        <w:rPr>
          <w:b/>
          <w:bCs/>
        </w:rPr>
        <w:t>Masques de PFD</w:t>
      </w:r>
      <w:bookmarkEnd w:id="7"/>
    </w:p>
    <w:p w:rsidR="00DF56A9" w:rsidRDefault="00DF56A9" w:rsidP="00DF56A9">
      <w:r>
        <w:t>Différents masques dans la bande considérée ont été analysés.</w:t>
      </w:r>
    </w:p>
    <w:p w:rsidR="00DF56A9" w:rsidRDefault="00DF56A9" w:rsidP="00DF56A9">
      <w:pPr>
        <w:jc w:val="center"/>
      </w:pPr>
      <w:r>
        <w:rPr>
          <w:noProof/>
          <w:lang w:val="en-US" w:eastAsia="zh-CN"/>
        </w:rPr>
        <w:drawing>
          <wp:inline distT="0" distB="0" distL="0" distR="0" wp14:anchorId="384763EC" wp14:editId="25D12489">
            <wp:extent cx="5333334" cy="4000000"/>
            <wp:effectExtent l="0" t="0" r="127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7_Comparaison_Mask_PFD_Ku.png"/>
                    <pic:cNvPicPr/>
                  </pic:nvPicPr>
                  <pic:blipFill>
                    <a:blip r:embed="rId20">
                      <a:extLst>
                        <a:ext uri="{28A0092B-C50C-407E-A947-70E740481C1C}">
                          <a14:useLocalDpi xmlns:a14="http://schemas.microsoft.com/office/drawing/2010/main" val="0"/>
                        </a:ext>
                      </a:extLst>
                    </a:blip>
                    <a:stretch>
                      <a:fillRect/>
                    </a:stretch>
                  </pic:blipFill>
                  <pic:spPr>
                    <a:xfrm>
                      <a:off x="0" y="0"/>
                      <a:ext cx="5333334" cy="4000000"/>
                    </a:xfrm>
                    <a:prstGeom prst="rect">
                      <a:avLst/>
                    </a:prstGeom>
                  </pic:spPr>
                </pic:pic>
              </a:graphicData>
            </a:graphic>
          </wp:inline>
        </w:drawing>
      </w:r>
    </w:p>
    <w:p w:rsidR="00DF56A9" w:rsidRPr="007D4FAF" w:rsidRDefault="00DF56A9" w:rsidP="00DF56A9">
      <w:r>
        <w:t>Le masque proposé fourni en Annexe 1 correspond au masque UAV_Option4_Ku.</w:t>
      </w:r>
    </w:p>
    <w:p w:rsidR="00DF56A9" w:rsidRPr="00CB33B2" w:rsidRDefault="00CB33B2" w:rsidP="00603B32">
      <w:pPr>
        <w:pStyle w:val="Headingb"/>
      </w:pPr>
      <w:r>
        <w:t>b</w:t>
      </w:r>
      <w:r w:rsidR="00603B32">
        <w:t>)</w:t>
      </w:r>
      <w:r w:rsidR="00603B32">
        <w:tab/>
      </w:r>
      <w:r w:rsidR="00DF56A9" w:rsidRPr="00CB33B2">
        <w:t>Caractéristiques du récepteur</w:t>
      </w:r>
    </w:p>
    <w:p w:rsidR="00DF56A9" w:rsidRPr="00CB33B2" w:rsidRDefault="00CB33B2" w:rsidP="00603B32">
      <w:pPr>
        <w:pStyle w:val="enumlev2"/>
        <w:rPr>
          <w:b/>
          <w:bCs/>
        </w:rPr>
      </w:pPr>
      <w:r>
        <w:rPr>
          <w:b/>
          <w:bCs/>
        </w:rPr>
        <w:t>i</w:t>
      </w:r>
      <w:r w:rsidR="00603B32">
        <w:rPr>
          <w:b/>
          <w:bCs/>
        </w:rPr>
        <w:t>)</w:t>
      </w:r>
      <w:r w:rsidR="00603B32">
        <w:rPr>
          <w:b/>
          <w:bCs/>
        </w:rPr>
        <w:tab/>
      </w:r>
      <w:r w:rsidR="00DF56A9" w:rsidRPr="00CB33B2">
        <w:rPr>
          <w:b/>
          <w:bCs/>
        </w:rPr>
        <w:t>Gain d’antenne du récepteur</w:t>
      </w:r>
    </w:p>
    <w:p w:rsidR="00DF56A9" w:rsidRPr="00594729" w:rsidRDefault="00DF56A9" w:rsidP="00DF56A9">
      <w:r w:rsidRPr="00594729">
        <w:t>Le gain maximum d’antenne retenu pour les études est  choisi respectivement de 49, 45, 35, 28 ou 18</w:t>
      </w:r>
      <w:r w:rsidR="00603B32">
        <w:t> </w:t>
      </w:r>
      <w:r w:rsidRPr="00594729">
        <w:t>dBi.</w:t>
      </w:r>
    </w:p>
    <w:p w:rsidR="00DF56A9" w:rsidRDefault="00DF56A9" w:rsidP="00DF56A9">
      <w:r w:rsidRPr="00594729">
        <w:t>Le diagramme d’antenne se base sur la Recommandation UIT-R F.1245</w:t>
      </w:r>
      <w:r>
        <w:t xml:space="preserve"> dans le cadre de liaisons </w:t>
      </w:r>
      <w:r w:rsidR="00603B32">
        <w:t>p</w:t>
      </w:r>
      <w:r>
        <w:t xml:space="preserve">oint à </w:t>
      </w:r>
      <w:r w:rsidR="00603B32">
        <w:t>p</w:t>
      </w:r>
      <w:r>
        <w:t>oint (P-P).</w:t>
      </w:r>
    </w:p>
    <w:p w:rsidR="00DF56A9" w:rsidRDefault="00DF56A9" w:rsidP="00DF56A9">
      <w:pPr>
        <w:jc w:val="center"/>
      </w:pPr>
      <w:r w:rsidRPr="00594729">
        <w:rPr>
          <w:noProof/>
          <w:lang w:val="en-US" w:eastAsia="zh-CN"/>
        </w:rPr>
        <w:drawing>
          <wp:inline distT="0" distB="0" distL="0" distR="0" wp14:anchorId="63736067" wp14:editId="5C4637F1">
            <wp:extent cx="4558352" cy="3418764"/>
            <wp:effectExtent l="0" t="0" r="0" b="0"/>
            <wp:docPr id="2362"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21">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DF56A9" w:rsidRDefault="00DF56A9" w:rsidP="00603B32">
      <w:r>
        <w:t xml:space="preserve">Dans le cadre de liaisons </w:t>
      </w:r>
      <w:r w:rsidR="00603B32">
        <w:t>p</w:t>
      </w:r>
      <w:r>
        <w:t>oint-</w:t>
      </w:r>
      <w:r w:rsidR="00603B32">
        <w:t>m</w:t>
      </w:r>
      <w:r>
        <w:t>ulti</w:t>
      </w:r>
      <w:r w:rsidR="00603B32">
        <w:t>point</w:t>
      </w:r>
      <w:r>
        <w:t xml:space="preserve"> (P-MP), le diagramme d’antenne à utiliser serait la Recommandation UIT-R F.1336. </w:t>
      </w:r>
    </w:p>
    <w:p w:rsidR="00DF56A9" w:rsidRPr="00CB33B2" w:rsidRDefault="00CB33B2" w:rsidP="00603B32">
      <w:pPr>
        <w:pStyle w:val="enumlev2"/>
        <w:rPr>
          <w:b/>
          <w:bCs/>
        </w:rPr>
      </w:pPr>
      <w:r>
        <w:rPr>
          <w:b/>
          <w:bCs/>
        </w:rPr>
        <w:t>ii</w:t>
      </w:r>
      <w:r w:rsidR="00603B32">
        <w:rPr>
          <w:b/>
          <w:bCs/>
        </w:rPr>
        <w:t>)</w:t>
      </w:r>
      <w:r w:rsidR="00603B32">
        <w:rPr>
          <w:b/>
          <w:bCs/>
        </w:rPr>
        <w:tab/>
      </w:r>
      <w:r w:rsidR="00DF56A9" w:rsidRPr="00CB33B2">
        <w:rPr>
          <w:b/>
          <w:bCs/>
        </w:rPr>
        <w:t>Elévation de l’antenne du récepteur</w:t>
      </w:r>
    </w:p>
    <w:p w:rsidR="00DF56A9" w:rsidRPr="00594729" w:rsidRDefault="00DF56A9" w:rsidP="00DF56A9">
      <w:r w:rsidRPr="00594729">
        <w:t>Pour l’élévation</w:t>
      </w:r>
      <w:r>
        <w:t xml:space="preserve"> du récepteur</w:t>
      </w:r>
      <w:r w:rsidRPr="00594729">
        <w:t>, les valeurs suivantes sont prises en compte</w:t>
      </w:r>
      <w:r w:rsidR="004A0AEC">
        <w:t>:</w:t>
      </w:r>
      <w:r w:rsidRPr="00594729">
        <w:t xml:space="preserve"> 0°, 1°,2°, 3°, 4° et 5°.</w:t>
      </w:r>
    </w:p>
    <w:p w:rsidR="00DF56A9" w:rsidRPr="00CB33B2" w:rsidRDefault="00CB33B2" w:rsidP="00603B32">
      <w:pPr>
        <w:pStyle w:val="enumlev2"/>
        <w:rPr>
          <w:b/>
          <w:bCs/>
        </w:rPr>
      </w:pPr>
      <w:r>
        <w:rPr>
          <w:b/>
          <w:bCs/>
        </w:rPr>
        <w:t>iii</w:t>
      </w:r>
      <w:r w:rsidR="00603B32">
        <w:rPr>
          <w:b/>
          <w:bCs/>
        </w:rPr>
        <w:t>)</w:t>
      </w:r>
      <w:r w:rsidR="00603B32">
        <w:rPr>
          <w:b/>
          <w:bCs/>
        </w:rPr>
        <w:tab/>
      </w:r>
      <w:r w:rsidR="00DF56A9" w:rsidRPr="00CB33B2">
        <w:rPr>
          <w:b/>
          <w:bCs/>
        </w:rPr>
        <w:t>Analyse des critères de protection du service fixe</w:t>
      </w:r>
    </w:p>
    <w:p w:rsidR="00DF56A9" w:rsidRPr="00CB33B2" w:rsidRDefault="00CB33B2" w:rsidP="00603B32">
      <w:pPr>
        <w:pStyle w:val="enumlev3"/>
        <w:rPr>
          <w:b/>
          <w:bCs/>
        </w:rPr>
      </w:pPr>
      <w:r>
        <w:rPr>
          <w:b/>
          <w:bCs/>
        </w:rPr>
        <w:tab/>
        <w:t>1</w:t>
      </w:r>
      <w:r w:rsidR="00603B32">
        <w:rPr>
          <w:b/>
          <w:bCs/>
        </w:rPr>
        <w:t>)</w:t>
      </w:r>
      <w:r w:rsidR="00603B32">
        <w:rPr>
          <w:b/>
          <w:bCs/>
        </w:rPr>
        <w:tab/>
      </w:r>
      <w:r w:rsidR="00DF56A9" w:rsidRPr="00CB33B2">
        <w:rPr>
          <w:b/>
          <w:bCs/>
        </w:rPr>
        <w:t>Niveau d’interférence</w:t>
      </w:r>
    </w:p>
    <w:p w:rsidR="00DF56A9" w:rsidRPr="00594729" w:rsidRDefault="00DF56A9" w:rsidP="00DF56A9">
      <w:r w:rsidRPr="00594729">
        <w:t>Le niveau d’interférence est obtenu en appliquant la formule suivante</w:t>
      </w:r>
      <w:r w:rsidR="004A0AEC">
        <w:t>:</w:t>
      </w:r>
    </w:p>
    <w:p w:rsidR="00DF56A9" w:rsidRPr="00594729" w:rsidRDefault="00DF56A9" w:rsidP="00DF56A9">
      <w:r>
        <w:tab/>
      </w:r>
      <w:r>
        <w:tab/>
      </w:r>
      <w:r>
        <w:tab/>
      </w:r>
      <w:r>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-10*log10(</m:t>
        </m:r>
        <m:sSup>
          <m:sSupPr>
            <m:ctrlPr>
              <w:rPr>
                <w:rFonts w:ascii="Cambria Math" w:hAnsi="Cambria Math"/>
              </w:rPr>
            </m:ctrlPr>
          </m:sSupPr>
          <m:e>
            <m:r>
              <m:rPr>
                <m:sty m:val="p"/>
              </m:rPr>
              <w:rPr>
                <w:rFonts w:ascii="Cambria Math" w:hAnsi="Cambria Math"/>
              </w:rPr>
              <m:t>4π(</m:t>
            </m:r>
            <m:f>
              <m:fPr>
                <m:ctrlPr>
                  <w:rPr>
                    <w:rFonts w:ascii="Cambria Math" w:hAnsi="Cambria Math"/>
                  </w:rPr>
                </m:ctrlPr>
              </m:fPr>
              <m:num>
                <m:r>
                  <m:rPr>
                    <m:sty m:val="p"/>
                  </m:rPr>
                  <w:rPr>
                    <w:rFonts w:ascii="Cambria Math" w:hAnsi="Cambria Math"/>
                  </w:rPr>
                  <m:t>f</m:t>
                </m:r>
              </m:num>
              <m:den>
                <m:r>
                  <m:rPr>
                    <m:sty m:val="p"/>
                  </m:rPr>
                  <w:rPr>
                    <w:rFonts w:ascii="Cambria Math" w:hAnsi="Cambria Math"/>
                  </w:rPr>
                  <m:t>c</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m:t>
        </m:r>
      </m:oMath>
      <w:r w:rsidRPr="00F576C9">
        <w:t>)</w:t>
      </w:r>
    </w:p>
    <w:p w:rsidR="00DF56A9" w:rsidRPr="00594729" w:rsidRDefault="00DF56A9" w:rsidP="00603B32">
      <w:r w:rsidRPr="00594729">
        <w:t>Avec</w:t>
      </w:r>
      <w:r w:rsidR="004A0AEC">
        <w:t>:</w:t>
      </w:r>
      <w:r w:rsidRPr="00594729">
        <w:tab/>
        <w:t>f en Hz</w:t>
      </w:r>
    </w:p>
    <w:p w:rsidR="00DF56A9" w:rsidRPr="00594729" w:rsidRDefault="00DF56A9" w:rsidP="00DF56A9">
      <w:r w:rsidRPr="00594729">
        <w:tab/>
        <w:t>c en m/s</w:t>
      </w:r>
    </w:p>
    <w:p w:rsidR="00DF56A9" w:rsidRPr="00594729" w:rsidRDefault="00DF56A9" w:rsidP="00DF56A9">
      <w:r w:rsidRPr="00594729">
        <w:t>Soit</w:t>
      </w:r>
      <w:r w:rsidR="004A0AEC">
        <w:t>:</w:t>
      </w:r>
      <w:r w:rsidRPr="00594729">
        <w:t xml:space="preserve"> </w:t>
      </w:r>
      <w:r w:rsidRPr="00594729">
        <w:tab/>
      </w:r>
      <w:r w:rsidRPr="00594729">
        <w:tab/>
        <w:t xml:space="preserve"> </w:t>
      </w:r>
      <w:r w:rsidRPr="00F576C9">
        <w:tab/>
      </w:r>
      <w:r w:rsidRPr="00F576C9">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-44</m:t>
        </m:r>
      </m:oMath>
      <w:r w:rsidRPr="00F576C9">
        <w:tab/>
      </w:r>
      <w:r w:rsidRPr="00F576C9">
        <w:tab/>
        <w:t>à 14 GHz</w:t>
      </w:r>
      <w:r w:rsidRPr="00594729">
        <w:t>.</w:t>
      </w:r>
    </w:p>
    <w:p w:rsidR="00DF56A9" w:rsidRDefault="00DF56A9" w:rsidP="00DF56A9"/>
    <w:p w:rsidR="00DF56A9" w:rsidRPr="00CB33B2" w:rsidRDefault="00CB33B2" w:rsidP="00603B32">
      <w:pPr>
        <w:pStyle w:val="enumlev3"/>
        <w:rPr>
          <w:b/>
          <w:bCs/>
        </w:rPr>
      </w:pPr>
      <w:r>
        <w:rPr>
          <w:b/>
          <w:bCs/>
        </w:rPr>
        <w:tab/>
        <w:t>2</w:t>
      </w:r>
      <w:r w:rsidR="00603B32">
        <w:rPr>
          <w:b/>
          <w:bCs/>
        </w:rPr>
        <w:t>)</w:t>
      </w:r>
      <w:r w:rsidR="00603B32">
        <w:rPr>
          <w:b/>
          <w:bCs/>
        </w:rPr>
        <w:tab/>
      </w:r>
      <w:r w:rsidR="00DF56A9" w:rsidRPr="00CB33B2">
        <w:rPr>
          <w:b/>
          <w:bCs/>
        </w:rPr>
        <w:t>Niveau de bruit</w:t>
      </w:r>
    </w:p>
    <w:p w:rsidR="00DF56A9" w:rsidRPr="00594729" w:rsidRDefault="00DF56A9" w:rsidP="00DF56A9">
      <w:r w:rsidRPr="00594729">
        <w:t>Par ailleurs, le niveau de bruit considéré pour 14MHz a été fixé à -126.5dBW et pour 1 MHz est fixé à -138dBW, et obtenu à partir des équations suivantes, avec un facteur de bruit de 6dB</w:t>
      </w:r>
      <w:r w:rsidR="004A0AEC">
        <w:t>:</w:t>
      </w:r>
    </w:p>
    <w:p w:rsidR="007B7B2C" w:rsidRPr="00BB3779" w:rsidRDefault="007B7B2C" w:rsidP="007B7B2C">
      <w:pPr>
        <w:rPr>
          <w:lang w:val="fr-CH"/>
        </w:rPr>
      </w:pPr>
      <w:r w:rsidRPr="00BB3779">
        <w:rPr>
          <w:lang w:val="fr-CH"/>
        </w:rPr>
        <w:t>Receiver_Noise_dBm = –114 + 10.*log10(BANDWIDTH_MHz) + Noise_Figure_dB</w:t>
      </w:r>
    </w:p>
    <w:p w:rsidR="007B7B2C" w:rsidRPr="00EE7C72" w:rsidRDefault="007B7B2C" w:rsidP="007B7B2C">
      <w:r w:rsidRPr="00EE7C72">
        <w:t>Receiver_Noise_dBW = Receiver_Noise_dBm</w:t>
      </w:r>
      <w:r>
        <w:t> </w:t>
      </w:r>
      <w:r w:rsidRPr="00BB3779">
        <w:rPr>
          <w:lang w:val="fr-CH"/>
        </w:rPr>
        <w:t>–</w:t>
      </w:r>
      <w:r>
        <w:t> </w:t>
      </w:r>
      <w:r w:rsidRPr="00EE7C72">
        <w:t>30</w:t>
      </w:r>
      <w:r>
        <w:t>.</w:t>
      </w:r>
    </w:p>
    <w:p w:rsidR="00DF56A9" w:rsidRPr="00CB33B2" w:rsidRDefault="00CB33B2" w:rsidP="00603B32">
      <w:pPr>
        <w:pStyle w:val="enumlev3"/>
        <w:rPr>
          <w:b/>
          <w:bCs/>
        </w:rPr>
      </w:pPr>
      <w:r>
        <w:rPr>
          <w:b/>
          <w:bCs/>
        </w:rPr>
        <w:tab/>
        <w:t>3</w:t>
      </w:r>
      <w:r w:rsidR="00603B32">
        <w:rPr>
          <w:b/>
          <w:bCs/>
        </w:rPr>
        <w:t>)</w:t>
      </w:r>
      <w:r w:rsidR="00603B32">
        <w:rPr>
          <w:b/>
          <w:bCs/>
        </w:rPr>
        <w:tab/>
      </w:r>
      <w:r w:rsidR="00DF56A9" w:rsidRPr="00CB33B2">
        <w:rPr>
          <w:b/>
          <w:bCs/>
        </w:rPr>
        <w:t>Critères de protection</w:t>
      </w:r>
    </w:p>
    <w:p w:rsidR="00DF56A9" w:rsidRPr="00594729" w:rsidRDefault="00DF56A9" w:rsidP="007B7B2C">
      <w:r w:rsidRPr="00594729">
        <w:t>La Recommandation U</w:t>
      </w:r>
      <w:r w:rsidR="00603B32">
        <w:t>IT</w:t>
      </w:r>
      <w:r w:rsidRPr="00594729">
        <w:t>-R F.758 décrit le principe voire les niveaux des critères de protection en I/N associé à un pourcentage de temps pour le long terme et le court terme, et en dégradation relative de la qualité de fonctionnement (FDP</w:t>
      </w:r>
      <w:r w:rsidR="007B7B2C">
        <w:t>,</w:t>
      </w:r>
      <w:r w:rsidRPr="00594729">
        <w:t xml:space="preserve"> </w:t>
      </w:r>
      <w:r w:rsidR="007B7B2C" w:rsidRPr="007B7B2C">
        <w:rPr>
          <w:i/>
          <w:iCs/>
        </w:rPr>
        <w:t>f</w:t>
      </w:r>
      <w:r w:rsidRPr="007B7B2C">
        <w:rPr>
          <w:i/>
          <w:iCs/>
        </w:rPr>
        <w:t xml:space="preserve">ractionnal </w:t>
      </w:r>
      <w:r w:rsidR="007B7B2C" w:rsidRPr="007B7B2C">
        <w:rPr>
          <w:i/>
          <w:iCs/>
        </w:rPr>
        <w:t>d</w:t>
      </w:r>
      <w:r w:rsidRPr="007B7B2C">
        <w:rPr>
          <w:i/>
          <w:iCs/>
        </w:rPr>
        <w:t xml:space="preserve">egradation in </w:t>
      </w:r>
      <w:r w:rsidR="007B7B2C" w:rsidRPr="007B7B2C">
        <w:rPr>
          <w:i/>
          <w:iCs/>
        </w:rPr>
        <w:t>p</w:t>
      </w:r>
      <w:r w:rsidRPr="007B7B2C">
        <w:rPr>
          <w:i/>
          <w:iCs/>
        </w:rPr>
        <w:t>erformance</w:t>
      </w:r>
      <w:r w:rsidRPr="00594729">
        <w:t>).</w:t>
      </w:r>
    </w:p>
    <w:p w:rsidR="00DF56A9" w:rsidRPr="00594729" w:rsidRDefault="00DF56A9" w:rsidP="007B7B2C">
      <w:r w:rsidRPr="00594729">
        <w:t xml:space="preserve">Le critère long terme consiste à ne pas dépasser un niveau de I/N de </w:t>
      </w:r>
      <w:r w:rsidR="007B7B2C" w:rsidRPr="007B7B2C">
        <w:rPr>
          <w:lang w:val="fr-CH"/>
        </w:rPr>
        <w:t xml:space="preserve">–10 dB </w:t>
      </w:r>
      <w:r w:rsidRPr="00594729">
        <w:t>plus de 20% du temps dans le cas de services co-primaires. Dans ce cas, la FDP doit également respecter un seuil de 10% selon la méthodologie définie dans la Recommandation UIT-R F.1108.</w:t>
      </w:r>
    </w:p>
    <w:p w:rsidR="00DF56A9" w:rsidRPr="00594729" w:rsidRDefault="00DF56A9" w:rsidP="00DF56A9">
      <w:r w:rsidRPr="00594729">
        <w:t>La Recommandation UIT-R F.1494 propose une méthodologie pour définir le critère de protection court terme du service fixe.</w:t>
      </w:r>
    </w:p>
    <w:p w:rsidR="00DF56A9" w:rsidRPr="00594729" w:rsidRDefault="00DF56A9" w:rsidP="00DF56A9">
      <w:r w:rsidRPr="00594729">
        <w:t>Le pire cas correspond à un I/N de 19</w:t>
      </w:r>
      <w:r w:rsidR="007B7B2C">
        <w:t xml:space="preserve"> </w:t>
      </w:r>
      <w:r w:rsidRPr="00594729">
        <w:t>dB associé à un pourcentage de temps de 9.52.E-04</w:t>
      </w:r>
      <w:r>
        <w:t>.</w:t>
      </w:r>
      <w:r w:rsidRPr="00594729">
        <w:t xml:space="preserve"> </w:t>
      </w:r>
    </w:p>
    <w:p w:rsidR="00DF56A9" w:rsidRPr="00594729" w:rsidRDefault="00CB33B2" w:rsidP="00603B32">
      <w:pPr>
        <w:pStyle w:val="Headingb"/>
      </w:pPr>
      <w:r>
        <w:t>Descriptif</w:t>
      </w:r>
    </w:p>
    <w:p w:rsidR="00DF56A9" w:rsidRPr="00594729" w:rsidRDefault="00DF56A9" w:rsidP="00603B32">
      <w:r w:rsidRPr="00594729">
        <w:t>La marge totale d’évanouissement est prise à 37</w:t>
      </w:r>
      <w:r w:rsidR="00603B32">
        <w:t> </w:t>
      </w:r>
      <w:r w:rsidRPr="00594729">
        <w:t>dB pour un taux d’erreur binaire (Bite Error Rate) BER de 10</w:t>
      </w:r>
      <w:r w:rsidR="00603B32" w:rsidRPr="00603B32">
        <w:rPr>
          <w:vertAlign w:val="superscript"/>
        </w:rPr>
        <w:t>–</w:t>
      </w:r>
      <w:r w:rsidRPr="00603B32">
        <w:rPr>
          <w:vertAlign w:val="superscript"/>
        </w:rPr>
        <w:t>3</w:t>
      </w:r>
      <w:r w:rsidRPr="00594729">
        <w:t xml:space="preserve"> et un</w:t>
      </w:r>
      <w:r>
        <w:t>e régulation automatique de la puissance émise</w:t>
      </w:r>
      <w:r w:rsidRPr="00594729">
        <w:t xml:space="preserve"> </w:t>
      </w:r>
      <w:r>
        <w:t>(ATPC)</w:t>
      </w:r>
      <w:r w:rsidRPr="00594729" w:rsidDel="004E7F74">
        <w:t xml:space="preserve"> </w:t>
      </w:r>
      <w:r w:rsidRPr="00594729">
        <w:t>de 13</w:t>
      </w:r>
      <w:r>
        <w:t xml:space="preserve"> dB</w:t>
      </w:r>
      <w:r w:rsidRPr="00594729">
        <w:t>. La marge d’é</w:t>
      </w:r>
      <w:r w:rsidR="00CB33B2">
        <w:t>vanouissement pour le taux de «</w:t>
      </w:r>
      <w:r w:rsidRPr="00594729">
        <w:t>seconde</w:t>
      </w:r>
      <w:r w:rsidR="00CB33B2">
        <w:t>s avec beaucoup d’erreurs» (SES</w:t>
      </w:r>
      <w:r w:rsidR="00603B32">
        <w:t>,</w:t>
      </w:r>
      <w:r w:rsidRPr="00594729">
        <w:t xml:space="preserve"> </w:t>
      </w:r>
      <w:r w:rsidRPr="00603B32">
        <w:rPr>
          <w:i/>
          <w:iCs/>
        </w:rPr>
        <w:t>severely errored seconds</w:t>
      </w:r>
      <w:r w:rsidRPr="00594729">
        <w:t>) est 1</w:t>
      </w:r>
      <w:r w:rsidR="00603B32">
        <w:t> </w:t>
      </w:r>
      <w:r w:rsidRPr="00594729">
        <w:t xml:space="preserve">dB inférieur à la marge d’évanouissement et </w:t>
      </w:r>
      <w:r>
        <w:t xml:space="preserve">inférieur de </w:t>
      </w:r>
      <w:r w:rsidRPr="00594729">
        <w:t>5</w:t>
      </w:r>
      <w:r w:rsidR="00603B32">
        <w:t> </w:t>
      </w:r>
      <w:r w:rsidRPr="00594729">
        <w:t xml:space="preserve">dB </w:t>
      </w:r>
      <w:r>
        <w:t xml:space="preserve">à celle-ci </w:t>
      </w:r>
      <w:r w:rsidRPr="00594729">
        <w:t xml:space="preserve">pour le taux </w:t>
      </w:r>
      <w:r w:rsidR="00D5210E">
        <w:t>de «</w:t>
      </w:r>
      <w:r w:rsidR="00CB33B2">
        <w:t>secondes avec erreur» (ES</w:t>
      </w:r>
      <w:r w:rsidR="00603B32">
        <w:t>,</w:t>
      </w:r>
      <w:r w:rsidRPr="00594729">
        <w:t xml:space="preserve"> </w:t>
      </w:r>
      <w:r w:rsidRPr="00603B32">
        <w:rPr>
          <w:i/>
          <w:iCs/>
        </w:rPr>
        <w:t>errored seconds</w:t>
      </w:r>
      <w:r w:rsidRPr="00594729">
        <w:t>). Le critère I/N court terme est choisi de telle sorte que la marge nette calculée soit positive.</w:t>
      </w:r>
    </w:p>
    <w:p w:rsidR="00DF56A9" w:rsidRPr="00AF3114" w:rsidRDefault="00DF56A9" w:rsidP="007B7B2C">
      <w:pPr>
        <w:spacing w:after="240"/>
      </w:pPr>
      <w:r w:rsidRPr="00AF3114">
        <w:t>La d</w:t>
      </w:r>
      <w:r w:rsidR="007B7B2C">
        <w:t>é</w:t>
      </w:r>
      <w:r w:rsidRPr="00AF3114">
        <w:t>gradation de performance est liée au pourcentage de temps p par l’équation suivante:</w:t>
      </w:r>
    </w:p>
    <w:p w:rsidR="00DF56A9" w:rsidRPr="00594729" w:rsidRDefault="00DF56A9" w:rsidP="00DF56A9">
      <w:pPr>
        <w:pStyle w:val="Equation"/>
      </w:pPr>
      <w:r w:rsidRPr="00AF3114">
        <w:tab/>
      </w:r>
      <w:r w:rsidRPr="00AF3114">
        <w:tab/>
      </w:r>
      <m:oMath>
        <m:r>
          <w:rPr>
            <w:rFonts w:ascii="Cambria Math" w:hAnsi="Cambria Math"/>
          </w:rPr>
          <m:t>DP</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DstEPO</m:t>
            </m:r>
            <m:r>
              <m:rPr>
                <m:sty m:val="p"/>
              </m:rPr>
              <w:rPr>
                <w:rFonts w:ascii="Cambria Math" w:hAnsi="Cambria Math"/>
              </w:rPr>
              <m:t>(%).</m:t>
            </m:r>
            <m:r>
              <w:rPr>
                <w:rFonts w:ascii="Cambria Math" w:hAnsi="Cambria Math"/>
              </w:rPr>
              <m:t>EPO</m:t>
            </m:r>
            <m:r>
              <m:rPr>
                <m:sty m:val="p"/>
              </m:rPr>
              <w:rPr>
                <w:rFonts w:ascii="Cambria Math" w:hAnsi="Cambria Math"/>
              </w:rPr>
              <m:t>(%)</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num>
          <m:den>
            <m:r>
              <w:rPr>
                <w:rFonts w:ascii="Cambria Math" w:hAnsi="Cambria Math"/>
              </w:rPr>
              <m:t>100</m:t>
            </m:r>
          </m:den>
        </m:f>
      </m:oMath>
    </w:p>
    <w:p w:rsidR="00DF56A9" w:rsidRPr="00594729" w:rsidRDefault="00B153E2" w:rsidP="00B153E2">
      <w:r w:rsidRPr="00594729">
        <w:t>Le calcul du pourcentage de temps associé au seuil de I/N est calculé avec l’équation suivante</w:t>
      </w:r>
      <w:r>
        <w:t>:</w:t>
      </w:r>
    </w:p>
    <w:p w:rsidR="00DF56A9" w:rsidRPr="00594729" w:rsidRDefault="00DF56A9" w:rsidP="00DF56A9">
      <w:pPr>
        <w:pStyle w:val="Equation"/>
        <w:rPr>
          <w:rFonts w:eastAsiaTheme="minorEastAsia"/>
        </w:rPr>
      </w:pPr>
      <w:r w:rsidRPr="00594729">
        <w:tab/>
      </w:r>
      <w:r w:rsidRPr="00594729">
        <w:tab/>
      </w: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DP</m:t>
            </m:r>
            <m:r>
              <m:rPr>
                <m:sty m:val="p"/>
              </m:rPr>
              <w:rPr>
                <w:rFonts w:ascii="Cambria Math" w:hAnsi="Cambria Math"/>
              </w:rPr>
              <m:t>(%)</m:t>
            </m:r>
          </m:num>
          <m:den>
            <m:r>
              <m:rPr>
                <m:sty m:val="p"/>
              </m:rPr>
              <w:rPr>
                <w:rFonts w:ascii="Cambria Math" w:hAnsi="Cambria Math"/>
              </w:rPr>
              <m:t>A(%)</m:t>
            </m:r>
          </m:den>
        </m:f>
        <m:r>
          <m:rPr>
            <m:sty m:val="p"/>
          </m:rPr>
          <w:rPr>
            <w:rFonts w:ascii="Cambria Math" w:hAnsi="Cambria Math"/>
          </w:rPr>
          <m:t>100</m:t>
        </m:r>
      </m:oMath>
    </w:p>
    <w:p w:rsidR="00DF56A9" w:rsidRPr="00AF3114" w:rsidRDefault="00DF56A9" w:rsidP="00DF56A9">
      <w:pPr>
        <w:rPr>
          <w:rFonts w:eastAsiaTheme="minorEastAsia"/>
        </w:rPr>
      </w:pPr>
      <w:r w:rsidRPr="00AF3114">
        <w:rPr>
          <w:rFonts w:eastAsiaTheme="minorEastAsia"/>
        </w:rPr>
        <w:t>où:</w:t>
      </w:r>
    </w:p>
    <w:p w:rsidR="00DF56A9" w:rsidRPr="007B7B2C" w:rsidRDefault="007B7B2C" w:rsidP="007B7B2C">
      <w:pPr>
        <w:pStyle w:val="Equationlegend"/>
        <w:rPr>
          <w:rFonts w:eastAsiaTheme="minorEastAsia"/>
        </w:rPr>
      </w:pPr>
      <w:r w:rsidRPr="007B7B2C">
        <w:rPr>
          <w:rFonts w:eastAsiaTheme="minorEastAsia"/>
        </w:rPr>
        <w:tab/>
      </w:r>
      <w:r w:rsidR="00CB33B2" w:rsidRPr="007B7B2C">
        <w:rPr>
          <w:rFonts w:eastAsiaTheme="minorEastAsia"/>
        </w:rPr>
        <w:t>EPO</w:t>
      </w:r>
      <w:r w:rsidR="00DF56A9" w:rsidRPr="007B7B2C">
        <w:rPr>
          <w:rFonts w:eastAsiaTheme="minorEastAsia"/>
        </w:rPr>
        <w:t>:</w:t>
      </w:r>
      <w:r w:rsidR="00DF56A9" w:rsidRPr="007B7B2C">
        <w:rPr>
          <w:rFonts w:eastAsiaTheme="minorEastAsia"/>
        </w:rPr>
        <w:tab/>
      </w:r>
      <w:r w:rsidR="00DF56A9" w:rsidRPr="007B7B2C">
        <w:t>objectif de qualité de fonctionnement en matière d'erreurs</w:t>
      </w:r>
      <w:r w:rsidR="00DF56A9" w:rsidRPr="007B7B2C" w:rsidDel="00CE0EDA">
        <w:rPr>
          <w:rFonts w:eastAsiaTheme="minorEastAsia"/>
        </w:rPr>
        <w:t xml:space="preserve"> </w:t>
      </w:r>
      <w:r w:rsidR="00DF56A9" w:rsidRPr="007B7B2C">
        <w:rPr>
          <w:rFonts w:eastAsiaTheme="minorEastAsia"/>
        </w:rPr>
        <w:t>(error performance objective) (%)</w:t>
      </w:r>
    </w:p>
    <w:p w:rsidR="00DF56A9" w:rsidRPr="007B7B2C" w:rsidRDefault="00DF56A9" w:rsidP="007B7B2C">
      <w:pPr>
        <w:rPr>
          <w:rFonts w:eastAsiaTheme="minorEastAsia"/>
        </w:rPr>
      </w:pPr>
      <w:r w:rsidRPr="007B7B2C">
        <w:t>Les objectifs de qualité exprimés en taux d'erreurs (EPO, error performance objective) sont remplacés par les paramètres de taux de secondes erronées (ESR, errored second ratio), de taux de secondes gravement erronées (SESR, severely errored second ratio) (Rec.</w:t>
      </w:r>
      <w:r w:rsidR="007B7B2C">
        <w:t xml:space="preserve"> </w:t>
      </w:r>
      <w:r w:rsidRPr="007B7B2C">
        <w:t>UIT-R F.1565)</w:t>
      </w:r>
    </w:p>
    <w:p w:rsidR="00DF56A9" w:rsidRPr="007B7B2C" w:rsidRDefault="007B7B2C" w:rsidP="00BB3779">
      <w:pPr>
        <w:pStyle w:val="e"/>
      </w:pPr>
      <w:r>
        <w:tab/>
      </w:r>
      <w:r w:rsidR="00CB33B2" w:rsidRPr="007B7B2C">
        <w:t>DstEPO</w:t>
      </w:r>
      <w:r>
        <w:t>:</w:t>
      </w:r>
      <w:r>
        <w:tab/>
      </w:r>
      <w:r w:rsidR="00DF56A9" w:rsidRPr="007B7B2C">
        <w:t>dégra</w:t>
      </w:r>
      <w:r w:rsidR="00335409">
        <w:t>da</w:t>
      </w:r>
      <w:r w:rsidR="00DF56A9" w:rsidRPr="007B7B2C">
        <w:t>tion pe</w:t>
      </w:r>
      <w:r w:rsidR="00BB3779">
        <w:t>r</w:t>
      </w:r>
      <w:r w:rsidR="00DF56A9" w:rsidRPr="007B7B2C">
        <w:t>mise de l’EPO (10% inclus dans les calculs des tableaux)</w:t>
      </w:r>
    </w:p>
    <w:p w:rsidR="007B7B2C" w:rsidRDefault="007B7B2C" w:rsidP="007B7B2C">
      <w:pPr>
        <w:pStyle w:val="e"/>
      </w:pPr>
      <w:r>
        <w:tab/>
      </w:r>
      <w:r w:rsidR="00DF56A9" w:rsidRPr="007B7B2C">
        <w:t>DP</w:t>
      </w:r>
      <w:r>
        <w:t xml:space="preserve"> </w:t>
      </w:r>
      <w:r w:rsidR="00DF56A9" w:rsidRPr="007B7B2C">
        <w:t>(%)</w:t>
      </w:r>
      <w:r>
        <w:t>:</w:t>
      </w:r>
      <w:r>
        <w:tab/>
      </w:r>
      <w:r w:rsidRPr="007B7B2C">
        <w:t>d</w:t>
      </w:r>
      <w:r w:rsidR="00DF56A9" w:rsidRPr="007B7B2C">
        <w:t xml:space="preserve">égradation de performance due au brouillage (cf. Rec. </w:t>
      </w:r>
      <w:r w:rsidRPr="007B7B2C">
        <w:t>UIT</w:t>
      </w:r>
      <w:r w:rsidR="00DF56A9" w:rsidRPr="007B7B2C">
        <w:t>-R F.1565; =</w:t>
      </w:r>
      <w:r>
        <w:t> </w:t>
      </w:r>
      <w:r w:rsidR="00DF56A9" w:rsidRPr="007B7B2C">
        <w:t>ESR(%) ou SESR (%) suivant le cas)</w:t>
      </w:r>
    </w:p>
    <w:p w:rsidR="00DF56A9" w:rsidRPr="007B7B2C" w:rsidRDefault="007B7B2C" w:rsidP="007B7B2C">
      <w:pPr>
        <w:pStyle w:val="Equationlegend"/>
        <w:rPr>
          <w:rFonts w:eastAsiaTheme="minorEastAsia"/>
        </w:rPr>
      </w:pPr>
      <w:r>
        <w:tab/>
      </w:r>
      <w:r w:rsidR="00DF56A9" w:rsidRPr="007B7B2C">
        <w:rPr>
          <w:rFonts w:eastAsiaTheme="minorEastAsia"/>
        </w:rPr>
        <w:t>p</w:t>
      </w:r>
      <w:r w:rsidR="004A0AEC" w:rsidRPr="007B7B2C">
        <w:rPr>
          <w:rFonts w:eastAsiaTheme="minorEastAsia"/>
        </w:rPr>
        <w:t>:</w:t>
      </w:r>
      <w:r>
        <w:rPr>
          <w:rFonts w:eastAsiaTheme="minorEastAsia"/>
        </w:rPr>
        <w:tab/>
      </w:r>
      <w:r w:rsidR="00DF56A9" w:rsidRPr="007B7B2C">
        <w:rPr>
          <w:rFonts w:eastAsiaTheme="minorEastAsia"/>
        </w:rPr>
        <w:t>pourcentage de temps pendant lequel le ratio I/N court terme peut être dépassé (%)</w:t>
      </w:r>
    </w:p>
    <w:p w:rsidR="00DF56A9" w:rsidRPr="00AF3114" w:rsidRDefault="007B7B2C" w:rsidP="007B7B2C">
      <w:pPr>
        <w:pStyle w:val="e"/>
      </w:pPr>
      <w:r>
        <w:tab/>
      </w:r>
      <w:r w:rsidR="00CB33B2" w:rsidRPr="007B7B2C">
        <w:t>A</w:t>
      </w:r>
      <w:r w:rsidR="00DF56A9" w:rsidRPr="007B7B2C">
        <w:t>:</w:t>
      </w:r>
      <w:r w:rsidR="00DF56A9" w:rsidRPr="007B7B2C">
        <w:tab/>
        <w:t xml:space="preserve"> pourcentage de temps pendant lequel la marge d’évanouissement retenu peut être dépassée</w:t>
      </w:r>
      <w:r w:rsidR="00DF56A9" w:rsidRPr="00AF3114">
        <w:t xml:space="preserve"> (%), (</w:t>
      </w:r>
      <w:r w:rsidR="00DF56A9">
        <w:t xml:space="preserve">voir </w:t>
      </w:r>
      <w:r w:rsidR="00DF56A9" w:rsidRPr="00AF3114">
        <w:t>R</w:t>
      </w:r>
      <w:r w:rsidR="00DF56A9">
        <w:t>ecomma</w:t>
      </w:r>
      <w:r w:rsidR="00DF56A9" w:rsidRPr="00AF3114">
        <w:t xml:space="preserve">ndation </w:t>
      </w:r>
      <w:r w:rsidR="00E01EBA">
        <w:t>UIT</w:t>
      </w:r>
      <w:r w:rsidR="00DF56A9" w:rsidRPr="00AF3114">
        <w:t>-R P.530).</w:t>
      </w:r>
    </w:p>
    <w:p w:rsidR="00DF56A9" w:rsidRPr="00AF3114" w:rsidRDefault="00DF56A9" w:rsidP="00DF56A9"/>
    <w:p w:rsidR="00DF56A9" w:rsidRPr="00AF3114" w:rsidRDefault="00DF56A9" w:rsidP="00D5210E">
      <w:pPr>
        <w:pStyle w:val="Tabletitle"/>
      </w:pPr>
      <w:r w:rsidRPr="00AF3114">
        <w:t xml:space="preserve">Pourcentage de temps </w:t>
      </w:r>
      <w:r>
        <w:t xml:space="preserve">pour </w:t>
      </w:r>
      <w:r w:rsidR="00D5210E">
        <w:t>le taux de «</w:t>
      </w:r>
      <w:r w:rsidRPr="00AF3114">
        <w:t xml:space="preserve">secondes avec beaucoup d’erreurs» </w:t>
      </w:r>
      <w:r>
        <w:t xml:space="preserve">(SES) </w:t>
      </w:r>
      <w:r w:rsidR="00E01EBA">
        <w:br/>
      </w:r>
      <w:r w:rsidRPr="00AF3114">
        <w:t>d’une station du service fixe participant à un réseau international</w:t>
      </w:r>
    </w:p>
    <w:tbl>
      <w:tblPr>
        <w:tblW w:w="9509" w:type="dxa"/>
        <w:jc w:val="center"/>
        <w:tblCellMar>
          <w:left w:w="70" w:type="dxa"/>
          <w:right w:w="70" w:type="dxa"/>
        </w:tblCellMar>
        <w:tblLook w:val="04A0" w:firstRow="1" w:lastRow="0" w:firstColumn="1" w:lastColumn="0" w:noHBand="0" w:noVBand="1"/>
      </w:tblPr>
      <w:tblGrid>
        <w:gridCol w:w="5038"/>
        <w:gridCol w:w="993"/>
        <w:gridCol w:w="3478"/>
      </w:tblGrid>
      <w:tr w:rsidR="00DF56A9" w:rsidRPr="00594729" w:rsidTr="00DF56A9">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Valeur</w:t>
            </w:r>
          </w:p>
        </w:tc>
        <w:tc>
          <w:tcPr>
            <w:tcW w:w="3478" w:type="dxa"/>
            <w:tcBorders>
              <w:top w:val="single" w:sz="4" w:space="0" w:color="auto"/>
              <w:left w:val="nil"/>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Marge d’évanouissement pour un BER 10</w:t>
            </w:r>
            <w:r w:rsidRPr="00EA1027">
              <w:rPr>
                <w:vertAlign w:val="superscript"/>
              </w:rPr>
              <w:t>-3</w:t>
            </w:r>
            <w:r w:rsidRPr="00EA1027">
              <w:t xml:space="preserve"> (dB)</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37</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E01EBA">
            <w:pPr>
              <w:pStyle w:val="Tabletext"/>
              <w:keepNext/>
              <w:spacing w:line="256" w:lineRule="auto"/>
            </w:pPr>
            <w:r w:rsidRPr="00594729">
              <w:t>Rec. U</w:t>
            </w:r>
            <w:r w:rsidR="00E01EBA">
              <w:t>IT</w:t>
            </w:r>
            <w:r w:rsidRPr="00594729">
              <w:t xml:space="preserve">-R </w:t>
            </w:r>
            <w:r w:rsidRPr="00594729">
              <w:rPr>
                <w:lang w:val="en-US"/>
              </w:rPr>
              <w:t>F.1494</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E01EBA">
            <w:pPr>
              <w:pStyle w:val="Tabletext"/>
              <w:keepNext/>
              <w:spacing w:line="256" w:lineRule="auto"/>
            </w:pPr>
            <w:r>
              <w:t>Marge d’évanouissement pour SES</w:t>
            </w:r>
            <w:r w:rsidR="00E01EBA">
              <w:t xml:space="preserve"> </w:t>
            </w:r>
            <w:r w:rsidRPr="00594729">
              <w:t>(dB)</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36</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 xml:space="preserve">Rec. </w:t>
            </w:r>
            <w:r w:rsidR="00E01EBA" w:rsidRPr="00594729">
              <w:t>U</w:t>
            </w:r>
            <w:r w:rsidR="00E01EBA">
              <w:t>IT-R</w:t>
            </w:r>
            <w:r w:rsidRPr="00594729">
              <w:t xml:space="preserve"> </w:t>
            </w:r>
            <w:r w:rsidRPr="00E01EBA">
              <w:rPr>
                <w:lang w:val="fr-CH"/>
              </w:rPr>
              <w:t>F.1494</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ATPC (dB)</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13</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01EBA" w:rsidRDefault="00DF56A9" w:rsidP="00E01EBA">
            <w:pPr>
              <w:pStyle w:val="Tabletext"/>
              <w:keepNext/>
              <w:spacing w:line="256" w:lineRule="auto"/>
              <w:rPr>
                <w:lang w:val="en-US"/>
              </w:rPr>
            </w:pPr>
            <w:r w:rsidRPr="00E01EBA">
              <w:rPr>
                <w:i/>
                <w:iCs/>
                <w:lang w:val="en-US"/>
              </w:rPr>
              <w:t>I/N</w:t>
            </w:r>
            <w:r w:rsidRPr="00E01EBA">
              <w:rPr>
                <w:lang w:val="en-US"/>
              </w:rPr>
              <w:t xml:space="preserve"> court</w:t>
            </w:r>
            <w:r w:rsidR="00E01EBA" w:rsidRPr="00E01EBA">
              <w:rPr>
                <w:lang w:val="en-US"/>
              </w:rPr>
              <w:t xml:space="preserve"> </w:t>
            </w:r>
            <w:r w:rsidRPr="00E01EBA">
              <w:rPr>
                <w:lang w:val="en-US"/>
              </w:rPr>
              <w:t>terme (dB)</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20</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t>Retenu</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t xml:space="preserve">Marge d’évanouissement net pour </w:t>
            </w:r>
            <w:r w:rsidRPr="00594729">
              <w:t>SES (dB)</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3</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 </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SESR (%)</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pPr>
            <w:r w:rsidRPr="00594729">
              <w:t>0.0002</w:t>
            </w:r>
          </w:p>
          <w:p w:rsidR="00DF56A9" w:rsidRPr="00594729" w:rsidRDefault="00DF56A9" w:rsidP="00DF56A9">
            <w:pPr>
              <w:pStyle w:val="Tabletext"/>
              <w:keepNext/>
              <w:spacing w:line="256" w:lineRule="auto"/>
              <w:jc w:val="center"/>
            </w:pPr>
          </w:p>
        </w:tc>
        <w:tc>
          <w:tcPr>
            <w:tcW w:w="3478" w:type="dxa"/>
            <w:tcBorders>
              <w:top w:val="nil"/>
              <w:left w:val="nil"/>
              <w:bottom w:val="single" w:sz="4" w:space="0" w:color="auto"/>
              <w:right w:val="single" w:sz="4" w:space="0" w:color="auto"/>
            </w:tcBorders>
            <w:noWrap/>
            <w:vAlign w:val="center"/>
            <w:hideMark/>
          </w:tcPr>
          <w:p w:rsidR="00DF56A9" w:rsidRPr="00E01EBA" w:rsidRDefault="00DF56A9" w:rsidP="00E01EBA">
            <w:pPr>
              <w:pStyle w:val="Tabletext"/>
              <w:keepNext/>
              <w:spacing w:line="256" w:lineRule="auto"/>
              <w:rPr>
                <w:lang w:val="fr-CH"/>
              </w:rPr>
            </w:pPr>
            <w:r w:rsidRPr="00E01EBA">
              <w:rPr>
                <w:lang w:val="fr-CH"/>
              </w:rPr>
              <w:t xml:space="preserve">Rec. </w:t>
            </w:r>
            <w:r w:rsidR="00E01EBA" w:rsidRPr="00594729">
              <w:t>U</w:t>
            </w:r>
            <w:r w:rsidR="00E01EBA">
              <w:t>IT</w:t>
            </w:r>
            <w:r w:rsidRPr="00E01EBA">
              <w:rPr>
                <w:lang w:val="fr-CH"/>
              </w:rPr>
              <w:t>-R F.1565 Table</w:t>
            </w:r>
            <w:r w:rsidR="00E01EBA" w:rsidRPr="00E01EBA">
              <w:rPr>
                <w:lang w:val="fr-CH"/>
              </w:rPr>
              <w:t>au</w:t>
            </w:r>
            <w:r w:rsidRPr="00E01EBA">
              <w:rPr>
                <w:lang w:val="fr-CH"/>
              </w:rPr>
              <w:t xml:space="preserve"> 1a – 500 km </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Probabilité que la marge d’évanouissement soit dépassé (%)</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E01EBA">
            <w:pPr>
              <w:pStyle w:val="Tabletext"/>
              <w:keepNext/>
              <w:spacing w:line="256" w:lineRule="auto"/>
              <w:jc w:val="center"/>
            </w:pPr>
            <w:r w:rsidRPr="00594729">
              <w:t>3</w:t>
            </w:r>
            <w:r w:rsidR="00E01EBA">
              <w:t>,</w:t>
            </w:r>
            <w:r w:rsidRPr="00594729">
              <w:t>3</w:t>
            </w:r>
          </w:p>
        </w:tc>
        <w:tc>
          <w:tcPr>
            <w:tcW w:w="3478" w:type="dxa"/>
            <w:tcBorders>
              <w:top w:val="nil"/>
              <w:left w:val="nil"/>
              <w:bottom w:val="single" w:sz="4" w:space="0" w:color="auto"/>
              <w:right w:val="single" w:sz="4" w:space="0" w:color="auto"/>
            </w:tcBorders>
            <w:noWrap/>
            <w:vAlign w:val="center"/>
            <w:hideMark/>
          </w:tcPr>
          <w:p w:rsidR="00DF56A9" w:rsidRPr="00EA1027" w:rsidRDefault="00DF56A9" w:rsidP="00E01EBA">
            <w:pPr>
              <w:pStyle w:val="Tabletext"/>
              <w:keepNext/>
              <w:spacing w:line="256" w:lineRule="auto"/>
            </w:pPr>
            <w:r w:rsidRPr="00EA1027">
              <w:t xml:space="preserve">Rec. </w:t>
            </w:r>
            <w:r w:rsidR="00E01EBA" w:rsidRPr="00594729">
              <w:t>U</w:t>
            </w:r>
            <w:r w:rsidR="00E01EBA">
              <w:t>IT</w:t>
            </w:r>
            <w:r w:rsidRPr="00EA1027">
              <w:t>-R P.530</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021209" w:rsidRDefault="00DF56A9" w:rsidP="00DF56A9">
            <w:pPr>
              <w:pStyle w:val="Tabletext"/>
              <w:keepNext/>
              <w:spacing w:line="256" w:lineRule="auto"/>
            </w:pPr>
            <w:r w:rsidRPr="00021209">
              <w:t>P</w:t>
            </w:r>
            <w:r>
              <w:t>ourcentage de temps</w:t>
            </w:r>
            <w:r w:rsidRPr="00021209">
              <w:t xml:space="preserve"> associée au critère de protection court terme (%)</w:t>
            </w:r>
          </w:p>
        </w:tc>
        <w:tc>
          <w:tcPr>
            <w:tcW w:w="993"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jc w:val="center"/>
              <w:rPr>
                <w:lang w:val="en-US"/>
              </w:rPr>
            </w:pPr>
            <w:r w:rsidRPr="00594729">
              <w:rPr>
                <w:lang w:val="en-US"/>
              </w:rPr>
              <w:t>6.06E-03</w:t>
            </w:r>
          </w:p>
        </w:tc>
        <w:tc>
          <w:tcPr>
            <w:tcW w:w="3478"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rPr>
                <w:lang w:val="en-US"/>
              </w:rPr>
            </w:pPr>
            <w:r w:rsidRPr="00594729">
              <w:rPr>
                <w:lang w:val="en-US"/>
              </w:rPr>
              <w:t> </w:t>
            </w:r>
          </w:p>
        </w:tc>
      </w:tr>
    </w:tbl>
    <w:p w:rsidR="00DF56A9" w:rsidRPr="00594729" w:rsidRDefault="00DF56A9" w:rsidP="00E01EBA">
      <w:pPr>
        <w:rPr>
          <w:lang w:val="en-US"/>
        </w:rPr>
      </w:pPr>
    </w:p>
    <w:p w:rsidR="00DF56A9" w:rsidRPr="009D1DE4" w:rsidRDefault="00DF56A9" w:rsidP="00D5210E">
      <w:pPr>
        <w:pStyle w:val="Tabletitle"/>
      </w:pPr>
      <w:r w:rsidRPr="00AF3114">
        <w:t xml:space="preserve">Pourcentage de temps </w:t>
      </w:r>
      <w:r>
        <w:t xml:space="preserve">pour </w:t>
      </w:r>
      <w:r w:rsidR="00D5210E">
        <w:t>le taux de «</w:t>
      </w:r>
      <w:r w:rsidRPr="00AF3114">
        <w:t xml:space="preserve">secondes d’erreurs» </w:t>
      </w:r>
      <w:r>
        <w:t xml:space="preserve">(ES) </w:t>
      </w:r>
      <w:r w:rsidRPr="00AF3114">
        <w:t xml:space="preserve">d’une station du service fixe </w:t>
      </w:r>
      <w:r w:rsidR="00E01EBA">
        <w:br/>
      </w:r>
      <w:r w:rsidRPr="00AF3114">
        <w:t>participant à un réseau international</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F56A9" w:rsidRPr="00594729" w:rsidTr="00DF56A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EA1027">
              <w:t xml:space="preserve">Marge d’évanouissement pour un </w:t>
            </w:r>
            <w:r w:rsidRPr="009D1DE4">
              <w:t>BER 10</w:t>
            </w:r>
            <w:r w:rsidRPr="009D1DE4">
              <w:rPr>
                <w:vertAlign w:val="superscript"/>
              </w:rPr>
              <w:t>-3</w:t>
            </w:r>
            <w:r w:rsidRPr="009D1DE4">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37</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t xml:space="preserve">Marge d’évanouissement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32</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ATPC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E01EBA">
            <w:pPr>
              <w:pStyle w:val="Tabletext"/>
              <w:keepNext/>
              <w:keepLines/>
              <w:rPr>
                <w:lang w:val="en-US"/>
              </w:rPr>
            </w:pPr>
            <w:r w:rsidRPr="00594729">
              <w:rPr>
                <w:i/>
                <w:iCs/>
                <w:lang w:val="en-US"/>
              </w:rPr>
              <w:t>I/N</w:t>
            </w:r>
            <w:r w:rsidRPr="00594729">
              <w:rPr>
                <w:lang w:val="en-US"/>
              </w:rPr>
              <w:t xml:space="preserve"> </w:t>
            </w:r>
            <w:r>
              <w:rPr>
                <w:lang w:val="en-US"/>
              </w:rPr>
              <w:t>court</w:t>
            </w:r>
            <w:r w:rsidR="00E01EBA">
              <w:rPr>
                <w:lang w:val="en-US"/>
              </w:rPr>
              <w:t xml:space="preserve"> </w:t>
            </w:r>
            <w:r w:rsidRPr="00594729">
              <w:rPr>
                <w:lang w:val="en-US"/>
              </w:rPr>
              <w:t>term</w:t>
            </w:r>
            <w:r>
              <w:rPr>
                <w:lang w:val="en-US"/>
              </w:rPr>
              <w:t>e</w:t>
            </w:r>
            <w:r w:rsidRPr="00594729">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19</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t xml:space="preserve">Marge d’évanouissement net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0</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9D1DE4">
              <w:t>ESR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E01EBA">
            <w:pPr>
              <w:pStyle w:val="Tabletext"/>
              <w:keepNext/>
              <w:keepLines/>
              <w:jc w:val="center"/>
            </w:pPr>
            <w:r w:rsidRPr="00594729">
              <w:t>0</w:t>
            </w:r>
            <w:r w:rsidR="00E01EBA">
              <w:t>,</w:t>
            </w:r>
            <w:r w:rsidRPr="00594729">
              <w:t>001</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E01EBA">
            <w:pPr>
              <w:pStyle w:val="Tabletext"/>
              <w:keepNext/>
              <w:keepLines/>
            </w:pPr>
            <w:r w:rsidRPr="00594729">
              <w:t xml:space="preserve">Rec. </w:t>
            </w:r>
            <w:r w:rsidR="00E01EBA" w:rsidRPr="00594729">
              <w:t>U</w:t>
            </w:r>
            <w:r w:rsidR="00E01EBA">
              <w:t>IT</w:t>
            </w:r>
            <w:r w:rsidRPr="00594729">
              <w:t xml:space="preserve">-R </w:t>
            </w:r>
            <w:r w:rsidRPr="00E01EBA">
              <w:rPr>
                <w:lang w:val="fr-CH"/>
              </w:rPr>
              <w:t>F.1565</w:t>
            </w:r>
            <w:r w:rsidRPr="00594729">
              <w:t xml:space="preserve"> Table</w:t>
            </w:r>
            <w:r w:rsidR="00E01EBA">
              <w:t>au</w:t>
            </w:r>
            <w:r w:rsidRPr="00594729">
              <w:t xml:space="preserve"> 1a – 500 km</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EA1027">
              <w:t xml:space="preserve">Probabilité que la marge d’évanouissement soit dépassé </w:t>
            </w:r>
            <w:r w:rsidRPr="009D1DE4">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63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E01EBA">
            <w:pPr>
              <w:pStyle w:val="Tabletext"/>
              <w:keepNext/>
              <w:keepLines/>
            </w:pPr>
            <w:r w:rsidRPr="00594729">
              <w:t xml:space="preserve">Rec. </w:t>
            </w:r>
            <w:r w:rsidR="00E01EBA" w:rsidRPr="00594729">
              <w:t>U</w:t>
            </w:r>
            <w:r w:rsidR="00E01EBA">
              <w:t>IT</w:t>
            </w:r>
            <w:r w:rsidRPr="00594729">
              <w:t xml:space="preserve">-R P.530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7B2983" w:rsidRDefault="00DF56A9" w:rsidP="00DF56A9">
            <w:pPr>
              <w:pStyle w:val="Tabletext"/>
              <w:keepNext/>
              <w:keepLines/>
            </w:pPr>
            <w:r w:rsidRPr="00021209">
              <w:t>P</w:t>
            </w:r>
            <w:r>
              <w:t>ourcentage de temps</w:t>
            </w:r>
            <w:r w:rsidRPr="00021209">
              <w:t xml:space="preserve"> associée au critère de protection court terme </w:t>
            </w:r>
            <w:r w:rsidRPr="007B2983">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jc w:val="center"/>
            </w:pPr>
            <w:r w:rsidRPr="00594729">
              <w:t>1.59E-03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w:t>
            </w:r>
          </w:p>
        </w:tc>
      </w:tr>
    </w:tbl>
    <w:p w:rsidR="00DF56A9" w:rsidRPr="007B2983" w:rsidRDefault="00DF56A9" w:rsidP="00DF56A9">
      <w:pPr>
        <w:keepNext/>
        <w:jc w:val="center"/>
        <w:rPr>
          <w:b/>
        </w:rPr>
      </w:pPr>
    </w:p>
    <w:p w:rsidR="00DF56A9" w:rsidRPr="007B2983" w:rsidRDefault="00DF56A9" w:rsidP="00D5210E">
      <w:pPr>
        <w:pStyle w:val="Tabletitle"/>
      </w:pPr>
      <w:r w:rsidRPr="00AF3114">
        <w:t xml:space="preserve">Pourcentage de temps </w:t>
      </w:r>
      <w:r>
        <w:t xml:space="preserve">pour </w:t>
      </w:r>
      <w:r w:rsidR="00D5210E">
        <w:t>le taux de «</w:t>
      </w:r>
      <w:r w:rsidRPr="00AF3114">
        <w:t xml:space="preserve">secondes avec beaucoup d’erreurs» </w:t>
      </w:r>
      <w:r>
        <w:t xml:space="preserve">(SES) </w:t>
      </w:r>
      <w:r w:rsidRPr="00AF3114">
        <w:t xml:space="preserve">d’une station </w:t>
      </w:r>
      <w:r w:rsidR="00E01EBA">
        <w:br/>
      </w:r>
      <w:r w:rsidRPr="00AF3114">
        <w:t xml:space="preserve">du service fixe participant à un réseau </w:t>
      </w:r>
      <w:r>
        <w:t>national longue distance</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F56A9" w:rsidRPr="00594729" w:rsidTr="00DF56A9">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Marge d’évanouissement pour un BER 10</w:t>
            </w:r>
            <w:r w:rsidRPr="00EA1027">
              <w:rPr>
                <w:vertAlign w:val="superscript"/>
              </w:rPr>
              <w:t>-3</w:t>
            </w:r>
            <w:r w:rsidRPr="00EA1027">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37</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E01EBA">
              <w:rPr>
                <w:lang w:val="fr-CH"/>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pPr>
            <w:r>
              <w:t xml:space="preserve">Marge d’évanouissement pour </w:t>
            </w:r>
            <w:r w:rsidRPr="00594729">
              <w:t xml:space="preserve"> </w:t>
            </w:r>
            <w:r>
              <w:t>SES</w:t>
            </w:r>
            <w:r w:rsidR="00E01EBA">
              <w:t xml:space="preserve"> </w:t>
            </w:r>
            <w:r w:rsidRPr="00594729">
              <w:t>(dB)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36</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pPr>
            <w:r w:rsidRPr="00594729">
              <w:t>ATPC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20</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pPr>
            <w:r>
              <w:t xml:space="preserve">Marge d’évanouissement net pour </w:t>
            </w:r>
            <w:r w:rsidRPr="00594729">
              <w:t>SES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SESR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0.00012</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E01EBA">
              <w:rPr>
                <w:lang w:val="fr-CH"/>
              </w:rPr>
              <w:t>F.1565</w:t>
            </w:r>
            <w:r w:rsidRPr="00594729">
              <w:t xml:space="preserve"> Table</w:t>
            </w:r>
            <w:r w:rsidR="00E01EBA">
              <w:t>au</w:t>
            </w:r>
            <w:r w:rsidRPr="00594729">
              <w:t xml:space="preserve"> 3a – 50 km</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Probabilité que la marge d’évanouissement soit dépassé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P.530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021209" w:rsidRDefault="00DF56A9" w:rsidP="00DF56A9">
            <w:pPr>
              <w:pStyle w:val="Tabletext"/>
              <w:keepNext/>
              <w:spacing w:line="256" w:lineRule="auto"/>
            </w:pPr>
            <w:r w:rsidRPr="00021209">
              <w:t>P</w:t>
            </w:r>
            <w:r>
              <w:t>ourcentage de temps</w:t>
            </w:r>
            <w:r w:rsidRPr="00021209">
              <w:t xml:space="preserve"> associée au critère de protection court terme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3.64E-03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bl>
    <w:p w:rsidR="00DF56A9" w:rsidRPr="00594729" w:rsidRDefault="00DF56A9" w:rsidP="00DF56A9">
      <w:pPr>
        <w:pStyle w:val="Tablefin"/>
      </w:pPr>
    </w:p>
    <w:p w:rsidR="00DF56A9" w:rsidRDefault="00DF56A9" w:rsidP="00DF56A9">
      <w:pPr>
        <w:keepNext/>
        <w:jc w:val="center"/>
        <w:rPr>
          <w:b/>
        </w:rPr>
      </w:pPr>
      <w:r>
        <w:rPr>
          <w:b/>
        </w:rPr>
        <w:br w:type="page"/>
      </w:r>
    </w:p>
    <w:p w:rsidR="00DF56A9" w:rsidRPr="007B2983" w:rsidRDefault="00DF56A9" w:rsidP="00433AEB">
      <w:pPr>
        <w:pStyle w:val="Tabletitle"/>
      </w:pPr>
      <w:r w:rsidRPr="00AF3114">
        <w:t xml:space="preserve">Pourcentage de temps </w:t>
      </w:r>
      <w:r>
        <w:t xml:space="preserve">pour </w:t>
      </w:r>
      <w:r w:rsidR="00D5210E">
        <w:t>le taux de «</w:t>
      </w:r>
      <w:r w:rsidRPr="00AF3114">
        <w:t xml:space="preserve">secondes d’erreurs» </w:t>
      </w:r>
      <w:r>
        <w:t xml:space="preserve">(ES) </w:t>
      </w:r>
      <w:r w:rsidRPr="00AF3114">
        <w:t xml:space="preserve">d’une station du service fixe </w:t>
      </w:r>
      <w:r w:rsidR="00E01EBA">
        <w:br/>
      </w:r>
      <w:r w:rsidRPr="00AF3114">
        <w:t xml:space="preserve">participant à un réseau </w:t>
      </w:r>
      <w:r>
        <w:t>national longue distance</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F56A9" w:rsidRPr="00594729" w:rsidTr="00DF56A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Marge d’évanouissement pour un </w:t>
            </w:r>
            <w:r w:rsidRPr="009D1DE4">
              <w:t>BER 10</w:t>
            </w:r>
            <w:r w:rsidRPr="009D1DE4">
              <w:rPr>
                <w:vertAlign w:val="superscript"/>
              </w:rPr>
              <w:t>-3</w:t>
            </w:r>
            <w:r w:rsidRPr="009D1DE4">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37</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E01EBA">
              <w:rPr>
                <w:lang w:val="fr-CH"/>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32</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ATPC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19</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net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0</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9D1DE4">
              <w:t>ESR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0.0006</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E01EBA">
              <w:rPr>
                <w:lang w:val="fr-CH"/>
              </w:rPr>
              <w:t>F.1565</w:t>
            </w:r>
            <w:r w:rsidRPr="00594729">
              <w:t xml:space="preserve"> Table</w:t>
            </w:r>
            <w:r w:rsidR="00E01EBA">
              <w:t>au</w:t>
            </w:r>
            <w:r w:rsidRPr="00594729">
              <w:t xml:space="preserve"> 3a – 50 km</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Probabilité que la marge d’évanouissement soit dépassé </w:t>
            </w:r>
            <w:r w:rsidRPr="009D1DE4">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63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-R P.530</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021209">
              <w:t>P</w:t>
            </w:r>
            <w:r>
              <w:t>ourcentage de temps</w:t>
            </w:r>
            <w:r w:rsidRPr="00021209">
              <w:t xml:space="preserve"> associée au critère de protection court terme </w:t>
            </w:r>
            <w:r w:rsidRPr="007B2983">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9.52E-04</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bl>
    <w:p w:rsidR="00DF56A9" w:rsidRPr="00594729" w:rsidRDefault="00DF56A9" w:rsidP="00DF56A9"/>
    <w:p w:rsidR="00DF56A9" w:rsidRPr="000702B9" w:rsidRDefault="00DF56A9" w:rsidP="00E01EBA">
      <w:pPr>
        <w:pStyle w:val="Tabletitle"/>
      </w:pPr>
      <w:r w:rsidRPr="000702B9">
        <w:t>Pourcen</w:t>
      </w:r>
      <w:r w:rsidR="00433AEB">
        <w:t>tage de temps pour le taux de «</w:t>
      </w:r>
      <w:r w:rsidRPr="000702B9">
        <w:t xml:space="preserve">secondes avec beaucoup d’erreurs» (SES) d’une station </w:t>
      </w:r>
      <w:r w:rsidR="00E01EBA">
        <w:br/>
      </w:r>
      <w:r w:rsidRPr="000702B9">
        <w:t xml:space="preserve">u service fixe participant à un réseau national courte distance </w:t>
      </w:r>
    </w:p>
    <w:tbl>
      <w:tblPr>
        <w:tblW w:w="9639" w:type="dxa"/>
        <w:jc w:val="center"/>
        <w:tblCellMar>
          <w:left w:w="70" w:type="dxa"/>
          <w:right w:w="28" w:type="dxa"/>
        </w:tblCellMar>
        <w:tblLook w:val="04A0" w:firstRow="1" w:lastRow="0" w:firstColumn="1" w:lastColumn="0" w:noHBand="0" w:noVBand="1"/>
      </w:tblPr>
      <w:tblGrid>
        <w:gridCol w:w="5103"/>
        <w:gridCol w:w="993"/>
        <w:gridCol w:w="3543"/>
      </w:tblGrid>
      <w:tr w:rsidR="00DF56A9" w:rsidRPr="00594729" w:rsidTr="00DF56A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Marge d’évanouissement pour un BER 10</w:t>
            </w:r>
            <w:r w:rsidRPr="00EA1027">
              <w:rPr>
                <w:vertAlign w:val="superscript"/>
              </w:rPr>
              <w:t>-3</w:t>
            </w:r>
            <w:r w:rsidRPr="00EA1027">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37</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E01EBA">
            <w:pPr>
              <w:pStyle w:val="Tabletext"/>
              <w:rPr>
                <w:lang w:eastAsia="fr-FR"/>
              </w:rPr>
            </w:pPr>
            <w:r>
              <w:t>Marge d’évanouissement pour SES</w:t>
            </w:r>
            <w:r w:rsidR="00E01EBA">
              <w:t xml:space="preserve"> </w:t>
            </w:r>
            <w:r w:rsidRPr="00594729">
              <w:t>(dB)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36</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t>ATPC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val="en-US" w:eastAsia="fr-FR"/>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20</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t xml:space="preserve">Marge d’évanouissement net pour </w:t>
            </w:r>
            <w:r w:rsidRPr="00594729">
              <w:t>SES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SESR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0.0015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E01EBA">
              <w:rPr>
                <w:lang w:val="fr-CH"/>
              </w:rPr>
              <w:t>F.1565</w:t>
            </w:r>
            <w:r w:rsidRPr="00594729">
              <w:rPr>
                <w:lang w:eastAsia="fr-FR"/>
              </w:rPr>
              <w:t xml:space="preserve"> Table</w:t>
            </w:r>
            <w:r w:rsidR="00E01EBA">
              <w:rPr>
                <w:lang w:eastAsia="fr-FR"/>
              </w:rPr>
              <w:t>au</w:t>
            </w:r>
            <w:r w:rsidRPr="00594729">
              <w:rPr>
                <w:lang w:eastAsia="fr-FR"/>
              </w:rPr>
              <w:t xml:space="preserve"> 5a</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Probabilité que la marge d’évanouissement soit dépassé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3.3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594729">
              <w:t>P.530</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021209">
              <w:t>P</w:t>
            </w:r>
            <w:r>
              <w:t>ourcentage de temps</w:t>
            </w:r>
            <w:r w:rsidRPr="00021209">
              <w:t xml:space="preserve"> associée au critère de protection court terme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rPr>
                <w:lang w:eastAsia="fr-FR"/>
              </w:rPr>
            </w:pPr>
            <w:r w:rsidRPr="00594729">
              <w:rPr>
                <w:lang w:eastAsia="fr-FR"/>
              </w:rPr>
              <w:t>4.55E-02</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w:t>
            </w:r>
          </w:p>
        </w:tc>
      </w:tr>
    </w:tbl>
    <w:p w:rsidR="00DF56A9" w:rsidRPr="00594729" w:rsidRDefault="00DF56A9" w:rsidP="00DF56A9">
      <w:pPr>
        <w:pStyle w:val="Tablefin"/>
      </w:pPr>
    </w:p>
    <w:p w:rsidR="00DF56A9" w:rsidRPr="0023485E" w:rsidRDefault="00DF56A9" w:rsidP="00DF56A9">
      <w:pPr>
        <w:pStyle w:val="Tabletitle"/>
      </w:pPr>
      <w:r w:rsidRPr="0023485E">
        <w:t>Pourcentage de temps pour le taux de</w:t>
      </w:r>
      <w:r w:rsidR="00433AEB">
        <w:t xml:space="preserve"> «</w:t>
      </w:r>
      <w:r>
        <w:t xml:space="preserve">secondes </w:t>
      </w:r>
      <w:r w:rsidRPr="0023485E">
        <w:t xml:space="preserve">d’erreurs» </w:t>
      </w:r>
      <w:r>
        <w:t>(</w:t>
      </w:r>
      <w:r w:rsidRPr="0023485E">
        <w:t xml:space="preserve">ES) d’une station du service fixe </w:t>
      </w:r>
      <w:r w:rsidR="00E01EBA">
        <w:br/>
      </w:r>
      <w:r w:rsidRPr="0023485E">
        <w:t xml:space="preserve">participant à un réseau national courte distance </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F56A9" w:rsidRPr="00594729" w:rsidTr="00DF56A9">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Marge d’évanouissement pour un </w:t>
            </w:r>
            <w:r w:rsidRPr="009D1DE4">
              <w:t>BER 10</w:t>
            </w:r>
            <w:r w:rsidRPr="009D1DE4">
              <w:rPr>
                <w:vertAlign w:val="superscript"/>
              </w:rPr>
              <w:t>-3</w:t>
            </w:r>
            <w:r w:rsidRPr="009D1DE4">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37</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xml:space="preserve">Rec. </w:t>
            </w:r>
            <w:r w:rsidR="00E01EBA">
              <w:t>UIT</w:t>
            </w:r>
            <w:r w:rsidRPr="00594729">
              <w:t xml:space="preserve">-R </w:t>
            </w:r>
            <w:r w:rsidRPr="00E01EBA">
              <w:rPr>
                <w:lang w:val="fr-CH"/>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32</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ATPC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t>19</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net pour </w:t>
            </w:r>
            <w:r w:rsidRPr="009D1DE4">
              <w:t>ES (dB)</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0</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w:t>
            </w:r>
          </w:p>
        </w:tc>
      </w:tr>
      <w:tr w:rsidR="00DF56A9" w:rsidRPr="00E01EBA"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9D1DE4">
              <w:t>ESR (%)</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0.0075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E01EBA" w:rsidRDefault="00DF56A9" w:rsidP="00E01EBA">
            <w:pPr>
              <w:pStyle w:val="Tabletext"/>
              <w:rPr>
                <w:lang w:val="fr-CH"/>
              </w:rPr>
            </w:pPr>
            <w:r w:rsidRPr="00E01EBA">
              <w:rPr>
                <w:lang w:val="fr-CH"/>
              </w:rPr>
              <w:t xml:space="preserve">Rec. </w:t>
            </w:r>
            <w:r w:rsidR="00E01EBA" w:rsidRPr="00E01EBA">
              <w:rPr>
                <w:lang w:val="fr-CH"/>
              </w:rPr>
              <w:t>UIT</w:t>
            </w:r>
            <w:r w:rsidRPr="00E01EBA">
              <w:rPr>
                <w:lang w:val="fr-CH"/>
              </w:rPr>
              <w:t>-R F.1565 Tabl</w:t>
            </w:r>
            <w:r w:rsidR="00E01EBA" w:rsidRPr="00E01EBA">
              <w:rPr>
                <w:lang w:val="fr-CH"/>
              </w:rPr>
              <w:t>eaux</w:t>
            </w:r>
            <w:r w:rsidRPr="00E01EBA">
              <w:rPr>
                <w:lang w:val="fr-CH"/>
              </w:rPr>
              <w:t xml:space="preserve"> 4a </w:t>
            </w:r>
            <w:r w:rsidR="00E01EBA" w:rsidRPr="00E01EBA">
              <w:rPr>
                <w:lang w:val="fr-CH"/>
              </w:rPr>
              <w:t>et</w:t>
            </w:r>
            <w:r w:rsidRPr="00E01EBA">
              <w:rPr>
                <w:lang w:val="fr-CH"/>
              </w:rPr>
              <w:t xml:space="preserve"> 5a</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Probabilité que la marge d’évanouissement soit dépassé </w:t>
            </w:r>
            <w:r w:rsidRPr="009D1DE4">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63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xml:space="preserve">Rec. </w:t>
            </w:r>
            <w:r w:rsidR="00E01EBA">
              <w:t>UIT</w:t>
            </w:r>
            <w:r w:rsidRPr="00594729">
              <w:t>-R P.530</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021209">
              <w:t>P</w:t>
            </w:r>
            <w:r>
              <w:t>ourcentage de temps</w:t>
            </w:r>
            <w:r w:rsidRPr="00021209">
              <w:t xml:space="preserve"> associée au critère de protection court terme </w:t>
            </w:r>
            <w:r w:rsidRPr="007B2983">
              <w:t>(%)</w:t>
            </w:r>
          </w:p>
        </w:tc>
        <w:tc>
          <w:tcPr>
            <w:tcW w:w="99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jc w:val="center"/>
            </w:pPr>
            <w:r w:rsidRPr="00594729">
              <w:t>1.19E-02</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w:t>
            </w:r>
          </w:p>
        </w:tc>
      </w:tr>
    </w:tbl>
    <w:p w:rsidR="00DF56A9" w:rsidRPr="00594729" w:rsidRDefault="00DF56A9" w:rsidP="00DF56A9"/>
    <w:p w:rsidR="00E01EBA" w:rsidRDefault="00E01EBA">
      <w:pPr>
        <w:tabs>
          <w:tab w:val="clear" w:pos="1134"/>
          <w:tab w:val="clear" w:pos="1871"/>
          <w:tab w:val="clear" w:pos="2268"/>
        </w:tabs>
        <w:overflowPunct/>
        <w:autoSpaceDE/>
        <w:autoSpaceDN/>
        <w:adjustRightInd/>
        <w:spacing w:before="0"/>
        <w:textAlignment w:val="auto"/>
        <w:rPr>
          <w:b/>
          <w:bCs/>
        </w:rPr>
      </w:pPr>
      <w:r>
        <w:rPr>
          <w:b/>
          <w:bCs/>
        </w:rPr>
        <w:br w:type="page"/>
      </w:r>
    </w:p>
    <w:p w:rsidR="00DF56A9" w:rsidRPr="00CB33B2" w:rsidRDefault="00E01EBA" w:rsidP="00E01EBA">
      <w:pPr>
        <w:pStyle w:val="enumlev1"/>
        <w:rPr>
          <w:b/>
          <w:bCs/>
        </w:rPr>
      </w:pPr>
      <w:r>
        <w:rPr>
          <w:b/>
          <w:bCs/>
        </w:rPr>
        <w:t>c</w:t>
      </w:r>
      <w:r w:rsidRPr="008B413C">
        <w:rPr>
          <w:b/>
          <w:bCs/>
        </w:rPr>
        <w:t>)</w:t>
      </w:r>
      <w:r>
        <w:rPr>
          <w:b/>
          <w:bCs/>
        </w:rPr>
        <w:tab/>
      </w:r>
      <w:r w:rsidR="00DF56A9" w:rsidRPr="00CB33B2">
        <w:rPr>
          <w:b/>
          <w:bCs/>
        </w:rPr>
        <w:t xml:space="preserve">Exemples de </w:t>
      </w:r>
      <w:r>
        <w:rPr>
          <w:b/>
          <w:bCs/>
        </w:rPr>
        <w:t>f</w:t>
      </w:r>
      <w:r w:rsidR="00DF56A9" w:rsidRPr="00CB33B2">
        <w:rPr>
          <w:b/>
          <w:bCs/>
        </w:rPr>
        <w:t xml:space="preserve">onction de </w:t>
      </w:r>
      <w:r>
        <w:rPr>
          <w:b/>
          <w:bCs/>
        </w:rPr>
        <w:t>d</w:t>
      </w:r>
      <w:r w:rsidR="00DF56A9" w:rsidRPr="00CB33B2">
        <w:rPr>
          <w:b/>
          <w:bCs/>
        </w:rPr>
        <w:t xml:space="preserve">istribution </w:t>
      </w:r>
      <w:r>
        <w:rPr>
          <w:b/>
          <w:bCs/>
        </w:rPr>
        <w:t>c</w:t>
      </w:r>
      <w:r w:rsidR="00DF56A9" w:rsidRPr="00CB33B2">
        <w:rPr>
          <w:b/>
          <w:bCs/>
        </w:rPr>
        <w:t>umulative du ratio I/N</w:t>
      </w:r>
    </w:p>
    <w:p w:rsidR="00DF56A9" w:rsidRDefault="00DF56A9" w:rsidP="00DF56A9"/>
    <w:p w:rsidR="00DF56A9" w:rsidRPr="00664192" w:rsidRDefault="00DF56A9" w:rsidP="00DF56A9">
      <w:pPr>
        <w:jc w:val="center"/>
      </w:pPr>
      <w:r>
        <w:rPr>
          <w:noProof/>
          <w:lang w:val="en-US" w:eastAsia="zh-CN"/>
        </w:rPr>
        <w:drawing>
          <wp:inline distT="0" distB="0" distL="0" distR="0" wp14:anchorId="0CDD014E" wp14:editId="1587BE44">
            <wp:extent cx="6141493" cy="47903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0_49dBi_cdf_UAV_Option4_200kt_Ku_7100.png"/>
                    <pic:cNvPicPr/>
                  </pic:nvPicPr>
                  <pic:blipFill rotWithShape="1">
                    <a:blip r:embed="rId22">
                      <a:extLst>
                        <a:ext uri="{28A0092B-C50C-407E-A947-70E740481C1C}">
                          <a14:useLocalDpi xmlns:a14="http://schemas.microsoft.com/office/drawing/2010/main" val="0"/>
                        </a:ext>
                      </a:extLst>
                    </a:blip>
                    <a:srcRect l="8395" t="5473" r="7649" b="7214"/>
                    <a:stretch/>
                  </pic:blipFill>
                  <pic:spPr bwMode="auto">
                    <a:xfrm>
                      <a:off x="0" y="0"/>
                      <a:ext cx="6140986" cy="4789970"/>
                    </a:xfrm>
                    <a:prstGeom prst="rect">
                      <a:avLst/>
                    </a:prstGeom>
                    <a:ln>
                      <a:noFill/>
                    </a:ln>
                    <a:extLst>
                      <a:ext uri="{53640926-AAD7-44D8-BBD7-CCE9431645EC}">
                        <a14:shadowObscured xmlns:a14="http://schemas.microsoft.com/office/drawing/2010/main"/>
                      </a:ext>
                    </a:extLst>
                  </pic:spPr>
                </pic:pic>
              </a:graphicData>
            </a:graphic>
          </wp:inline>
        </w:drawing>
      </w:r>
    </w:p>
    <w:p w:rsidR="00DF56A9" w:rsidRPr="00CF55DD" w:rsidRDefault="00DF56A9" w:rsidP="00DF56A9"/>
    <w:p w:rsidR="00DF56A9" w:rsidRDefault="00DF56A9" w:rsidP="00DF56A9">
      <w:pPr>
        <w:jc w:val="center"/>
      </w:pPr>
      <w:r>
        <w:rPr>
          <w:noProof/>
          <w:lang w:val="en-US" w:eastAsia="zh-CN"/>
        </w:rPr>
        <w:drawing>
          <wp:inline distT="0" distB="0" distL="0" distR="0" wp14:anchorId="139B01A2" wp14:editId="3C9A6FE8">
            <wp:extent cx="6127845" cy="5199796"/>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3_18dBi_cdf_UAV_Option4_200kt_Ku_7119.png"/>
                    <pic:cNvPicPr/>
                  </pic:nvPicPr>
                  <pic:blipFill rotWithShape="1">
                    <a:blip r:embed="rId23">
                      <a:extLst>
                        <a:ext uri="{28A0092B-C50C-407E-A947-70E740481C1C}">
                          <a14:useLocalDpi xmlns:a14="http://schemas.microsoft.com/office/drawing/2010/main" val="0"/>
                        </a:ext>
                      </a:extLst>
                    </a:blip>
                    <a:srcRect l="8769" t="5224" r="7462"/>
                    <a:stretch/>
                  </pic:blipFill>
                  <pic:spPr bwMode="auto">
                    <a:xfrm>
                      <a:off x="0" y="0"/>
                      <a:ext cx="6127340" cy="5199367"/>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E01EBA">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sectPr w:rsidR="00DF56A9" w:rsidSect="00E01EBA">
          <w:headerReference w:type="first" r:id="rId24"/>
          <w:pgSz w:w="11907" w:h="16840" w:code="9"/>
          <w:pgMar w:top="1418" w:right="1134" w:bottom="1418" w:left="1134" w:header="720" w:footer="720" w:gutter="0"/>
          <w:paperSrc w:first="15" w:other="15"/>
          <w:cols w:space="720"/>
          <w:titlePg/>
          <w:docGrid w:linePitch="326"/>
        </w:sectPr>
      </w:pPr>
      <w:r>
        <w:rPr>
          <w:noProof/>
          <w:lang w:val="en-US" w:eastAsia="zh-CN"/>
        </w:rPr>
        <w:drawing>
          <wp:inline distT="0" distB="0" distL="0" distR="0" wp14:anchorId="0BC3D8C6" wp14:editId="735FCDF6">
            <wp:extent cx="6141492" cy="5199797"/>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4_200kt_Ku_7132.png"/>
                    <pic:cNvPicPr/>
                  </pic:nvPicPr>
                  <pic:blipFill rotWithShape="1">
                    <a:blip r:embed="rId25">
                      <a:extLst>
                        <a:ext uri="{28A0092B-C50C-407E-A947-70E740481C1C}">
                          <a14:useLocalDpi xmlns:a14="http://schemas.microsoft.com/office/drawing/2010/main" val="0"/>
                        </a:ext>
                      </a:extLst>
                    </a:blip>
                    <a:srcRect l="8768" t="5224" r="7277"/>
                    <a:stretch/>
                  </pic:blipFill>
                  <pic:spPr bwMode="auto">
                    <a:xfrm>
                      <a:off x="0" y="0"/>
                      <a:ext cx="6140986" cy="5199368"/>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rPr>
          <w:noProof/>
          <w:lang w:eastAsia="fr-FR"/>
        </w:rPr>
      </w:pPr>
      <w:r>
        <w:rPr>
          <w:noProof/>
          <w:lang w:val="en-US" w:eastAsia="zh-CN"/>
        </w:rPr>
        <w:drawing>
          <wp:inline distT="0" distB="0" distL="0" distR="0" wp14:anchorId="3D6D52C0" wp14:editId="260C574F">
            <wp:extent cx="6100549" cy="5199796"/>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4_45dBi_cdf_UAV_Option4_200kt_Ku_7151.png"/>
                    <pic:cNvPicPr/>
                  </pic:nvPicPr>
                  <pic:blipFill rotWithShape="1">
                    <a:blip r:embed="rId26">
                      <a:extLst>
                        <a:ext uri="{28A0092B-C50C-407E-A947-70E740481C1C}">
                          <a14:useLocalDpi xmlns:a14="http://schemas.microsoft.com/office/drawing/2010/main" val="0"/>
                        </a:ext>
                      </a:extLst>
                    </a:blip>
                    <a:srcRect l="8955" t="5224" r="7649"/>
                    <a:stretch/>
                  </pic:blipFill>
                  <pic:spPr bwMode="auto">
                    <a:xfrm>
                      <a:off x="0" y="0"/>
                      <a:ext cx="6100046" cy="5199367"/>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rPr>
          <w:noProof/>
          <w:lang w:eastAsia="fr-FR"/>
        </w:rPr>
      </w:pPr>
    </w:p>
    <w:p w:rsidR="00DF56A9" w:rsidRDefault="00DF56A9" w:rsidP="00DF56A9">
      <w:pPr>
        <w:jc w:val="center"/>
      </w:pP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427E3715" wp14:editId="7F14021B">
            <wp:extent cx="6127844" cy="5199796"/>
            <wp:effectExtent l="0" t="0" r="635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2_28dBi_cdf_UAV_Option4_200kt_Ku_7173.png"/>
                    <pic:cNvPicPr/>
                  </pic:nvPicPr>
                  <pic:blipFill rotWithShape="1">
                    <a:blip r:embed="rId27">
                      <a:extLst>
                        <a:ext uri="{28A0092B-C50C-407E-A947-70E740481C1C}">
                          <a14:useLocalDpi xmlns:a14="http://schemas.microsoft.com/office/drawing/2010/main" val="0"/>
                        </a:ext>
                      </a:extLst>
                    </a:blip>
                    <a:srcRect l="8582" t="5224" r="7649"/>
                    <a:stretch/>
                  </pic:blipFill>
                  <pic:spPr bwMode="auto">
                    <a:xfrm>
                      <a:off x="0" y="0"/>
                      <a:ext cx="6127339" cy="5199367"/>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pPr>
    </w:p>
    <w:p w:rsidR="00DF56A9" w:rsidRDefault="00DF56A9" w:rsidP="00DF56A9">
      <w:pPr>
        <w:jc w:val="center"/>
      </w:pPr>
      <w:r>
        <w:rPr>
          <w:noProof/>
          <w:lang w:val="en-US" w:eastAsia="zh-CN"/>
        </w:rPr>
        <w:drawing>
          <wp:inline distT="0" distB="0" distL="0" distR="0" wp14:anchorId="3DA1D213" wp14:editId="0404FDF2">
            <wp:extent cx="6073253" cy="5199796"/>
            <wp:effectExtent l="0" t="0" r="381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1_49dBi_cdf_UAV_Option4_200kt_Ku_7195.png"/>
                    <pic:cNvPicPr/>
                  </pic:nvPicPr>
                  <pic:blipFill rotWithShape="1">
                    <a:blip r:embed="rId28">
                      <a:extLst>
                        <a:ext uri="{28A0092B-C50C-407E-A947-70E740481C1C}">
                          <a14:useLocalDpi xmlns:a14="http://schemas.microsoft.com/office/drawing/2010/main" val="0"/>
                        </a:ext>
                      </a:extLst>
                    </a:blip>
                    <a:srcRect l="8768" t="5224" r="8209"/>
                    <a:stretch/>
                  </pic:blipFill>
                  <pic:spPr bwMode="auto">
                    <a:xfrm>
                      <a:off x="0" y="0"/>
                      <a:ext cx="6072753" cy="5199368"/>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E01EBA">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Pr="00CF55DD" w:rsidRDefault="00DF56A9" w:rsidP="00DF56A9">
      <w:pPr>
        <w:jc w:val="center"/>
        <w:sectPr w:rsidR="00DF56A9" w:rsidRPr="00CF55DD" w:rsidSect="00E01EBA">
          <w:pgSz w:w="11907" w:h="16840" w:code="9"/>
          <w:pgMar w:top="1418" w:right="1134" w:bottom="1418" w:left="1134" w:header="720" w:footer="720" w:gutter="0"/>
          <w:paperSrc w:first="15" w:other="15"/>
          <w:cols w:space="720"/>
          <w:titlePg/>
          <w:docGrid w:linePitch="326"/>
        </w:sectPr>
      </w:pPr>
      <w:r>
        <w:rPr>
          <w:noProof/>
          <w:lang w:val="en-US" w:eastAsia="zh-CN"/>
        </w:rPr>
        <w:drawing>
          <wp:inline distT="0" distB="0" distL="0" distR="0" wp14:anchorId="4E8ED4A0" wp14:editId="587FE24E">
            <wp:extent cx="6114197" cy="5199796"/>
            <wp:effectExtent l="0" t="0" r="127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4_200kt_Ku_7218.png"/>
                    <pic:cNvPicPr/>
                  </pic:nvPicPr>
                  <pic:blipFill rotWithShape="1">
                    <a:blip r:embed="rId29">
                      <a:extLst>
                        <a:ext uri="{28A0092B-C50C-407E-A947-70E740481C1C}">
                          <a14:useLocalDpi xmlns:a14="http://schemas.microsoft.com/office/drawing/2010/main" val="0"/>
                        </a:ext>
                      </a:extLst>
                    </a:blip>
                    <a:srcRect l="8769" t="5224" r="7649"/>
                    <a:stretch/>
                  </pic:blipFill>
                  <pic:spPr bwMode="auto">
                    <a:xfrm>
                      <a:off x="0" y="0"/>
                      <a:ext cx="6113693" cy="5199367"/>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E01EBA" w:rsidP="00E01EBA">
      <w:pPr>
        <w:pStyle w:val="Heading1"/>
        <w:keepNext w:val="0"/>
        <w:keepLines w:val="0"/>
      </w:pPr>
      <w:r>
        <w:t>4</w:t>
      </w:r>
      <w:r>
        <w:tab/>
      </w:r>
      <w:r w:rsidR="00DF56A9">
        <w:t>Analyse en bande 30/20GHz</w:t>
      </w:r>
    </w:p>
    <w:p w:rsidR="00DF56A9" w:rsidRPr="00CB33B2" w:rsidRDefault="00CB33B2" w:rsidP="00E01EBA">
      <w:pPr>
        <w:pStyle w:val="Headingb"/>
        <w:keepNext w:val="0"/>
      </w:pPr>
      <w:r>
        <w:t>a</w:t>
      </w:r>
      <w:r w:rsidR="00E01EBA">
        <w:t>)</w:t>
      </w:r>
      <w:r w:rsidR="00E01EBA">
        <w:tab/>
      </w:r>
      <w:r w:rsidR="00DF56A9" w:rsidRPr="00CB33B2">
        <w:t>Caractéristiques de l’émission</w:t>
      </w:r>
    </w:p>
    <w:p w:rsidR="00DF56A9" w:rsidRPr="00CB33B2" w:rsidRDefault="00CB33B2" w:rsidP="00E01EBA">
      <w:pPr>
        <w:pStyle w:val="enumlev2"/>
        <w:rPr>
          <w:b/>
          <w:bCs/>
        </w:rPr>
      </w:pPr>
      <w:r>
        <w:rPr>
          <w:b/>
          <w:bCs/>
        </w:rPr>
        <w:t>i</w:t>
      </w:r>
      <w:r w:rsidR="00E01EBA">
        <w:rPr>
          <w:b/>
          <w:bCs/>
        </w:rPr>
        <w:t>)</w:t>
      </w:r>
      <w:r w:rsidR="00E01EBA">
        <w:rPr>
          <w:b/>
          <w:bCs/>
        </w:rPr>
        <w:tab/>
      </w:r>
      <w:r w:rsidR="00DF56A9" w:rsidRPr="00CB33B2">
        <w:rPr>
          <w:b/>
          <w:bCs/>
        </w:rPr>
        <w:t>Masques de PFD</w:t>
      </w:r>
    </w:p>
    <w:p w:rsidR="00DF56A9" w:rsidRDefault="00DF56A9" w:rsidP="00E01EBA">
      <w:r>
        <w:t>Différents masques dans la bande considérée ont été analysés.</w:t>
      </w:r>
    </w:p>
    <w:p w:rsidR="00DF56A9" w:rsidRDefault="00DF56A9" w:rsidP="00DF56A9">
      <w:pPr>
        <w:jc w:val="center"/>
      </w:pPr>
      <w:r>
        <w:rPr>
          <w:noProof/>
          <w:lang w:val="en-US" w:eastAsia="zh-CN"/>
        </w:rPr>
        <w:drawing>
          <wp:inline distT="0" distB="0" distL="0" distR="0" wp14:anchorId="3D199E8E" wp14:editId="1AE48DB9">
            <wp:extent cx="4619500" cy="3464625"/>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12_Comparaison_Mask_PFD_Ka.png"/>
                    <pic:cNvPicPr/>
                  </pic:nvPicPr>
                  <pic:blipFill>
                    <a:blip r:embed="rId30">
                      <a:extLst>
                        <a:ext uri="{28A0092B-C50C-407E-A947-70E740481C1C}">
                          <a14:useLocalDpi xmlns:a14="http://schemas.microsoft.com/office/drawing/2010/main" val="0"/>
                        </a:ext>
                      </a:extLst>
                    </a:blip>
                    <a:stretch>
                      <a:fillRect/>
                    </a:stretch>
                  </pic:blipFill>
                  <pic:spPr>
                    <a:xfrm>
                      <a:off x="0" y="0"/>
                      <a:ext cx="4620638" cy="3465479"/>
                    </a:xfrm>
                    <a:prstGeom prst="rect">
                      <a:avLst/>
                    </a:prstGeom>
                  </pic:spPr>
                </pic:pic>
              </a:graphicData>
            </a:graphic>
          </wp:inline>
        </w:drawing>
      </w:r>
    </w:p>
    <w:p w:rsidR="00DF56A9" w:rsidRPr="007D4FAF" w:rsidRDefault="00DF56A9" w:rsidP="00DF56A9">
      <w:r>
        <w:t>Le masque proposé fourni en Annexe 1 correspond au masque UAV_Option3_Ka.</w:t>
      </w:r>
    </w:p>
    <w:p w:rsidR="00DF56A9" w:rsidRPr="00CB33B2" w:rsidRDefault="00CB33B2" w:rsidP="00E01EBA">
      <w:pPr>
        <w:pStyle w:val="Headingb"/>
      </w:pPr>
      <w:r>
        <w:t>b</w:t>
      </w:r>
      <w:r w:rsidR="00E01EBA">
        <w:t>)</w:t>
      </w:r>
      <w:r w:rsidR="00E01EBA">
        <w:tab/>
      </w:r>
      <w:r w:rsidR="00DF56A9" w:rsidRPr="00CB33B2">
        <w:t>Caractéristiques du récepteur</w:t>
      </w:r>
    </w:p>
    <w:p w:rsidR="00DF56A9" w:rsidRPr="00E01EBA" w:rsidRDefault="00CB33B2" w:rsidP="00E01EBA">
      <w:pPr>
        <w:pStyle w:val="enumlev2"/>
        <w:rPr>
          <w:b/>
          <w:bCs/>
        </w:rPr>
      </w:pPr>
      <w:r w:rsidRPr="00E01EBA">
        <w:rPr>
          <w:b/>
          <w:bCs/>
        </w:rPr>
        <w:t>i</w:t>
      </w:r>
      <w:r w:rsidR="00E01EBA" w:rsidRPr="00E01EBA">
        <w:rPr>
          <w:b/>
          <w:bCs/>
        </w:rPr>
        <w:t>)</w:t>
      </w:r>
      <w:r w:rsidR="00E01EBA" w:rsidRPr="00E01EBA">
        <w:rPr>
          <w:b/>
          <w:bCs/>
        </w:rPr>
        <w:tab/>
      </w:r>
      <w:r w:rsidR="00DF56A9" w:rsidRPr="00E01EBA">
        <w:rPr>
          <w:b/>
          <w:bCs/>
        </w:rPr>
        <w:t>Gain d’antenne du récepteur</w:t>
      </w:r>
    </w:p>
    <w:p w:rsidR="00DF56A9" w:rsidRPr="00594729" w:rsidRDefault="00DF56A9" w:rsidP="00DF56A9">
      <w:r w:rsidRPr="00594729">
        <w:t>Le gain maximum d’antenne retenu pour les études est  choisi respectivement de 49, 45, 35, 28 ou 18</w:t>
      </w:r>
      <w:r w:rsidR="00E01EBA">
        <w:t> </w:t>
      </w:r>
      <w:r w:rsidRPr="00594729">
        <w:t>dBi.</w:t>
      </w:r>
    </w:p>
    <w:p w:rsidR="00DF56A9" w:rsidRDefault="00DF56A9" w:rsidP="00E01EBA">
      <w:r w:rsidRPr="00594729">
        <w:t>Le diagramme d’antenne se base sur la Recommandation UIT-R F.1245</w:t>
      </w:r>
      <w:r>
        <w:t xml:space="preserve"> dans le cadre de liaisons </w:t>
      </w:r>
      <w:r w:rsidR="00E01EBA">
        <w:t>p</w:t>
      </w:r>
      <w:r>
        <w:t xml:space="preserve">oint à </w:t>
      </w:r>
      <w:r w:rsidR="00E01EBA">
        <w:t>p</w:t>
      </w:r>
      <w:r>
        <w:t>oint (P-P).</w:t>
      </w:r>
    </w:p>
    <w:p w:rsidR="00DF56A9" w:rsidRDefault="00DF56A9" w:rsidP="00DF56A9">
      <w:pPr>
        <w:jc w:val="center"/>
      </w:pPr>
      <w:r w:rsidRPr="00594729">
        <w:rPr>
          <w:noProof/>
          <w:lang w:val="en-US" w:eastAsia="zh-CN"/>
        </w:rPr>
        <w:drawing>
          <wp:inline distT="0" distB="0" distL="0" distR="0" wp14:anchorId="4D1DA768" wp14:editId="05AC1947">
            <wp:extent cx="4558352" cy="34187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21">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DF56A9" w:rsidRDefault="00DF56A9" w:rsidP="00DF56A9"/>
    <w:p w:rsidR="00DF56A9" w:rsidRDefault="00DF56A9" w:rsidP="00E01EBA">
      <w:r>
        <w:t xml:space="preserve">Dans le cadre de liaisons </w:t>
      </w:r>
      <w:r w:rsidR="00E01EBA">
        <w:t>p</w:t>
      </w:r>
      <w:r>
        <w:t>oint-</w:t>
      </w:r>
      <w:r w:rsidR="00E01EBA">
        <w:t>m</w:t>
      </w:r>
      <w:r>
        <w:t>ulti</w:t>
      </w:r>
      <w:r w:rsidR="00E01EBA">
        <w:t>point</w:t>
      </w:r>
      <w:r>
        <w:t xml:space="preserve"> (P-MP), le diagramme d’antenne à utiliser serait la Recommandation UIT-R F.1336. </w:t>
      </w:r>
    </w:p>
    <w:p w:rsidR="00DF56A9" w:rsidRPr="00B917E1" w:rsidRDefault="00B917E1" w:rsidP="00E01EBA">
      <w:pPr>
        <w:pStyle w:val="enumlev2"/>
        <w:rPr>
          <w:b/>
          <w:bCs/>
        </w:rPr>
      </w:pPr>
      <w:r>
        <w:rPr>
          <w:b/>
          <w:bCs/>
        </w:rPr>
        <w:t>ii</w:t>
      </w:r>
      <w:r w:rsidR="00E01EBA">
        <w:rPr>
          <w:b/>
          <w:bCs/>
        </w:rPr>
        <w:t>)</w:t>
      </w:r>
      <w:r w:rsidR="00E01EBA">
        <w:rPr>
          <w:b/>
          <w:bCs/>
        </w:rPr>
        <w:tab/>
      </w:r>
      <w:r w:rsidR="00DF56A9" w:rsidRPr="00B917E1">
        <w:rPr>
          <w:b/>
          <w:bCs/>
        </w:rPr>
        <w:t>Elévation de l’antenne du récepteur</w:t>
      </w:r>
    </w:p>
    <w:p w:rsidR="00DF56A9" w:rsidRPr="00594729" w:rsidRDefault="00DF56A9" w:rsidP="00DF56A9">
      <w:r w:rsidRPr="00594729">
        <w:t>Pour l’élévation</w:t>
      </w:r>
      <w:r>
        <w:t xml:space="preserve"> du récepteur</w:t>
      </w:r>
      <w:r w:rsidRPr="00594729">
        <w:t>, les valeurs suivantes sont prises en compte</w:t>
      </w:r>
      <w:r w:rsidR="004A0AEC">
        <w:t>:</w:t>
      </w:r>
      <w:r w:rsidRPr="00594729">
        <w:t xml:space="preserve"> 0°, 1°,2°, 3°, 4° et 5°.</w:t>
      </w:r>
    </w:p>
    <w:p w:rsidR="00DF56A9" w:rsidRPr="00B917E1" w:rsidRDefault="00B917E1" w:rsidP="00E01EBA">
      <w:pPr>
        <w:pStyle w:val="enumlev2"/>
        <w:rPr>
          <w:b/>
          <w:bCs/>
        </w:rPr>
      </w:pPr>
      <w:r>
        <w:rPr>
          <w:b/>
          <w:bCs/>
        </w:rPr>
        <w:t>iii</w:t>
      </w:r>
      <w:r w:rsidR="00E01EBA">
        <w:rPr>
          <w:b/>
          <w:bCs/>
        </w:rPr>
        <w:t>)</w:t>
      </w:r>
      <w:r w:rsidR="00E01EBA">
        <w:rPr>
          <w:b/>
          <w:bCs/>
        </w:rPr>
        <w:tab/>
      </w:r>
      <w:r w:rsidR="00DF56A9" w:rsidRPr="00B917E1">
        <w:rPr>
          <w:b/>
          <w:bCs/>
        </w:rPr>
        <w:t>Analyse des critères de protection du service fixe</w:t>
      </w:r>
    </w:p>
    <w:p w:rsidR="00DF56A9" w:rsidRPr="00B917E1" w:rsidRDefault="00B917E1" w:rsidP="00E01EBA">
      <w:pPr>
        <w:pStyle w:val="enumlev3"/>
        <w:rPr>
          <w:b/>
          <w:bCs/>
        </w:rPr>
      </w:pPr>
      <w:r>
        <w:rPr>
          <w:b/>
          <w:bCs/>
        </w:rPr>
        <w:tab/>
        <w:t>1</w:t>
      </w:r>
      <w:r w:rsidR="00E01EBA">
        <w:rPr>
          <w:b/>
          <w:bCs/>
        </w:rPr>
        <w:t>)</w:t>
      </w:r>
      <w:r w:rsidR="00E01EBA">
        <w:rPr>
          <w:b/>
          <w:bCs/>
        </w:rPr>
        <w:tab/>
      </w:r>
      <w:r w:rsidR="00DF56A9" w:rsidRPr="00B917E1">
        <w:rPr>
          <w:b/>
          <w:bCs/>
        </w:rPr>
        <w:t>Niveau d’interférence</w:t>
      </w:r>
    </w:p>
    <w:p w:rsidR="00DF56A9" w:rsidRPr="00594729" w:rsidRDefault="00DF56A9" w:rsidP="00DF56A9">
      <w:r w:rsidRPr="00594729">
        <w:t>Le niveau d’interférence est obtenu en appliquant la formule suivante</w:t>
      </w:r>
      <w:r w:rsidR="004A0AEC">
        <w:t>:</w:t>
      </w:r>
    </w:p>
    <w:p w:rsidR="00DF56A9" w:rsidRPr="00594729" w:rsidRDefault="00DF56A9" w:rsidP="00DF56A9">
      <w:r>
        <w:tab/>
      </w:r>
      <w:r>
        <w:tab/>
      </w:r>
      <w:r>
        <w:tab/>
      </w:r>
      <w:r>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-10*log10(</m:t>
        </m:r>
        <m:sSup>
          <m:sSupPr>
            <m:ctrlPr>
              <w:rPr>
                <w:rFonts w:ascii="Cambria Math" w:hAnsi="Cambria Math"/>
              </w:rPr>
            </m:ctrlPr>
          </m:sSupPr>
          <m:e>
            <m:r>
              <m:rPr>
                <m:sty m:val="p"/>
              </m:rPr>
              <w:rPr>
                <w:rFonts w:ascii="Cambria Math" w:hAnsi="Cambria Math"/>
              </w:rPr>
              <m:t>4π(</m:t>
            </m:r>
            <m:f>
              <m:fPr>
                <m:ctrlPr>
                  <w:rPr>
                    <w:rFonts w:ascii="Cambria Math" w:hAnsi="Cambria Math"/>
                  </w:rPr>
                </m:ctrlPr>
              </m:fPr>
              <m:num>
                <m:r>
                  <m:rPr>
                    <m:sty m:val="p"/>
                  </m:rPr>
                  <w:rPr>
                    <w:rFonts w:ascii="Cambria Math" w:hAnsi="Cambria Math"/>
                  </w:rPr>
                  <m:t>f</m:t>
                </m:r>
              </m:num>
              <m:den>
                <m:r>
                  <m:rPr>
                    <m:sty m:val="p"/>
                  </m:rPr>
                  <w:rPr>
                    <w:rFonts w:ascii="Cambria Math" w:hAnsi="Cambria Math"/>
                  </w:rPr>
                  <m:t>c</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m:t>
        </m:r>
      </m:oMath>
      <w:r w:rsidRPr="00F576C9">
        <w:t>)</w:t>
      </w:r>
    </w:p>
    <w:p w:rsidR="00DF56A9" w:rsidRPr="00594729" w:rsidRDefault="00DF56A9" w:rsidP="00E01EBA">
      <w:r w:rsidRPr="00594729">
        <w:t>Avec</w:t>
      </w:r>
      <w:r w:rsidR="004A0AEC">
        <w:t>:</w:t>
      </w:r>
      <w:r w:rsidRPr="00594729">
        <w:tab/>
        <w:t>f en Hz</w:t>
      </w:r>
    </w:p>
    <w:p w:rsidR="00DF56A9" w:rsidRPr="00594729" w:rsidRDefault="00DF56A9" w:rsidP="00DF56A9">
      <w:r w:rsidRPr="00594729">
        <w:tab/>
        <w:t>c en m/s</w:t>
      </w:r>
    </w:p>
    <w:p w:rsidR="00DF56A9" w:rsidRPr="00594729" w:rsidRDefault="00DF56A9" w:rsidP="00DF56A9">
      <w:r w:rsidRPr="00594729">
        <w:t>Soit</w:t>
      </w:r>
      <w:r w:rsidR="004A0AEC">
        <w:t>:</w:t>
      </w:r>
      <w:r w:rsidRPr="00594729">
        <w:t xml:space="preserve"> </w:t>
      </w:r>
      <w:r w:rsidRPr="00594729">
        <w:tab/>
      </w:r>
      <w:r w:rsidRPr="00594729">
        <w:tab/>
        <w:t xml:space="preserve"> </w:t>
      </w:r>
      <w:r w:rsidRPr="00F576C9">
        <w:tab/>
      </w:r>
      <w:r w:rsidRPr="00F576C9">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-50</m:t>
        </m:r>
      </m:oMath>
      <w:r>
        <w:tab/>
      </w:r>
      <w:r>
        <w:tab/>
      </w:r>
      <w:r w:rsidR="009C01BA">
        <w:tab/>
      </w:r>
      <w:r w:rsidR="009C01BA">
        <w:tab/>
      </w:r>
      <w:r w:rsidR="009C01BA">
        <w:tab/>
      </w:r>
      <w:r>
        <w:t>à 28</w:t>
      </w:r>
      <w:r w:rsidRPr="00F576C9">
        <w:t xml:space="preserve"> GHz</w:t>
      </w:r>
      <w:r w:rsidRPr="00594729">
        <w:t>.</w:t>
      </w:r>
    </w:p>
    <w:p w:rsidR="00DF56A9" w:rsidRDefault="00DF56A9" w:rsidP="00DF56A9"/>
    <w:p w:rsidR="00DF56A9" w:rsidRPr="00B917E1" w:rsidRDefault="00B917E1" w:rsidP="00E01EBA">
      <w:pPr>
        <w:pStyle w:val="enumlev3"/>
        <w:rPr>
          <w:b/>
          <w:bCs/>
        </w:rPr>
      </w:pPr>
      <w:r>
        <w:rPr>
          <w:b/>
          <w:bCs/>
        </w:rPr>
        <w:tab/>
        <w:t>2</w:t>
      </w:r>
      <w:r w:rsidR="00E01EBA">
        <w:rPr>
          <w:b/>
          <w:bCs/>
        </w:rPr>
        <w:t>)</w:t>
      </w:r>
      <w:r w:rsidR="00E01EBA">
        <w:rPr>
          <w:b/>
          <w:bCs/>
        </w:rPr>
        <w:tab/>
      </w:r>
      <w:r w:rsidR="00DF56A9" w:rsidRPr="00B917E1">
        <w:rPr>
          <w:b/>
          <w:bCs/>
        </w:rPr>
        <w:t>Niveau de bruit</w:t>
      </w:r>
    </w:p>
    <w:p w:rsidR="00DF56A9" w:rsidRPr="00594729" w:rsidRDefault="00DF56A9" w:rsidP="00E01EBA">
      <w:r w:rsidRPr="00594729">
        <w:t>Par ailleurs, le niveau de bruit considéré pour 14</w:t>
      </w:r>
      <w:r w:rsidR="00E01EBA">
        <w:t xml:space="preserve"> </w:t>
      </w:r>
      <w:r w:rsidRPr="00594729">
        <w:t xml:space="preserve">MHz a été fixé à </w:t>
      </w:r>
      <w:r w:rsidR="00BE3767">
        <w:t>–</w:t>
      </w:r>
      <w:r w:rsidR="00E01EBA" w:rsidRPr="00ED4788">
        <w:t>126</w:t>
      </w:r>
      <w:r w:rsidR="00E01EBA">
        <w:t>,</w:t>
      </w:r>
      <w:r w:rsidR="00E01EBA" w:rsidRPr="00ED4788">
        <w:t>5 dBW</w:t>
      </w:r>
      <w:r w:rsidRPr="00594729">
        <w:t xml:space="preserve"> et pour 1 MHz est fixé à </w:t>
      </w:r>
      <w:r w:rsidR="00BE3767">
        <w:t>–</w:t>
      </w:r>
      <w:r w:rsidRPr="00594729">
        <w:t>138</w:t>
      </w:r>
      <w:r w:rsidR="00BE3767">
        <w:t> </w:t>
      </w:r>
      <w:r w:rsidRPr="00594729">
        <w:t>dBW, et obtenu à partir des équations suivantes, avec un facteur de bruit de 6</w:t>
      </w:r>
      <w:r w:rsidR="00E01EBA">
        <w:t xml:space="preserve"> </w:t>
      </w:r>
      <w:r w:rsidRPr="00594729">
        <w:t>dB</w:t>
      </w:r>
      <w:r w:rsidR="004A0AEC">
        <w:t>:</w:t>
      </w:r>
    </w:p>
    <w:p w:rsidR="00E01EBA" w:rsidRPr="00BB3779" w:rsidRDefault="00E01EBA" w:rsidP="00E01EBA">
      <w:pPr>
        <w:rPr>
          <w:lang w:val="fr-CH"/>
        </w:rPr>
      </w:pPr>
      <w:r w:rsidRPr="00BB3779">
        <w:rPr>
          <w:lang w:val="fr-CH"/>
        </w:rPr>
        <w:t>Receiver_Noise_dBm = –114 + 10.*log10(BANDWIDTH_MHz) + Noise_Figure_dB</w:t>
      </w:r>
    </w:p>
    <w:p w:rsidR="00E01EBA" w:rsidRPr="00BB3779" w:rsidRDefault="00E01EBA" w:rsidP="00E01EBA">
      <w:pPr>
        <w:rPr>
          <w:lang w:val="fr-CH"/>
        </w:rPr>
      </w:pPr>
      <w:r w:rsidRPr="00BB3779">
        <w:rPr>
          <w:lang w:val="fr-CH"/>
        </w:rPr>
        <w:t>Receiver_Noise_dBW = Receiver_Noise_dBm – 30.</w:t>
      </w:r>
    </w:p>
    <w:p w:rsidR="00E01EBA" w:rsidRPr="00BB3779" w:rsidRDefault="00E01EBA" w:rsidP="00E01EBA">
      <w:pPr>
        <w:rPr>
          <w:lang w:val="fr-CH"/>
        </w:rPr>
      </w:pPr>
    </w:p>
    <w:p w:rsidR="00DF56A9" w:rsidRPr="00B917E1" w:rsidRDefault="00B917E1" w:rsidP="00E01EBA">
      <w:pPr>
        <w:pStyle w:val="enumlev3"/>
        <w:rPr>
          <w:b/>
          <w:bCs/>
        </w:rPr>
      </w:pPr>
      <w:r>
        <w:rPr>
          <w:b/>
          <w:bCs/>
        </w:rPr>
        <w:tab/>
        <w:t>3</w:t>
      </w:r>
      <w:r w:rsidR="00E01EBA">
        <w:rPr>
          <w:b/>
          <w:bCs/>
        </w:rPr>
        <w:t>)</w:t>
      </w:r>
      <w:r w:rsidR="00E01EBA">
        <w:rPr>
          <w:b/>
          <w:bCs/>
        </w:rPr>
        <w:tab/>
      </w:r>
      <w:r w:rsidR="00DF56A9" w:rsidRPr="00B917E1">
        <w:rPr>
          <w:b/>
          <w:bCs/>
        </w:rPr>
        <w:t>Critères de protection</w:t>
      </w:r>
    </w:p>
    <w:p w:rsidR="00DF56A9" w:rsidRPr="00594729" w:rsidRDefault="00DF56A9" w:rsidP="00E01EBA">
      <w:r w:rsidRPr="00594729">
        <w:t xml:space="preserve">La Recommandation </w:t>
      </w:r>
      <w:r w:rsidR="00E01EBA">
        <w:t>UIT</w:t>
      </w:r>
      <w:r w:rsidRPr="00594729">
        <w:t>-R F.758 décrit le principe voire les niveaux des critères de protection en I/N associé à un pourcentage de temps pour le long terme et le court terme, et en dégradation relative de la qualité de fonctionnement (FDP</w:t>
      </w:r>
      <w:r w:rsidR="00E01EBA">
        <w:t>,</w:t>
      </w:r>
      <w:r w:rsidRPr="00594729">
        <w:t xml:space="preserve"> </w:t>
      </w:r>
      <w:r w:rsidR="00E01EBA" w:rsidRPr="00E01EBA">
        <w:rPr>
          <w:i/>
          <w:iCs/>
        </w:rPr>
        <w:t>f</w:t>
      </w:r>
      <w:r w:rsidRPr="00E01EBA">
        <w:rPr>
          <w:i/>
          <w:iCs/>
        </w:rPr>
        <w:t xml:space="preserve">ractionnal </w:t>
      </w:r>
      <w:r w:rsidR="00E01EBA" w:rsidRPr="00E01EBA">
        <w:rPr>
          <w:i/>
          <w:iCs/>
        </w:rPr>
        <w:t>d</w:t>
      </w:r>
      <w:r w:rsidRPr="00E01EBA">
        <w:rPr>
          <w:i/>
          <w:iCs/>
        </w:rPr>
        <w:t xml:space="preserve">egradation in </w:t>
      </w:r>
      <w:r w:rsidR="00E01EBA" w:rsidRPr="00E01EBA">
        <w:rPr>
          <w:i/>
          <w:iCs/>
        </w:rPr>
        <w:t>p</w:t>
      </w:r>
      <w:r w:rsidRPr="00E01EBA">
        <w:rPr>
          <w:i/>
          <w:iCs/>
        </w:rPr>
        <w:t>erformance</w:t>
      </w:r>
      <w:r w:rsidRPr="00594729">
        <w:t>).</w:t>
      </w:r>
    </w:p>
    <w:p w:rsidR="00DF56A9" w:rsidRPr="00594729" w:rsidRDefault="00DF56A9" w:rsidP="00DF56A9">
      <w:r w:rsidRPr="00594729">
        <w:t xml:space="preserve">Le critère long terme consiste à ne pas dépasser un niveau de I/N de </w:t>
      </w:r>
      <w:r w:rsidR="00BE3767">
        <w:t>–</w:t>
      </w:r>
      <w:r w:rsidRPr="00594729">
        <w:t>10</w:t>
      </w:r>
      <w:r w:rsidR="00BE3767">
        <w:t> </w:t>
      </w:r>
      <w:r w:rsidRPr="00594729">
        <w:t xml:space="preserve">dB plus de 20% du temps dans le cas de services co-primaires. </w:t>
      </w:r>
      <w:r w:rsidRPr="006F72CB">
        <w:t>Dans ce cas, la FDP ne s’applique pas en raison de l’absence de multi-chemins dans la bande de fréquence.</w:t>
      </w:r>
    </w:p>
    <w:p w:rsidR="00DF56A9" w:rsidRPr="00594729" w:rsidRDefault="00DF56A9" w:rsidP="00DF56A9">
      <w:r w:rsidRPr="00594729">
        <w:t>La Recommandation UIT-R F.1494 propose une méthodologie pour définir le critère de protection court terme du service fixe.</w:t>
      </w:r>
    </w:p>
    <w:p w:rsidR="00DF56A9" w:rsidRPr="00594729" w:rsidRDefault="00DF56A9" w:rsidP="00DF56A9">
      <w:r w:rsidRPr="00594729">
        <w:t xml:space="preserve">Le pire cas correspond à un I/N de </w:t>
      </w:r>
      <w:r>
        <w:t>7</w:t>
      </w:r>
      <w:r w:rsidR="00BE3767">
        <w:t xml:space="preserve"> </w:t>
      </w:r>
      <w:r w:rsidRPr="00594729">
        <w:t>dB associé à un pourcentage de temps de 9.52.E-04</w:t>
      </w:r>
      <w:r>
        <w:t>.</w:t>
      </w:r>
      <w:r w:rsidRPr="00594729">
        <w:t xml:space="preserve"> </w:t>
      </w:r>
    </w:p>
    <w:p w:rsidR="00DF56A9" w:rsidRPr="00594729" w:rsidRDefault="00DF56A9" w:rsidP="00BE3767">
      <w:pPr>
        <w:pStyle w:val="Headingb"/>
      </w:pPr>
      <w:r w:rsidRPr="00594729">
        <w:t>Descriptif</w:t>
      </w:r>
    </w:p>
    <w:p w:rsidR="00DF56A9" w:rsidRPr="00594729" w:rsidRDefault="00DF56A9" w:rsidP="00B153E2">
      <w:r w:rsidRPr="00594729">
        <w:t>La marge totale d’évanouissement est prise à 37</w:t>
      </w:r>
      <w:r w:rsidR="00BE3767">
        <w:t> </w:t>
      </w:r>
      <w:r w:rsidRPr="00594729">
        <w:t>dB pour un taux d’erreur binaire (Bite Error Rate) BER de 10</w:t>
      </w:r>
      <w:r w:rsidRPr="00BE3767">
        <w:rPr>
          <w:vertAlign w:val="superscript"/>
        </w:rPr>
        <w:t>-3</w:t>
      </w:r>
      <w:r w:rsidRPr="00594729">
        <w:t xml:space="preserve"> et un A</w:t>
      </w:r>
      <w:r>
        <w:t>T</w:t>
      </w:r>
      <w:r w:rsidRPr="00594729">
        <w:t>PC de 13</w:t>
      </w:r>
      <w:r>
        <w:t xml:space="preserve"> dB</w:t>
      </w:r>
      <w:r w:rsidRPr="00594729">
        <w:t>. La marge d’évanouissement pour le taux de «secondes avec beaucoup d’erreurs» (SES</w:t>
      </w:r>
      <w:r w:rsidR="004A0AEC">
        <w:t>:</w:t>
      </w:r>
      <w:r w:rsidRPr="00594729">
        <w:t xml:space="preserve"> severely errored seconds) est 1dB inférieur à la marge d’évanouissement et </w:t>
      </w:r>
      <w:r>
        <w:t xml:space="preserve">inférieur de </w:t>
      </w:r>
      <w:r w:rsidRPr="00594729">
        <w:t>5</w:t>
      </w:r>
      <w:r w:rsidR="00BE3767">
        <w:t> </w:t>
      </w:r>
      <w:r w:rsidRPr="00594729">
        <w:t xml:space="preserve">dB </w:t>
      </w:r>
      <w:r>
        <w:t xml:space="preserve">à celle-ci </w:t>
      </w:r>
      <w:r w:rsidRPr="00594729">
        <w:t>pour le taux de «secondes avec erreur» (ES</w:t>
      </w:r>
      <w:r w:rsidR="00BE3767">
        <w:t>,</w:t>
      </w:r>
      <w:r w:rsidRPr="00594729">
        <w:t xml:space="preserve"> </w:t>
      </w:r>
      <w:r w:rsidRPr="00BE3767">
        <w:rPr>
          <w:i/>
          <w:iCs/>
        </w:rPr>
        <w:t>errored seconds</w:t>
      </w:r>
      <w:r w:rsidRPr="00594729">
        <w:t>). Le critère I/N court terme est choisi de telle sorte que la marge nette calculée soit positive.</w:t>
      </w:r>
    </w:p>
    <w:p w:rsidR="00DF56A9" w:rsidRPr="00AF3114" w:rsidRDefault="00DF56A9" w:rsidP="00BE3767">
      <w:pPr>
        <w:spacing w:after="240"/>
      </w:pPr>
      <w:r w:rsidRPr="00AF3114">
        <w:t>La d</w:t>
      </w:r>
      <w:r w:rsidR="00BE3767">
        <w:t>é</w:t>
      </w:r>
      <w:r w:rsidRPr="00AF3114">
        <w:t>gradation de performance est liée au pourcentage de temps p par l’équation suivante:</w:t>
      </w:r>
    </w:p>
    <w:p w:rsidR="00DF56A9" w:rsidRPr="00594729" w:rsidRDefault="00DF56A9" w:rsidP="00DF56A9">
      <w:pPr>
        <w:pStyle w:val="Equation"/>
      </w:pPr>
      <w:r w:rsidRPr="00AF3114">
        <w:tab/>
      </w:r>
      <w:r w:rsidRPr="00AF3114">
        <w:tab/>
      </w:r>
      <m:oMath>
        <m:r>
          <w:rPr>
            <w:rFonts w:ascii="Cambria Math" w:hAnsi="Cambria Math"/>
          </w:rPr>
          <m:t>DP</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DstEPO</m:t>
            </m:r>
            <m:r>
              <m:rPr>
                <m:sty m:val="p"/>
              </m:rPr>
              <w:rPr>
                <w:rFonts w:ascii="Cambria Math" w:hAnsi="Cambria Math"/>
              </w:rPr>
              <m:t>(%).</m:t>
            </m:r>
            <m:r>
              <w:rPr>
                <w:rFonts w:ascii="Cambria Math" w:hAnsi="Cambria Math"/>
              </w:rPr>
              <m:t>EPO</m:t>
            </m:r>
            <m:r>
              <m:rPr>
                <m:sty m:val="p"/>
              </m:rPr>
              <w:rPr>
                <w:rFonts w:ascii="Cambria Math" w:hAnsi="Cambria Math"/>
              </w:rPr>
              <m:t>(%)</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num>
          <m:den>
            <m:r>
              <w:rPr>
                <w:rFonts w:ascii="Cambria Math" w:hAnsi="Cambria Math"/>
              </w:rPr>
              <m:t>100</m:t>
            </m:r>
          </m:den>
        </m:f>
      </m:oMath>
    </w:p>
    <w:p w:rsidR="00DF56A9" w:rsidRPr="00594729" w:rsidRDefault="00B153E2" w:rsidP="00B153E2">
      <w:pPr>
        <w:keepNext/>
      </w:pPr>
      <w:r w:rsidRPr="00594729">
        <w:t>Le calcul du pourcentage de temps associé au seuil de I/N est calculé avec l’équation suivante</w:t>
      </w:r>
      <w:r>
        <w:t>:</w:t>
      </w:r>
    </w:p>
    <w:p w:rsidR="00DF56A9" w:rsidRPr="00594729" w:rsidRDefault="00DF56A9" w:rsidP="00DF56A9">
      <w:pPr>
        <w:pStyle w:val="Equation"/>
        <w:rPr>
          <w:rFonts w:eastAsiaTheme="minorEastAsia"/>
        </w:rPr>
      </w:pPr>
      <w:r w:rsidRPr="00594729">
        <w:tab/>
      </w:r>
      <w:r w:rsidRPr="00594729">
        <w:tab/>
      </w: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DP</m:t>
            </m:r>
            <m:r>
              <m:rPr>
                <m:sty m:val="p"/>
              </m:rPr>
              <w:rPr>
                <w:rFonts w:ascii="Cambria Math" w:hAnsi="Cambria Math"/>
              </w:rPr>
              <m:t>(%)</m:t>
            </m:r>
          </m:num>
          <m:den>
            <m:r>
              <m:rPr>
                <m:sty m:val="p"/>
              </m:rPr>
              <w:rPr>
                <w:rFonts w:ascii="Cambria Math" w:hAnsi="Cambria Math"/>
              </w:rPr>
              <m:t>A(%)</m:t>
            </m:r>
          </m:den>
        </m:f>
        <m:r>
          <m:rPr>
            <m:sty m:val="p"/>
          </m:rPr>
          <w:rPr>
            <w:rFonts w:ascii="Cambria Math" w:hAnsi="Cambria Math"/>
          </w:rPr>
          <m:t>100</m:t>
        </m:r>
      </m:oMath>
    </w:p>
    <w:p w:rsidR="00DF56A9" w:rsidRPr="00AF3114" w:rsidRDefault="00DF56A9" w:rsidP="00DF56A9">
      <w:pPr>
        <w:rPr>
          <w:rFonts w:eastAsiaTheme="minorEastAsia"/>
        </w:rPr>
      </w:pPr>
      <w:r w:rsidRPr="00AF3114">
        <w:rPr>
          <w:rFonts w:eastAsiaTheme="minorEastAsia"/>
        </w:rPr>
        <w:t>où:</w:t>
      </w:r>
    </w:p>
    <w:p w:rsidR="00DF56A9" w:rsidRDefault="00BE3767" w:rsidP="00BE3767">
      <w:pPr>
        <w:pStyle w:val="Equationlegend"/>
        <w:ind w:hanging="1389"/>
        <w:rPr>
          <w:rFonts w:eastAsiaTheme="minorEastAsia"/>
        </w:rPr>
      </w:pPr>
      <w:r>
        <w:rPr>
          <w:rFonts w:eastAsiaTheme="minorEastAsia"/>
        </w:rPr>
        <w:tab/>
      </w:r>
      <w:r w:rsidR="00CD3836" w:rsidRPr="00BE3767">
        <w:rPr>
          <w:rFonts w:eastAsiaTheme="minorEastAsia"/>
        </w:rPr>
        <w:t>EPO</w:t>
      </w:r>
      <w:r w:rsidR="00DF56A9" w:rsidRPr="00BE3767">
        <w:rPr>
          <w:rFonts w:eastAsiaTheme="minorEastAsia"/>
        </w:rPr>
        <w:t>:</w:t>
      </w:r>
      <w:r>
        <w:rPr>
          <w:rFonts w:eastAsiaTheme="minorEastAsia"/>
        </w:rPr>
        <w:tab/>
      </w:r>
      <w:r w:rsidR="00DF56A9" w:rsidRPr="00BE3767">
        <w:t>objectif de qualité de fonctionnement en matière d'erreurs</w:t>
      </w:r>
      <w:r w:rsidR="00DF56A9" w:rsidRPr="00BE3767" w:rsidDel="00CE0EDA">
        <w:rPr>
          <w:rFonts w:eastAsiaTheme="minorEastAsia"/>
        </w:rPr>
        <w:t xml:space="preserve"> </w:t>
      </w:r>
      <w:r w:rsidR="00DF56A9" w:rsidRPr="00BE3767">
        <w:rPr>
          <w:rFonts w:eastAsiaTheme="minorEastAsia"/>
        </w:rPr>
        <w:t>(error performance objective)</w:t>
      </w:r>
      <w:r w:rsidR="00DF56A9" w:rsidRPr="00AF3114">
        <w:rPr>
          <w:rFonts w:eastAsiaTheme="minorEastAsia"/>
        </w:rPr>
        <w:t xml:space="preserve"> (%)</w:t>
      </w:r>
    </w:p>
    <w:p w:rsidR="00DF56A9" w:rsidRDefault="00DF56A9" w:rsidP="00BE3767">
      <w:pPr>
        <w:rPr>
          <w:rFonts w:eastAsiaTheme="minorEastAsia"/>
        </w:rPr>
      </w:pPr>
      <w:r>
        <w:t xml:space="preserve">Les objectifs de qualité exprimés en taux d'erreurs (EPO, </w:t>
      </w:r>
      <w:r>
        <w:rPr>
          <w:i/>
          <w:iCs/>
        </w:rPr>
        <w:t>error performance objective</w:t>
      </w:r>
      <w:r>
        <w:t xml:space="preserve">) sont remplacés par les paramètres de taux de secondes erronées (ESR, </w:t>
      </w:r>
      <w:r>
        <w:rPr>
          <w:i/>
          <w:iCs/>
        </w:rPr>
        <w:t>errored second ratio</w:t>
      </w:r>
      <w:r>
        <w:t xml:space="preserve">), de taux de secondes gravement erronées (SESR, </w:t>
      </w:r>
      <w:r>
        <w:rPr>
          <w:i/>
          <w:iCs/>
        </w:rPr>
        <w:t>severely</w:t>
      </w:r>
      <w:r>
        <w:t xml:space="preserve"> </w:t>
      </w:r>
      <w:r>
        <w:rPr>
          <w:i/>
          <w:iCs/>
        </w:rPr>
        <w:t>errored second ratio</w:t>
      </w:r>
      <w:r>
        <w:t>) (Rec.</w:t>
      </w:r>
      <w:r w:rsidR="00BE3767">
        <w:t xml:space="preserve"> </w:t>
      </w:r>
      <w:r>
        <w:t>UIT-R F.1565)</w:t>
      </w:r>
    </w:p>
    <w:p w:rsidR="00DF56A9" w:rsidRPr="00BE3767" w:rsidRDefault="00BE3767" w:rsidP="00BE3767">
      <w:pPr>
        <w:pStyle w:val="Equationlegend"/>
        <w:rPr>
          <w:rFonts w:eastAsiaTheme="minorEastAsia"/>
        </w:rPr>
      </w:pPr>
      <w:r>
        <w:rPr>
          <w:rFonts w:eastAsiaTheme="minorEastAsia"/>
        </w:rPr>
        <w:tab/>
      </w:r>
      <w:r w:rsidR="00DF56A9" w:rsidRPr="00BE3767">
        <w:rPr>
          <w:rFonts w:eastAsiaTheme="minorEastAsia"/>
        </w:rPr>
        <w:t>DstEPO</w:t>
      </w:r>
      <w:r w:rsidR="004A0AEC" w:rsidRPr="00BE3767">
        <w:rPr>
          <w:rFonts w:eastAsiaTheme="minorEastAsia"/>
        </w:rPr>
        <w:t>:</w:t>
      </w:r>
      <w:r w:rsidR="00DF56A9" w:rsidRPr="00BE3767">
        <w:rPr>
          <w:rFonts w:eastAsiaTheme="minorEastAsia"/>
        </w:rPr>
        <w:tab/>
        <w:t>dégra</w:t>
      </w:r>
      <w:r w:rsidR="008B0B11">
        <w:rPr>
          <w:rFonts w:eastAsiaTheme="minorEastAsia"/>
        </w:rPr>
        <w:t>da</w:t>
      </w:r>
      <w:r w:rsidR="00BB3779">
        <w:rPr>
          <w:rFonts w:eastAsiaTheme="minorEastAsia"/>
        </w:rPr>
        <w:t>tion p</w:t>
      </w:r>
      <w:r w:rsidR="00DF56A9" w:rsidRPr="00BE3767">
        <w:rPr>
          <w:rFonts w:eastAsiaTheme="minorEastAsia"/>
        </w:rPr>
        <w:t>e</w:t>
      </w:r>
      <w:r w:rsidR="00BB3779">
        <w:rPr>
          <w:rFonts w:eastAsiaTheme="minorEastAsia"/>
        </w:rPr>
        <w:t>r</w:t>
      </w:r>
      <w:r w:rsidR="00DF56A9" w:rsidRPr="00BE3767">
        <w:rPr>
          <w:rFonts w:eastAsiaTheme="minorEastAsia"/>
        </w:rPr>
        <w:t>mise de l’EPO (10% inclus dans les calculs des tableaux)</w:t>
      </w:r>
    </w:p>
    <w:p w:rsidR="00DF56A9" w:rsidRPr="00BE3767" w:rsidRDefault="00BE3767" w:rsidP="00BE3767">
      <w:pPr>
        <w:pStyle w:val="Equationlegend"/>
        <w:rPr>
          <w:rFonts w:eastAsiaTheme="minorEastAsia"/>
        </w:rPr>
      </w:pPr>
      <w:r>
        <w:tab/>
      </w:r>
      <w:r w:rsidR="00DF56A9" w:rsidRPr="00BE3767">
        <w:t>DP</w:t>
      </w:r>
      <w:r>
        <w:t xml:space="preserve"> </w:t>
      </w:r>
      <w:r w:rsidR="00DF56A9" w:rsidRPr="00BE3767">
        <w:t>(%)</w:t>
      </w:r>
      <w:r>
        <w:t>:</w:t>
      </w:r>
      <w:r>
        <w:tab/>
        <w:t>d</w:t>
      </w:r>
      <w:r w:rsidR="00DF56A9" w:rsidRPr="00BE3767">
        <w:t xml:space="preserve">égradation de performance due au brouillage (cf. Rec. </w:t>
      </w:r>
      <w:r w:rsidR="00E01EBA" w:rsidRPr="00BE3767">
        <w:t>UIT</w:t>
      </w:r>
      <w:r w:rsidR="00DF56A9" w:rsidRPr="00BE3767">
        <w:t>-R F.1565; =</w:t>
      </w:r>
      <w:r>
        <w:t> </w:t>
      </w:r>
      <w:r w:rsidR="00DF56A9" w:rsidRPr="00BE3767">
        <w:t>ESR(%) ou SESR (%) suivant le cas)</w:t>
      </w:r>
    </w:p>
    <w:p w:rsidR="00DF56A9" w:rsidRPr="00BE3767" w:rsidRDefault="00BE3767" w:rsidP="00BE3767">
      <w:pPr>
        <w:pStyle w:val="Equationlegend"/>
        <w:rPr>
          <w:rFonts w:eastAsiaTheme="minorEastAsia"/>
        </w:rPr>
      </w:pPr>
      <w:r>
        <w:rPr>
          <w:rFonts w:eastAsiaTheme="minorEastAsia"/>
        </w:rPr>
        <w:tab/>
      </w:r>
      <w:r w:rsidR="00DF56A9" w:rsidRPr="00BE3767">
        <w:rPr>
          <w:rFonts w:eastAsiaTheme="minorEastAsia"/>
        </w:rPr>
        <w:t>p</w:t>
      </w:r>
      <w:r w:rsidR="004A0AEC" w:rsidRPr="00BE3767">
        <w:rPr>
          <w:rFonts w:eastAsiaTheme="minorEastAsia"/>
        </w:rPr>
        <w:t>:</w:t>
      </w:r>
      <w:r>
        <w:rPr>
          <w:rFonts w:eastAsiaTheme="minorEastAsia"/>
        </w:rPr>
        <w:tab/>
      </w:r>
      <w:r w:rsidR="00DF56A9" w:rsidRPr="00BE3767">
        <w:rPr>
          <w:rFonts w:eastAsiaTheme="minorEastAsia"/>
        </w:rPr>
        <w:t>pourcentage de temps pendant lequel le ratio I/N court terme peut être dépassé (%)</w:t>
      </w:r>
    </w:p>
    <w:p w:rsidR="00DF56A9" w:rsidRPr="00AF3114" w:rsidRDefault="00BE3767" w:rsidP="00BE3767">
      <w:pPr>
        <w:pStyle w:val="Equationlegend"/>
        <w:rPr>
          <w:rFonts w:eastAsiaTheme="minorEastAsia"/>
        </w:rPr>
      </w:pPr>
      <w:r>
        <w:rPr>
          <w:rFonts w:eastAsiaTheme="minorEastAsia"/>
        </w:rPr>
        <w:tab/>
      </w:r>
      <w:r w:rsidR="00DF56A9" w:rsidRPr="00BE3767">
        <w:rPr>
          <w:rFonts w:eastAsiaTheme="minorEastAsia"/>
        </w:rPr>
        <w:t>A</w:t>
      </w:r>
      <w:r w:rsidR="004A0AEC" w:rsidRPr="00BE3767">
        <w:rPr>
          <w:rFonts w:eastAsiaTheme="minorEastAsia"/>
        </w:rPr>
        <w:t>:</w:t>
      </w:r>
      <w:r>
        <w:rPr>
          <w:rFonts w:eastAsiaTheme="minorEastAsia"/>
        </w:rPr>
        <w:tab/>
      </w:r>
      <w:r w:rsidR="00DF56A9" w:rsidRPr="00AF3114">
        <w:rPr>
          <w:rFonts w:eastAsiaTheme="minorEastAsia"/>
        </w:rPr>
        <w:t xml:space="preserve">pourcentage de temps pendant lequel la marge d’évanouissement retenu peut </w:t>
      </w:r>
      <w:r w:rsidR="00DF56A9">
        <w:rPr>
          <w:rFonts w:eastAsiaTheme="minorEastAsia"/>
        </w:rPr>
        <w:t>être dépassé</w:t>
      </w:r>
      <w:r w:rsidR="00DF56A9" w:rsidRPr="00AF3114">
        <w:rPr>
          <w:rFonts w:eastAsiaTheme="minorEastAsia"/>
        </w:rPr>
        <w:t xml:space="preserve"> (%) (</w:t>
      </w:r>
      <w:r w:rsidR="00DF56A9">
        <w:rPr>
          <w:rFonts w:eastAsiaTheme="minorEastAsia"/>
        </w:rPr>
        <w:t xml:space="preserve">voir </w:t>
      </w:r>
      <w:r w:rsidR="00DF56A9" w:rsidRPr="00AF3114">
        <w:rPr>
          <w:rFonts w:eastAsiaTheme="minorEastAsia"/>
        </w:rPr>
        <w:t>R</w:t>
      </w:r>
      <w:r w:rsidR="00DF56A9">
        <w:rPr>
          <w:rFonts w:eastAsiaTheme="minorEastAsia"/>
        </w:rPr>
        <w:t>ecomma</w:t>
      </w:r>
      <w:r w:rsidR="00DF56A9" w:rsidRPr="00AF3114">
        <w:rPr>
          <w:rFonts w:eastAsiaTheme="minorEastAsia"/>
        </w:rPr>
        <w:t xml:space="preserve">ndation </w:t>
      </w:r>
      <w:r w:rsidR="00E01EBA">
        <w:rPr>
          <w:rFonts w:eastAsiaTheme="minorEastAsia"/>
        </w:rPr>
        <w:t>UIT</w:t>
      </w:r>
      <w:r w:rsidR="00DF56A9" w:rsidRPr="00AF3114">
        <w:rPr>
          <w:rFonts w:eastAsiaTheme="minorEastAsia"/>
        </w:rPr>
        <w:t>-R P.530).</w:t>
      </w:r>
    </w:p>
    <w:p w:rsidR="00DF56A9" w:rsidRPr="00AF3114" w:rsidRDefault="00DF56A9" w:rsidP="00DF56A9"/>
    <w:p w:rsidR="00DF56A9" w:rsidRPr="00AF3114" w:rsidRDefault="00DF56A9" w:rsidP="00BE3767">
      <w:pPr>
        <w:pStyle w:val="Tabletitle"/>
      </w:pPr>
      <w:r w:rsidRPr="00AF3114">
        <w:t xml:space="preserve">Pourcentage de temps </w:t>
      </w:r>
      <w:r>
        <w:t xml:space="preserve">pour </w:t>
      </w:r>
      <w:r w:rsidR="00433AEB">
        <w:t>le taux de «</w:t>
      </w:r>
      <w:r w:rsidRPr="00AF3114">
        <w:t xml:space="preserve">secondes avec beaucoup d’erreurs» </w:t>
      </w:r>
      <w:r>
        <w:t xml:space="preserve">(SES) </w:t>
      </w:r>
      <w:r w:rsidRPr="00AF3114">
        <w:t xml:space="preserve">d’une station </w:t>
      </w:r>
      <w:r w:rsidR="00BE3767">
        <w:br/>
      </w:r>
      <w:r w:rsidRPr="00AF3114">
        <w:t>du service fixe participant à un réseau international</w:t>
      </w:r>
    </w:p>
    <w:tbl>
      <w:tblPr>
        <w:tblW w:w="9509" w:type="dxa"/>
        <w:jc w:val="center"/>
        <w:tblCellMar>
          <w:left w:w="70" w:type="dxa"/>
          <w:right w:w="70" w:type="dxa"/>
        </w:tblCellMar>
        <w:tblLook w:val="04A0" w:firstRow="1" w:lastRow="0" w:firstColumn="1" w:lastColumn="0" w:noHBand="0" w:noVBand="1"/>
      </w:tblPr>
      <w:tblGrid>
        <w:gridCol w:w="5038"/>
        <w:gridCol w:w="1155"/>
        <w:gridCol w:w="3316"/>
      </w:tblGrid>
      <w:tr w:rsidR="00DF56A9" w:rsidRPr="00594729" w:rsidTr="00DF56A9">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Paramètres</w:t>
            </w:r>
          </w:p>
        </w:tc>
        <w:tc>
          <w:tcPr>
            <w:tcW w:w="1155" w:type="dxa"/>
            <w:tcBorders>
              <w:top w:val="single" w:sz="4" w:space="0" w:color="auto"/>
              <w:left w:val="nil"/>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Valeur</w:t>
            </w:r>
          </w:p>
        </w:tc>
        <w:tc>
          <w:tcPr>
            <w:tcW w:w="3316" w:type="dxa"/>
            <w:tcBorders>
              <w:top w:val="single" w:sz="4" w:space="0" w:color="auto"/>
              <w:left w:val="nil"/>
              <w:bottom w:val="single" w:sz="4" w:space="0" w:color="auto"/>
              <w:right w:val="single" w:sz="4" w:space="0" w:color="auto"/>
            </w:tcBorders>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Marge d’évanouissement pour un BER 10</w:t>
            </w:r>
            <w:r w:rsidRPr="00EA1027">
              <w:rPr>
                <w:vertAlign w:val="superscript"/>
              </w:rPr>
              <w:t>-3</w:t>
            </w:r>
            <w:r w:rsidRPr="00EA1027">
              <w:t xml:space="preserve"> (dB)</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25</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BE3767">
            <w:pPr>
              <w:pStyle w:val="Tabletext"/>
              <w:keepNext/>
              <w:spacing w:line="256" w:lineRule="auto"/>
            </w:pPr>
            <w:r>
              <w:t>RR Appendice 7</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t>Marge d’évanouissement pour SES</w:t>
            </w:r>
            <w:r w:rsidR="00BE3767">
              <w:t xml:space="preserve"> </w:t>
            </w:r>
            <w:r w:rsidRPr="00594729">
              <w:t>(dB)</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24</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ATPC (dB)</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13</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8</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t>Retenu</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t xml:space="preserve">Marge d’évanouissement net pour </w:t>
            </w:r>
            <w:r w:rsidRPr="00594729">
              <w:t>SES (dB)</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3</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pPr>
            <w:r w:rsidRPr="00594729">
              <w:t> </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SESR (%)</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0,0002</w:t>
            </w:r>
          </w:p>
        </w:tc>
        <w:tc>
          <w:tcPr>
            <w:tcW w:w="3316" w:type="dxa"/>
            <w:tcBorders>
              <w:top w:val="nil"/>
              <w:left w:val="nil"/>
              <w:bottom w:val="single" w:sz="4" w:space="0" w:color="auto"/>
              <w:right w:val="single" w:sz="4" w:space="0" w:color="auto"/>
            </w:tcBorders>
            <w:noWrap/>
            <w:vAlign w:val="center"/>
            <w:hideMark/>
          </w:tcPr>
          <w:p w:rsidR="00DF56A9" w:rsidRPr="00BE3767" w:rsidRDefault="00DF56A9" w:rsidP="009C01BA">
            <w:pPr>
              <w:pStyle w:val="Tabletext"/>
              <w:keepNext/>
              <w:spacing w:line="256" w:lineRule="auto"/>
              <w:rPr>
                <w:lang w:val="fr-CH"/>
              </w:rPr>
            </w:pPr>
            <w:r w:rsidRPr="00BE3767">
              <w:rPr>
                <w:lang w:val="fr-CH"/>
              </w:rPr>
              <w:t xml:space="preserve">Rec. </w:t>
            </w:r>
            <w:r w:rsidR="00E01EBA" w:rsidRPr="00BE3767">
              <w:rPr>
                <w:lang w:val="fr-CH"/>
              </w:rPr>
              <w:t>UIT</w:t>
            </w:r>
            <w:r w:rsidRPr="00BE3767">
              <w:rPr>
                <w:lang w:val="fr-CH"/>
              </w:rPr>
              <w:t>-R F.1565 Table</w:t>
            </w:r>
            <w:r w:rsidR="00BE3767" w:rsidRPr="00BE3767">
              <w:rPr>
                <w:lang w:val="fr-CH"/>
              </w:rPr>
              <w:t>au</w:t>
            </w:r>
            <w:r w:rsidRPr="00BE3767">
              <w:rPr>
                <w:lang w:val="fr-CH"/>
              </w:rPr>
              <w:t xml:space="preserve"> 1a – 500</w:t>
            </w:r>
            <w:r w:rsidR="009C01BA">
              <w:rPr>
                <w:lang w:val="fr-CH"/>
              </w:rPr>
              <w:t> </w:t>
            </w:r>
            <w:r w:rsidRPr="00BE3767">
              <w:rPr>
                <w:lang w:val="fr-CH"/>
              </w:rPr>
              <w:t xml:space="preserve">km </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Probabilité que la marge d’évanouissement soit dépassé (%)</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pPr>
            <w:r w:rsidRPr="006F72CB">
              <w:rPr>
                <w:color w:val="000000"/>
                <w:szCs w:val="22"/>
              </w:rPr>
              <w:t>3,3</w:t>
            </w:r>
          </w:p>
        </w:tc>
        <w:tc>
          <w:tcPr>
            <w:tcW w:w="3316" w:type="dxa"/>
            <w:tcBorders>
              <w:top w:val="nil"/>
              <w:left w:val="nil"/>
              <w:bottom w:val="single" w:sz="4" w:space="0" w:color="auto"/>
              <w:right w:val="single" w:sz="4" w:space="0" w:color="auto"/>
            </w:tcBorders>
            <w:noWrap/>
            <w:vAlign w:val="center"/>
            <w:hideMark/>
          </w:tcPr>
          <w:p w:rsidR="00DF56A9" w:rsidRPr="00EA1027" w:rsidRDefault="00DF56A9" w:rsidP="00DF56A9">
            <w:pPr>
              <w:pStyle w:val="Tabletext"/>
              <w:keepNext/>
              <w:spacing w:line="256" w:lineRule="auto"/>
            </w:pPr>
            <w:r w:rsidRPr="00EA1027">
              <w:t xml:space="preserve">Rec. </w:t>
            </w:r>
            <w:r w:rsidR="00E01EBA">
              <w:t>UIT</w:t>
            </w:r>
            <w:r w:rsidRPr="00EA1027">
              <w:t>-R P.530</w:t>
            </w:r>
          </w:p>
        </w:tc>
      </w:tr>
      <w:tr w:rsidR="00DF56A9" w:rsidRPr="00594729" w:rsidTr="00DF56A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DF56A9" w:rsidRPr="00021209" w:rsidRDefault="00DF56A9" w:rsidP="00DF56A9">
            <w:pPr>
              <w:pStyle w:val="Tabletext"/>
              <w:keepNext/>
              <w:spacing w:line="256" w:lineRule="auto"/>
            </w:pPr>
            <w:r w:rsidRPr="00021209">
              <w:t>Probabilité associée au critère de protection court terme (%)</w:t>
            </w:r>
          </w:p>
        </w:tc>
        <w:tc>
          <w:tcPr>
            <w:tcW w:w="1155" w:type="dxa"/>
            <w:tcBorders>
              <w:top w:val="nil"/>
              <w:left w:val="nil"/>
              <w:bottom w:val="single" w:sz="4" w:space="0" w:color="auto"/>
              <w:right w:val="single" w:sz="4" w:space="0" w:color="auto"/>
            </w:tcBorders>
            <w:noWrap/>
            <w:vAlign w:val="center"/>
            <w:hideMark/>
          </w:tcPr>
          <w:p w:rsidR="00DF56A9" w:rsidRPr="006F72CB" w:rsidRDefault="00DF56A9" w:rsidP="00DF56A9">
            <w:pPr>
              <w:pStyle w:val="Tabletext"/>
              <w:keepNext/>
              <w:spacing w:line="256" w:lineRule="auto"/>
              <w:jc w:val="center"/>
              <w:rPr>
                <w:lang w:val="en-US"/>
              </w:rPr>
            </w:pPr>
            <w:r w:rsidRPr="006F72CB">
              <w:rPr>
                <w:color w:val="000000"/>
                <w:szCs w:val="22"/>
              </w:rPr>
              <w:t>6,06E-03</w:t>
            </w:r>
          </w:p>
        </w:tc>
        <w:tc>
          <w:tcPr>
            <w:tcW w:w="3316" w:type="dxa"/>
            <w:tcBorders>
              <w:top w:val="nil"/>
              <w:left w:val="nil"/>
              <w:bottom w:val="single" w:sz="4" w:space="0" w:color="auto"/>
              <w:right w:val="single" w:sz="4" w:space="0" w:color="auto"/>
            </w:tcBorders>
            <w:noWrap/>
            <w:vAlign w:val="center"/>
            <w:hideMark/>
          </w:tcPr>
          <w:p w:rsidR="00DF56A9" w:rsidRPr="00594729" w:rsidRDefault="00DF56A9" w:rsidP="00DF56A9">
            <w:pPr>
              <w:pStyle w:val="Tabletext"/>
              <w:keepNext/>
              <w:spacing w:line="256" w:lineRule="auto"/>
              <w:rPr>
                <w:lang w:val="en-US"/>
              </w:rPr>
            </w:pPr>
            <w:r w:rsidRPr="00594729">
              <w:rPr>
                <w:lang w:val="en-US"/>
              </w:rPr>
              <w:t> </w:t>
            </w:r>
          </w:p>
        </w:tc>
      </w:tr>
    </w:tbl>
    <w:p w:rsidR="00DF56A9" w:rsidRPr="00594729" w:rsidRDefault="00DF56A9" w:rsidP="00DF56A9">
      <w:pPr>
        <w:rPr>
          <w:lang w:val="en-US"/>
        </w:rPr>
      </w:pPr>
    </w:p>
    <w:p w:rsidR="00DF56A9" w:rsidRPr="009D1DE4" w:rsidRDefault="00DF56A9" w:rsidP="00BE3767">
      <w:pPr>
        <w:pStyle w:val="Tabletitle"/>
      </w:pPr>
      <w:r w:rsidRPr="00433AEB">
        <w:t xml:space="preserve">Pourcentage de temps pour </w:t>
      </w:r>
      <w:r w:rsidR="00433AEB" w:rsidRPr="00433AEB">
        <w:t>le taux de «</w:t>
      </w:r>
      <w:r w:rsidRPr="00433AEB">
        <w:t xml:space="preserve">secondes d’erreurs» (ES) d’une station du service fixe </w:t>
      </w:r>
      <w:r w:rsidR="00BE3767">
        <w:br/>
      </w:r>
      <w:r w:rsidRPr="00433AEB">
        <w:t>participant à un réseau international</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DF56A9" w:rsidRPr="00594729" w:rsidTr="00DF56A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EA1027">
              <w:t xml:space="preserve">Marge d’évanouissement pour un </w:t>
            </w:r>
            <w:r w:rsidRPr="009D1DE4">
              <w:t>BER 10</w:t>
            </w:r>
            <w:r w:rsidRPr="009D1DE4">
              <w:rPr>
                <w:vertAlign w:val="superscript"/>
              </w:rPr>
              <w:t>-3</w:t>
            </w:r>
            <w:r w:rsidRPr="009D1DE4">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25</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t>R.R Appendice 7</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t xml:space="preserve">Marge d’évanouissement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20</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ATPC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13</w:t>
            </w:r>
          </w:p>
        </w:tc>
        <w:tc>
          <w:tcPr>
            <w:tcW w:w="3402"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7</w:t>
            </w:r>
          </w:p>
        </w:tc>
        <w:tc>
          <w:tcPr>
            <w:tcW w:w="3402"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keepLines/>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t xml:space="preserve">Marge d’évanouissement net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0</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9D1DE4">
              <w:t>ESR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0,001</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9C01BA">
            <w:pPr>
              <w:pStyle w:val="Tabletext"/>
              <w:keepNext/>
              <w:keepLines/>
            </w:pPr>
            <w:r w:rsidRPr="00594729">
              <w:t xml:space="preserve">Rec. </w:t>
            </w:r>
            <w:r w:rsidR="00E01EBA">
              <w:t>UIT</w:t>
            </w:r>
            <w:r w:rsidRPr="00594729">
              <w:t xml:space="preserve">-R </w:t>
            </w:r>
            <w:r w:rsidRPr="009C01BA">
              <w:rPr>
                <w:lang w:val="fr-CH"/>
              </w:rPr>
              <w:t>F.1565</w:t>
            </w:r>
            <w:r w:rsidRPr="00594729">
              <w:t xml:space="preserve"> Table</w:t>
            </w:r>
            <w:r w:rsidR="009C01BA">
              <w:t>au</w:t>
            </w:r>
            <w:r w:rsidRPr="00594729">
              <w:t xml:space="preserve"> 1a – 500</w:t>
            </w:r>
            <w:r w:rsidR="009C01BA">
              <w:t> </w:t>
            </w:r>
            <w:r w:rsidRPr="00594729">
              <w:t>km</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9D1DE4" w:rsidRDefault="00DF56A9" w:rsidP="00DF56A9">
            <w:pPr>
              <w:pStyle w:val="Tabletext"/>
              <w:keepNext/>
              <w:keepLines/>
            </w:pPr>
            <w:r w:rsidRPr="00EA1027">
              <w:t xml:space="preserve">Probabilité que la marge d’évanouissement soit dépassé </w:t>
            </w:r>
            <w:r w:rsidRPr="009D1DE4">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63</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xml:space="preserve">Rec. </w:t>
            </w:r>
            <w:r w:rsidR="00E01EBA">
              <w:t>UIT</w:t>
            </w:r>
            <w:r w:rsidRPr="00594729">
              <w:t xml:space="preserve">-R P.530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F56A9" w:rsidRPr="007B2983" w:rsidRDefault="00DF56A9" w:rsidP="00DF56A9">
            <w:pPr>
              <w:pStyle w:val="Tabletext"/>
              <w:keepNext/>
              <w:keepLines/>
            </w:pPr>
            <w:r w:rsidRPr="00021209">
              <w:t>P</w:t>
            </w:r>
            <w:r>
              <w:t>ourcentage de temps</w:t>
            </w:r>
            <w:r w:rsidRPr="00021209">
              <w:t xml:space="preserve"> associée au critère de protection court terme </w:t>
            </w:r>
            <w:r w:rsidRPr="007B2983">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keepNext/>
              <w:keepLines/>
              <w:jc w:val="center"/>
            </w:pPr>
            <w:r w:rsidRPr="006F72CB">
              <w:rPr>
                <w:color w:val="000000"/>
                <w:szCs w:val="22"/>
              </w:rPr>
              <w:t>1,59E-03</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keepNext/>
              <w:keepLines/>
            </w:pPr>
            <w:r w:rsidRPr="00594729">
              <w:t> </w:t>
            </w:r>
          </w:p>
        </w:tc>
      </w:tr>
    </w:tbl>
    <w:p w:rsidR="00DF56A9" w:rsidRPr="007B2983" w:rsidRDefault="00DF56A9" w:rsidP="00BE3767"/>
    <w:p w:rsidR="00DF56A9" w:rsidRPr="007B2983" w:rsidRDefault="00DF56A9" w:rsidP="00BE3767">
      <w:pPr>
        <w:pStyle w:val="Tabletitle"/>
      </w:pPr>
      <w:r w:rsidRPr="00433AEB">
        <w:t xml:space="preserve">Pourcentage de temps pour </w:t>
      </w:r>
      <w:r w:rsidR="00433AEB" w:rsidRPr="00433AEB">
        <w:t>le taux de «</w:t>
      </w:r>
      <w:r w:rsidRPr="00433AEB">
        <w:t xml:space="preserve">secondes avec beaucoup d’erreurs» (SES) d’une station </w:t>
      </w:r>
      <w:r w:rsidR="00BE3767">
        <w:br/>
      </w:r>
      <w:r w:rsidRPr="00433AEB">
        <w:t>du service fixe participant à un réseau national longue distance</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DF56A9" w:rsidRPr="00594729" w:rsidTr="00DF56A9">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Marge d’évanouissement pour un BER 10</w:t>
            </w:r>
            <w:r w:rsidRPr="00EA1027">
              <w:rPr>
                <w:vertAlign w:val="superscript"/>
              </w:rPr>
              <w:t>-3</w:t>
            </w:r>
            <w:r w:rsidRPr="00EA1027">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25</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BE3767">
            <w:pPr>
              <w:pStyle w:val="Tabletext"/>
            </w:pPr>
            <w:r>
              <w:t>RR Appendice 7</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BE3767">
            <w:pPr>
              <w:pStyle w:val="Tabletext"/>
              <w:keepNext/>
              <w:spacing w:line="256" w:lineRule="auto"/>
            </w:pPr>
            <w:r>
              <w:t>Marge d’évanouissement pour</w:t>
            </w:r>
            <w:r w:rsidRPr="00594729">
              <w:t xml:space="preserve"> </w:t>
            </w:r>
            <w:r>
              <w:t>SES</w:t>
            </w:r>
            <w:r w:rsidR="00BE3767">
              <w:t xml:space="preserve"> </w:t>
            </w:r>
            <w:r w:rsidRPr="00594729">
              <w:t>(dB)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24</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pPr>
            <w:r w:rsidRPr="00594729">
              <w:t>ATPC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13</w:t>
            </w:r>
          </w:p>
        </w:tc>
        <w:tc>
          <w:tcPr>
            <w:tcW w:w="3402"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8</w:t>
            </w:r>
          </w:p>
        </w:tc>
        <w:tc>
          <w:tcPr>
            <w:tcW w:w="3402"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keepNext/>
              <w:spacing w:line="256" w:lineRule="auto"/>
            </w:pPr>
            <w:r>
              <w:t xml:space="preserve">Marge d’évanouissement net pour </w:t>
            </w:r>
            <w:r w:rsidRPr="00594729">
              <w:t>SES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SESR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0,00012</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BE3767">
              <w:rPr>
                <w:lang w:val="fr-CH"/>
              </w:rPr>
              <w:t>F.1565</w:t>
            </w:r>
            <w:r w:rsidRPr="00594729">
              <w:t xml:space="preserve"> Table</w:t>
            </w:r>
            <w:r w:rsidR="00BE3767">
              <w:t>au</w:t>
            </w:r>
            <w:r w:rsidRPr="00594729">
              <w:t xml:space="preserve"> 3a – 50 km</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EA1027" w:rsidRDefault="00DF56A9" w:rsidP="00DF56A9">
            <w:pPr>
              <w:pStyle w:val="Tabletext"/>
              <w:keepNext/>
              <w:spacing w:line="256" w:lineRule="auto"/>
            </w:pPr>
            <w:r w:rsidRPr="00EA1027">
              <w:t>Probabilité que la marge d’évanouissement soit dépassé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3,3</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P.530 </w:t>
            </w:r>
          </w:p>
        </w:tc>
      </w:tr>
      <w:tr w:rsidR="00DF56A9" w:rsidRPr="00594729" w:rsidTr="00DF56A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F56A9" w:rsidRPr="00021209" w:rsidRDefault="00DF56A9" w:rsidP="00DF56A9">
            <w:pPr>
              <w:pStyle w:val="Tabletext"/>
              <w:keepNext/>
              <w:spacing w:line="256" w:lineRule="auto"/>
            </w:pPr>
            <w:r w:rsidRPr="00021209">
              <w:t>P</w:t>
            </w:r>
            <w:r>
              <w:t>ourcentage de temps</w:t>
            </w:r>
            <w:r w:rsidRPr="00021209">
              <w:t xml:space="preserve"> associée au critère de protection court terme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3,64E-03</w:t>
            </w:r>
          </w:p>
        </w:tc>
        <w:tc>
          <w:tcPr>
            <w:tcW w:w="3402"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bl>
    <w:p w:rsidR="00DF56A9" w:rsidRPr="00594729" w:rsidRDefault="00DF56A9" w:rsidP="00DF56A9">
      <w:pPr>
        <w:pStyle w:val="Tablefin"/>
      </w:pPr>
    </w:p>
    <w:p w:rsidR="00DF56A9" w:rsidRDefault="00DF56A9" w:rsidP="00DF56A9">
      <w:pPr>
        <w:keepNext/>
        <w:jc w:val="center"/>
        <w:rPr>
          <w:b/>
        </w:rPr>
      </w:pPr>
      <w:r>
        <w:rPr>
          <w:b/>
        </w:rPr>
        <w:br w:type="page"/>
      </w:r>
    </w:p>
    <w:p w:rsidR="00DF56A9" w:rsidRPr="007B2983" w:rsidRDefault="00DF56A9" w:rsidP="00BE3767">
      <w:pPr>
        <w:pStyle w:val="Tabletitle"/>
      </w:pPr>
      <w:r w:rsidRPr="00AF3114">
        <w:t xml:space="preserve">Pourcentage de temps </w:t>
      </w:r>
      <w:r>
        <w:t xml:space="preserve">pour </w:t>
      </w:r>
      <w:r w:rsidR="00433AEB">
        <w:t>le taux de «</w:t>
      </w:r>
      <w:r w:rsidRPr="00AF3114">
        <w:t xml:space="preserve">secondes d’erreurs» </w:t>
      </w:r>
      <w:r>
        <w:t xml:space="preserve">(ES) </w:t>
      </w:r>
      <w:r w:rsidRPr="00AF3114">
        <w:t xml:space="preserve">d’une station du service fixe </w:t>
      </w:r>
      <w:r w:rsidR="00BE3767">
        <w:br/>
      </w:r>
      <w:r w:rsidRPr="00AF3114">
        <w:t xml:space="preserve">participant à un réseau </w:t>
      </w:r>
      <w:r>
        <w:t>national longue distance</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DF56A9" w:rsidRPr="00594729" w:rsidTr="00DF56A9">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Marge d’évanouissement pour un </w:t>
            </w:r>
            <w:r w:rsidRPr="009D1DE4">
              <w:t>BER 10</w:t>
            </w:r>
            <w:r w:rsidRPr="009D1DE4">
              <w:rPr>
                <w:vertAlign w:val="superscript"/>
              </w:rPr>
              <w:t>-3</w:t>
            </w:r>
            <w:r w:rsidRPr="009D1DE4">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25</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t>R.R Appendice 7</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20</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ATPC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7</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net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0</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9D1DE4">
              <w:t>ESR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0,0006</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 xml:space="preserve">-R </w:t>
            </w:r>
            <w:r w:rsidRPr="00BE3767">
              <w:rPr>
                <w:lang w:val="fr-CH"/>
              </w:rPr>
              <w:t>F.1565</w:t>
            </w:r>
            <w:r w:rsidRPr="00594729">
              <w:t xml:space="preserve"> Table</w:t>
            </w:r>
            <w:r w:rsidR="00BE3767">
              <w:t>au</w:t>
            </w:r>
            <w:r w:rsidRPr="00594729">
              <w:t xml:space="preserve"> 3a – 50 km</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Probabilité que la marge d’évanouissement soit dépassé </w:t>
            </w:r>
            <w:r w:rsidRPr="009D1DE4">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63</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xml:space="preserve">Rec. </w:t>
            </w:r>
            <w:r w:rsidR="00E01EBA">
              <w:t>UIT</w:t>
            </w:r>
            <w:r w:rsidRPr="00594729">
              <w:t>-R P.530</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021209">
              <w:t>P</w:t>
            </w:r>
            <w:r>
              <w:t>ourcentage de temps</w:t>
            </w:r>
            <w:r w:rsidRPr="00021209">
              <w:t xml:space="preserve"> associée au critère de protection court terme </w:t>
            </w:r>
            <w:r w:rsidRPr="007B2983">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9,52E-04</w:t>
            </w:r>
          </w:p>
        </w:tc>
        <w:tc>
          <w:tcPr>
            <w:tcW w:w="3543" w:type="dxa"/>
            <w:tcBorders>
              <w:top w:val="nil"/>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 </w:t>
            </w:r>
          </w:p>
        </w:tc>
      </w:tr>
    </w:tbl>
    <w:p w:rsidR="00DF56A9" w:rsidRPr="00594729" w:rsidRDefault="00DF56A9" w:rsidP="00DF56A9"/>
    <w:p w:rsidR="00DF56A9" w:rsidRPr="008B2763" w:rsidRDefault="00DF56A9" w:rsidP="00BE3767">
      <w:pPr>
        <w:pStyle w:val="Tabletitle"/>
      </w:pPr>
      <w:r w:rsidRPr="008B2763">
        <w:t>Pourcen</w:t>
      </w:r>
      <w:r w:rsidR="00433AEB">
        <w:t>tage de temps pour le taux de «</w:t>
      </w:r>
      <w:r w:rsidRPr="008B2763">
        <w:t xml:space="preserve">secondes avec beaucoup d’erreurs» (SES) d’une station </w:t>
      </w:r>
      <w:r w:rsidR="00BE3767">
        <w:br/>
      </w:r>
      <w:r w:rsidRPr="008B2763">
        <w:t xml:space="preserve">du service fixe participant à un réseau national courte distance </w:t>
      </w:r>
    </w:p>
    <w:tbl>
      <w:tblPr>
        <w:tblW w:w="9639" w:type="dxa"/>
        <w:jc w:val="center"/>
        <w:tblCellMar>
          <w:left w:w="70" w:type="dxa"/>
          <w:right w:w="28" w:type="dxa"/>
        </w:tblCellMar>
        <w:tblLook w:val="04A0" w:firstRow="1" w:lastRow="0" w:firstColumn="1" w:lastColumn="0" w:noHBand="0" w:noVBand="1"/>
      </w:tblPr>
      <w:tblGrid>
        <w:gridCol w:w="4962"/>
        <w:gridCol w:w="1134"/>
        <w:gridCol w:w="3543"/>
      </w:tblGrid>
      <w:tr w:rsidR="00DF56A9" w:rsidRPr="00594729" w:rsidTr="00DF56A9">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Marge d’évanouissement pour un BER 10</w:t>
            </w:r>
            <w:r w:rsidRPr="00EA1027">
              <w:rPr>
                <w:vertAlign w:val="superscript"/>
              </w:rPr>
              <w:t>-3</w:t>
            </w:r>
            <w:r w:rsidRPr="00EA1027">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25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BE3767">
            <w:pPr>
              <w:pStyle w:val="Tabletext"/>
              <w:rPr>
                <w:lang w:eastAsia="fr-FR"/>
              </w:rPr>
            </w:pPr>
            <w:r>
              <w:t>RR Appendice 7</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BE3767">
            <w:pPr>
              <w:pStyle w:val="Tabletext"/>
              <w:rPr>
                <w:lang w:eastAsia="fr-FR"/>
              </w:rPr>
            </w:pPr>
            <w:r>
              <w:t>Marge d’évanouissement pour SES</w:t>
            </w:r>
            <w:r w:rsidR="00BE3767">
              <w:t xml:space="preserve"> </w:t>
            </w:r>
            <w:r w:rsidRPr="00594729">
              <w:t>(dB)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24</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594729">
              <w:rPr>
                <w:lang w:val="en-US"/>
              </w:rPr>
              <w:t>F.1494</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t>ATPC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val="en-US" w:eastAsia="fr-FR"/>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8</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t>Retenu</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t xml:space="preserve">Marge d’évanouissement net pour </w:t>
            </w:r>
            <w:r w:rsidRPr="00594729">
              <w:t>SES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SESR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0,0015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BE3767">
              <w:rPr>
                <w:lang w:val="fr-CH"/>
              </w:rPr>
              <w:t>F.1565</w:t>
            </w:r>
            <w:r w:rsidRPr="00594729">
              <w:rPr>
                <w:lang w:eastAsia="fr-FR"/>
              </w:rPr>
              <w:t xml:space="preserve"> Table</w:t>
            </w:r>
            <w:r w:rsidR="00BE3767">
              <w:rPr>
                <w:lang w:eastAsia="fr-FR"/>
              </w:rPr>
              <w:t>au</w:t>
            </w:r>
            <w:r w:rsidRPr="00594729">
              <w:rPr>
                <w:lang w:eastAsia="fr-FR"/>
              </w:rPr>
              <w:t xml:space="preserve"> 5a</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EA1027">
              <w:t>Probabilité que la marge d’évanouissement soit dépassé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3,3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xml:space="preserve">Rec. </w:t>
            </w:r>
            <w:r w:rsidR="00E01EBA">
              <w:rPr>
                <w:lang w:eastAsia="fr-FR"/>
              </w:rPr>
              <w:t>UIT</w:t>
            </w:r>
            <w:r w:rsidRPr="00594729">
              <w:rPr>
                <w:lang w:eastAsia="fr-FR"/>
              </w:rPr>
              <w:t xml:space="preserve">-R </w:t>
            </w:r>
            <w:r w:rsidRPr="00594729">
              <w:t>P.530</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56A9" w:rsidRPr="0024244A" w:rsidRDefault="00DF56A9" w:rsidP="00DF56A9">
            <w:pPr>
              <w:pStyle w:val="Tabletext"/>
              <w:rPr>
                <w:lang w:eastAsia="fr-FR"/>
              </w:rPr>
            </w:pPr>
            <w:r w:rsidRPr="00021209">
              <w:t>P</w:t>
            </w:r>
            <w:r>
              <w:t>ourcentage de temps</w:t>
            </w:r>
            <w:r w:rsidRPr="00021209">
              <w:t xml:space="preserve"> associée au critère de protection court terme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rPr>
                <w:lang w:eastAsia="fr-FR"/>
              </w:rPr>
            </w:pPr>
            <w:r w:rsidRPr="006F72CB">
              <w:rPr>
                <w:color w:val="000000"/>
                <w:szCs w:val="22"/>
              </w:rPr>
              <w:t>4,55E-02</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rPr>
                <w:lang w:eastAsia="fr-FR"/>
              </w:rPr>
            </w:pPr>
            <w:r w:rsidRPr="00594729">
              <w:rPr>
                <w:lang w:eastAsia="fr-FR"/>
              </w:rPr>
              <w:t> </w:t>
            </w:r>
          </w:p>
        </w:tc>
      </w:tr>
    </w:tbl>
    <w:p w:rsidR="00DF56A9" w:rsidRPr="00594729" w:rsidRDefault="00DF56A9" w:rsidP="00DF56A9">
      <w:pPr>
        <w:pStyle w:val="Tablefin"/>
      </w:pPr>
    </w:p>
    <w:p w:rsidR="00DF56A9" w:rsidRPr="0023485E" w:rsidRDefault="00DF56A9" w:rsidP="00DF56A9">
      <w:pPr>
        <w:pStyle w:val="Tabletitle"/>
      </w:pPr>
      <w:r w:rsidRPr="0023485E">
        <w:t>Pourcentage de temps pour le taux de</w:t>
      </w:r>
      <w:r w:rsidR="00433AEB">
        <w:t xml:space="preserve"> «</w:t>
      </w:r>
      <w:r>
        <w:t xml:space="preserve">secondes </w:t>
      </w:r>
      <w:r w:rsidRPr="0023485E">
        <w:t xml:space="preserve">d’erreurs» </w:t>
      </w:r>
      <w:r>
        <w:t>(</w:t>
      </w:r>
      <w:r w:rsidRPr="0023485E">
        <w:t xml:space="preserve">ES) d’une station du service fixe </w:t>
      </w:r>
      <w:r w:rsidR="00BE3767">
        <w:br/>
      </w:r>
      <w:r w:rsidRPr="0023485E">
        <w:t xml:space="preserve">participant à un réseau national courte distance </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DF56A9" w:rsidRPr="00594729" w:rsidTr="00DF56A9">
        <w:trPr>
          <w:trHeight w:val="288"/>
          <w:tblHeader/>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Paramètres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Valeur</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F56A9" w:rsidRPr="00594729" w:rsidRDefault="00DF56A9" w:rsidP="00DF56A9">
            <w:pPr>
              <w:pStyle w:val="Tablehead"/>
              <w:spacing w:line="256" w:lineRule="auto"/>
            </w:pPr>
            <w:r>
              <w:t>Origine</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Marge d’évanouissement pour un </w:t>
            </w:r>
            <w:r w:rsidRPr="009D1DE4">
              <w:t>BER 10</w:t>
            </w:r>
            <w:r w:rsidRPr="009D1DE4">
              <w:rPr>
                <w:vertAlign w:val="superscript"/>
              </w:rPr>
              <w:t>-3</w:t>
            </w:r>
            <w:r w:rsidRPr="009D1DE4">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BE3767">
            <w:pPr>
              <w:pStyle w:val="Tabletext"/>
            </w:pPr>
            <w:r>
              <w:t>RR Appendice 7</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20</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xml:space="preserve">Rec. </w:t>
            </w:r>
            <w:r w:rsidR="00E01EBA">
              <w:t>UIT</w:t>
            </w:r>
            <w:r w:rsidRPr="00594729">
              <w:t xml:space="preserve">-R </w:t>
            </w:r>
            <w:r w:rsidRPr="00594729">
              <w:rPr>
                <w:lang w:val="en-US"/>
              </w:rPr>
              <w:t>F.1494</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pPr>
            <w:r w:rsidRPr="00594729">
              <w:t>ATPC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13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594729" w:rsidRDefault="00DF56A9" w:rsidP="00DF56A9">
            <w:pPr>
              <w:pStyle w:val="Tabletext"/>
              <w:rPr>
                <w:lang w:val="en-US"/>
              </w:rPr>
            </w:pPr>
            <w:r w:rsidRPr="00594729">
              <w:rPr>
                <w:i/>
                <w:iCs/>
                <w:lang w:val="en-US"/>
              </w:rPr>
              <w:t>I/N</w:t>
            </w:r>
            <w:r w:rsidRPr="00594729">
              <w:rPr>
                <w:lang w:val="en-US"/>
              </w:rPr>
              <w:t xml:space="preserve"> </w:t>
            </w:r>
            <w:r w:rsidR="00E01EBA">
              <w:rPr>
                <w:lang w:val="en-US"/>
              </w:rPr>
              <w:t>court terme</w:t>
            </w:r>
            <w:r w:rsidRPr="00594729">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7</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t>Retenu</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t xml:space="preserve">Marge d’évanouissement net pour </w:t>
            </w:r>
            <w:r w:rsidRPr="009D1DE4">
              <w:t>ES (dB)</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0</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w:t>
            </w:r>
          </w:p>
        </w:tc>
      </w:tr>
      <w:tr w:rsidR="00DF56A9" w:rsidRPr="00BE3767"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9D1DE4">
              <w:t>ESR (%)</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0,0075</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BE3767" w:rsidRDefault="00DF56A9" w:rsidP="00BE3767">
            <w:pPr>
              <w:pStyle w:val="Tabletext"/>
              <w:rPr>
                <w:lang w:val="fr-CH"/>
              </w:rPr>
            </w:pPr>
            <w:r w:rsidRPr="00BE3767">
              <w:rPr>
                <w:lang w:val="fr-CH"/>
              </w:rPr>
              <w:t xml:space="preserve">Rec. </w:t>
            </w:r>
            <w:r w:rsidR="00E01EBA" w:rsidRPr="00BE3767">
              <w:rPr>
                <w:lang w:val="fr-CH"/>
              </w:rPr>
              <w:t>UIT</w:t>
            </w:r>
            <w:r w:rsidRPr="00BE3767">
              <w:rPr>
                <w:lang w:val="fr-CH"/>
              </w:rPr>
              <w:t>-R F.1565 Tabl</w:t>
            </w:r>
            <w:r w:rsidR="00BE3767" w:rsidRPr="00BE3767">
              <w:rPr>
                <w:lang w:val="fr-CH"/>
              </w:rPr>
              <w:t>eaux</w:t>
            </w:r>
            <w:r w:rsidRPr="00BE3767">
              <w:rPr>
                <w:lang w:val="fr-CH"/>
              </w:rPr>
              <w:t xml:space="preserve"> 4a </w:t>
            </w:r>
            <w:r w:rsidR="00BE3767" w:rsidRPr="00BE3767">
              <w:rPr>
                <w:lang w:val="fr-CH"/>
              </w:rPr>
              <w:t>et</w:t>
            </w:r>
            <w:r w:rsidRPr="00BE3767">
              <w:rPr>
                <w:lang w:val="fr-CH"/>
              </w:rPr>
              <w:t xml:space="preserve"> 5a</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EA1027">
              <w:t xml:space="preserve">Probabilité que la marge d’évanouissement soit dépassé </w:t>
            </w:r>
            <w:r w:rsidRPr="009D1DE4">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63</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xml:space="preserve">Rec. </w:t>
            </w:r>
            <w:r w:rsidR="00E01EBA">
              <w:t>UIT</w:t>
            </w:r>
            <w:r w:rsidRPr="00594729">
              <w:t>-R P.530</w:t>
            </w:r>
          </w:p>
        </w:tc>
      </w:tr>
      <w:tr w:rsidR="00DF56A9" w:rsidRPr="00594729" w:rsidTr="00DF56A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DF56A9" w:rsidRPr="0024244A" w:rsidRDefault="00DF56A9" w:rsidP="00DF56A9">
            <w:pPr>
              <w:pStyle w:val="Tabletext"/>
            </w:pPr>
            <w:r w:rsidRPr="00021209">
              <w:t>P</w:t>
            </w:r>
            <w:r>
              <w:t>ourcentage de temps</w:t>
            </w:r>
            <w:r w:rsidRPr="00021209">
              <w:t xml:space="preserve"> associée au critère de protection court terme </w:t>
            </w:r>
            <w:r w:rsidRPr="007B2983">
              <w:t>(%)</w:t>
            </w:r>
          </w:p>
        </w:tc>
        <w:tc>
          <w:tcPr>
            <w:tcW w:w="1134" w:type="dxa"/>
            <w:tcBorders>
              <w:top w:val="nil"/>
              <w:left w:val="nil"/>
              <w:bottom w:val="single" w:sz="4" w:space="0" w:color="auto"/>
              <w:right w:val="single" w:sz="4" w:space="0" w:color="auto"/>
            </w:tcBorders>
            <w:shd w:val="clear" w:color="auto" w:fill="auto"/>
            <w:noWrap/>
            <w:vAlign w:val="center"/>
            <w:hideMark/>
          </w:tcPr>
          <w:p w:rsidR="00DF56A9" w:rsidRPr="006F72CB" w:rsidRDefault="00DF56A9" w:rsidP="00DF56A9">
            <w:pPr>
              <w:pStyle w:val="Tabletext"/>
              <w:jc w:val="center"/>
            </w:pPr>
            <w:r w:rsidRPr="006F72CB">
              <w:rPr>
                <w:color w:val="000000"/>
                <w:szCs w:val="22"/>
              </w:rPr>
              <w:t>1,19E-02</w:t>
            </w:r>
          </w:p>
        </w:tc>
        <w:tc>
          <w:tcPr>
            <w:tcW w:w="3543" w:type="dxa"/>
            <w:tcBorders>
              <w:top w:val="nil"/>
              <w:left w:val="nil"/>
              <w:bottom w:val="single" w:sz="4" w:space="0" w:color="auto"/>
              <w:right w:val="single" w:sz="4" w:space="0" w:color="auto"/>
            </w:tcBorders>
            <w:shd w:val="clear" w:color="auto" w:fill="auto"/>
            <w:noWrap/>
            <w:vAlign w:val="center"/>
            <w:hideMark/>
          </w:tcPr>
          <w:p w:rsidR="00DF56A9" w:rsidRPr="00594729" w:rsidRDefault="00DF56A9" w:rsidP="00DF56A9">
            <w:pPr>
              <w:pStyle w:val="Tabletext"/>
            </w:pPr>
            <w:r w:rsidRPr="00594729">
              <w:t> </w:t>
            </w:r>
          </w:p>
        </w:tc>
      </w:tr>
    </w:tbl>
    <w:p w:rsidR="00DF56A9" w:rsidRPr="00594729" w:rsidRDefault="00DF56A9" w:rsidP="00DF56A9"/>
    <w:p w:rsidR="00BE3767" w:rsidRDefault="00BE3767">
      <w:pPr>
        <w:tabs>
          <w:tab w:val="clear" w:pos="1134"/>
          <w:tab w:val="clear" w:pos="1871"/>
          <w:tab w:val="clear" w:pos="2268"/>
        </w:tabs>
        <w:overflowPunct/>
        <w:autoSpaceDE/>
        <w:autoSpaceDN/>
        <w:adjustRightInd/>
        <w:spacing w:before="0"/>
        <w:textAlignment w:val="auto"/>
        <w:rPr>
          <w:b/>
          <w:bCs/>
        </w:rPr>
      </w:pPr>
      <w:r>
        <w:rPr>
          <w:b/>
          <w:bCs/>
        </w:rPr>
        <w:br w:type="page"/>
      </w:r>
    </w:p>
    <w:p w:rsidR="00DF56A9" w:rsidRPr="004F3337" w:rsidRDefault="00BE3767" w:rsidP="009C01BA">
      <w:pPr>
        <w:pStyle w:val="enumlev1"/>
        <w:rPr>
          <w:b/>
          <w:bCs/>
        </w:rPr>
      </w:pPr>
      <w:r>
        <w:rPr>
          <w:b/>
          <w:bCs/>
        </w:rPr>
        <w:t>c)</w:t>
      </w:r>
      <w:r>
        <w:rPr>
          <w:b/>
          <w:bCs/>
        </w:rPr>
        <w:tab/>
      </w:r>
      <w:r w:rsidR="00DF56A9" w:rsidRPr="004F3337">
        <w:rPr>
          <w:b/>
          <w:bCs/>
        </w:rPr>
        <w:t xml:space="preserve">Exemples de </w:t>
      </w:r>
      <w:r w:rsidR="009C01BA">
        <w:rPr>
          <w:b/>
          <w:bCs/>
        </w:rPr>
        <w:t>f</w:t>
      </w:r>
      <w:r w:rsidR="00DF56A9" w:rsidRPr="004F3337">
        <w:rPr>
          <w:b/>
          <w:bCs/>
        </w:rPr>
        <w:t xml:space="preserve">onction de </w:t>
      </w:r>
      <w:r w:rsidR="009C01BA">
        <w:rPr>
          <w:b/>
          <w:bCs/>
        </w:rPr>
        <w:t>d</w:t>
      </w:r>
      <w:r w:rsidR="00DF56A9" w:rsidRPr="004F3337">
        <w:rPr>
          <w:b/>
          <w:bCs/>
        </w:rPr>
        <w:t xml:space="preserve">istribution </w:t>
      </w:r>
      <w:r w:rsidR="009C01BA">
        <w:rPr>
          <w:b/>
          <w:bCs/>
        </w:rPr>
        <w:t>c</w:t>
      </w:r>
      <w:r w:rsidR="00DF56A9" w:rsidRPr="004F3337">
        <w:rPr>
          <w:b/>
          <w:bCs/>
        </w:rPr>
        <w:t>umulative du ratio I/N</w:t>
      </w:r>
    </w:p>
    <w:p w:rsidR="00DF56A9" w:rsidRDefault="00DF56A9" w:rsidP="00DF56A9">
      <w:pPr>
        <w:jc w:val="center"/>
        <w:rPr>
          <w:noProof/>
          <w:lang w:eastAsia="fr-FR"/>
        </w:rPr>
      </w:pPr>
    </w:p>
    <w:p w:rsidR="00DF56A9" w:rsidRDefault="00DF56A9" w:rsidP="00DF56A9">
      <w:pPr>
        <w:jc w:val="center"/>
        <w:rPr>
          <w:noProof/>
          <w:lang w:eastAsia="fr-FR"/>
        </w:rPr>
      </w:pPr>
      <w:r>
        <w:rPr>
          <w:noProof/>
          <w:lang w:val="en-US" w:eastAsia="zh-CN"/>
        </w:rPr>
        <w:drawing>
          <wp:inline distT="0" distB="0" distL="0" distR="0" wp14:anchorId="365259C3" wp14:editId="104A64AF">
            <wp:extent cx="6177515" cy="51886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1_49dBi_cdf_UAV_Option3_Ka_05105.png"/>
                    <pic:cNvPicPr/>
                  </pic:nvPicPr>
                  <pic:blipFill rotWithShape="1">
                    <a:blip r:embed="rId31">
                      <a:extLst>
                        <a:ext uri="{28A0092B-C50C-407E-A947-70E740481C1C}">
                          <a14:useLocalDpi xmlns:a14="http://schemas.microsoft.com/office/drawing/2010/main" val="0"/>
                        </a:ext>
                      </a:extLst>
                    </a:blip>
                    <a:srcRect l="8721" t="5426" r="6831" b="1"/>
                    <a:stretch/>
                  </pic:blipFill>
                  <pic:spPr bwMode="auto">
                    <a:xfrm>
                      <a:off x="0" y="0"/>
                      <a:ext cx="6177008" cy="5188262"/>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pPr>
      <w:r>
        <w:rPr>
          <w:noProof/>
          <w:lang w:val="en-US" w:eastAsia="zh-CN"/>
        </w:rPr>
        <w:drawing>
          <wp:inline distT="0" distB="0" distL="0" distR="0" wp14:anchorId="1105550F" wp14:editId="149CDEDE">
            <wp:extent cx="6134986" cy="5199321"/>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5_18dBi_cdf_UAV_Option3_Ka_05129.png"/>
                    <pic:cNvPicPr/>
                  </pic:nvPicPr>
                  <pic:blipFill rotWithShape="1">
                    <a:blip r:embed="rId32">
                      <a:extLst>
                        <a:ext uri="{28A0092B-C50C-407E-A947-70E740481C1C}">
                          <a14:useLocalDpi xmlns:a14="http://schemas.microsoft.com/office/drawing/2010/main" val="0"/>
                        </a:ext>
                      </a:extLst>
                    </a:blip>
                    <a:srcRect l="8576" t="5233" r="7558"/>
                    <a:stretch/>
                  </pic:blipFill>
                  <pic:spPr bwMode="auto">
                    <a:xfrm>
                      <a:off x="0" y="0"/>
                      <a:ext cx="6134480" cy="5198892"/>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pPr>
    </w:p>
    <w:p w:rsidR="00BE3767" w:rsidRDefault="00BE3767">
      <w:pPr>
        <w:tabs>
          <w:tab w:val="clear" w:pos="1134"/>
          <w:tab w:val="clear" w:pos="1871"/>
          <w:tab w:val="clear" w:pos="2268"/>
        </w:tabs>
        <w:overflowPunct/>
        <w:autoSpaceDE/>
        <w:autoSpaceDN/>
        <w:adjustRightInd/>
        <w:spacing w:before="0"/>
        <w:textAlignment w:val="auto"/>
        <w:rPr>
          <w:noProof/>
          <w:lang w:eastAsia="fr-FR"/>
        </w:rPr>
      </w:pPr>
      <w:r>
        <w:rPr>
          <w:noProof/>
          <w:lang w:eastAsia="fr-FR"/>
        </w:rPr>
        <w:br w:type="page"/>
      </w: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611EA9E3" wp14:editId="70684EFD">
            <wp:extent cx="6156250" cy="5199321"/>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3_Ka_05132.png"/>
                    <pic:cNvPicPr/>
                  </pic:nvPicPr>
                  <pic:blipFill rotWithShape="1">
                    <a:blip r:embed="rId33">
                      <a:extLst>
                        <a:ext uri="{28A0092B-C50C-407E-A947-70E740481C1C}">
                          <a14:useLocalDpi xmlns:a14="http://schemas.microsoft.com/office/drawing/2010/main" val="0"/>
                        </a:ext>
                      </a:extLst>
                    </a:blip>
                    <a:srcRect l="8867" t="5233" r="6977"/>
                    <a:stretch/>
                  </pic:blipFill>
                  <pic:spPr bwMode="auto">
                    <a:xfrm>
                      <a:off x="0" y="0"/>
                      <a:ext cx="6155742" cy="5198892"/>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6CAB44D5" wp14:editId="017C8237">
            <wp:extent cx="6124353" cy="5199321"/>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1_49dBi_cdf_UAV_Option3_Ka_05135.png"/>
                    <pic:cNvPicPr/>
                  </pic:nvPicPr>
                  <pic:blipFill rotWithShape="1">
                    <a:blip r:embed="rId34">
                      <a:extLst>
                        <a:ext uri="{28A0092B-C50C-407E-A947-70E740481C1C}">
                          <a14:useLocalDpi xmlns:a14="http://schemas.microsoft.com/office/drawing/2010/main" val="0"/>
                        </a:ext>
                      </a:extLst>
                    </a:blip>
                    <a:srcRect l="8866" t="5233" r="7413"/>
                    <a:stretch/>
                  </pic:blipFill>
                  <pic:spPr bwMode="auto">
                    <a:xfrm>
                      <a:off x="0" y="0"/>
                      <a:ext cx="6123848" cy="5198892"/>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rPr>
          <w:noProof/>
          <w:lang w:eastAsia="fr-FR"/>
        </w:rPr>
      </w:pPr>
      <w:r>
        <w:rPr>
          <w:noProof/>
          <w:lang w:val="en-US" w:eastAsia="zh-CN"/>
        </w:rPr>
        <w:drawing>
          <wp:inline distT="0" distB="0" distL="0" distR="0" wp14:anchorId="209C1B93" wp14:editId="1FDA9499">
            <wp:extent cx="6155140" cy="519979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5_18dBi_cdf_UAV_Option3_Ka_05159.png"/>
                    <pic:cNvPicPr/>
                  </pic:nvPicPr>
                  <pic:blipFill rotWithShape="1">
                    <a:blip r:embed="rId35">
                      <a:extLst>
                        <a:ext uri="{28A0092B-C50C-407E-A947-70E740481C1C}">
                          <a14:useLocalDpi xmlns:a14="http://schemas.microsoft.com/office/drawing/2010/main" val="0"/>
                        </a:ext>
                      </a:extLst>
                    </a:blip>
                    <a:srcRect l="8769" t="5224" r="7090"/>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1F83676C" wp14:editId="0F234E0D">
            <wp:extent cx="6155140" cy="5199797"/>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0_28dBi_cdf_UAV_Option3_Ka_05163.png"/>
                    <pic:cNvPicPr/>
                  </pic:nvPicPr>
                  <pic:blipFill rotWithShape="1">
                    <a:blip r:embed="rId36">
                      <a:extLst>
                        <a:ext uri="{28A0092B-C50C-407E-A947-70E740481C1C}">
                          <a14:useLocalDpi xmlns:a14="http://schemas.microsoft.com/office/drawing/2010/main" val="0"/>
                        </a:ext>
                      </a:extLst>
                    </a:blip>
                    <a:srcRect l="8582" t="5224" r="7276"/>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r>
        <w:rPr>
          <w:noProof/>
          <w:lang w:val="en-US" w:eastAsia="zh-CN"/>
        </w:rPr>
        <w:drawing>
          <wp:inline distT="0" distB="0" distL="0" distR="0" wp14:anchorId="58760035" wp14:editId="41F2CB48">
            <wp:extent cx="6168788" cy="5186149"/>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3_49dBi_cdf_UAV_Option3_Ka_05175.png"/>
                    <pic:cNvPicPr/>
                  </pic:nvPicPr>
                  <pic:blipFill rotWithShape="1">
                    <a:blip r:embed="rId37">
                      <a:extLst>
                        <a:ext uri="{28A0092B-C50C-407E-A947-70E740481C1C}">
                          <a14:useLocalDpi xmlns:a14="http://schemas.microsoft.com/office/drawing/2010/main" val="0"/>
                        </a:ext>
                      </a:extLst>
                    </a:blip>
                    <a:srcRect l="8770" t="5473" r="6903"/>
                    <a:stretch/>
                  </pic:blipFill>
                  <pic:spPr bwMode="auto">
                    <a:xfrm>
                      <a:off x="0" y="0"/>
                      <a:ext cx="6168279" cy="5185721"/>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1A6D5908" wp14:editId="6FFD5382">
            <wp:extent cx="6155140" cy="5213445"/>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5_45dBi_cdf_UAV_Option3_Ka_05186.png"/>
                    <pic:cNvPicPr/>
                  </pic:nvPicPr>
                  <pic:blipFill rotWithShape="1">
                    <a:blip r:embed="rId38">
                      <a:extLst>
                        <a:ext uri="{28A0092B-C50C-407E-A947-70E740481C1C}">
                          <a14:useLocalDpi xmlns:a14="http://schemas.microsoft.com/office/drawing/2010/main" val="0"/>
                        </a:ext>
                      </a:extLst>
                    </a:blip>
                    <a:srcRect l="8955" t="4975" r="6903"/>
                    <a:stretch/>
                  </pic:blipFill>
                  <pic:spPr bwMode="auto">
                    <a:xfrm>
                      <a:off x="0" y="0"/>
                      <a:ext cx="6154632" cy="5213015"/>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Default="00DF56A9" w:rsidP="00DF56A9">
      <w:pPr>
        <w:jc w:val="center"/>
      </w:pPr>
      <w:r>
        <w:rPr>
          <w:noProof/>
          <w:lang w:val="en-US" w:eastAsia="zh-CN"/>
        </w:rPr>
        <w:drawing>
          <wp:inline distT="0" distB="0" distL="0" distR="0" wp14:anchorId="647986A1" wp14:editId="252EB79D">
            <wp:extent cx="6114197" cy="5199797"/>
            <wp:effectExtent l="0" t="0" r="127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0_49dBi_cdf_UAV_Option3_Ka_05190.png"/>
                    <pic:cNvPicPr/>
                  </pic:nvPicPr>
                  <pic:blipFill rotWithShape="1">
                    <a:blip r:embed="rId39">
                      <a:extLst>
                        <a:ext uri="{28A0092B-C50C-407E-A947-70E740481C1C}">
                          <a14:useLocalDpi xmlns:a14="http://schemas.microsoft.com/office/drawing/2010/main" val="0"/>
                        </a:ext>
                      </a:extLst>
                    </a:blip>
                    <a:srcRect l="8769" t="5224" r="7649"/>
                    <a:stretch/>
                  </pic:blipFill>
                  <pic:spPr bwMode="auto">
                    <a:xfrm>
                      <a:off x="0" y="0"/>
                      <a:ext cx="6113693" cy="5199368"/>
                    </a:xfrm>
                    <a:prstGeom prst="rect">
                      <a:avLst/>
                    </a:prstGeom>
                    <a:ln>
                      <a:noFill/>
                    </a:ln>
                    <a:extLst>
                      <a:ext uri="{53640926-AAD7-44D8-BBD7-CCE9431645EC}">
                        <a14:shadowObscured xmlns:a14="http://schemas.microsoft.com/office/drawing/2010/main"/>
                      </a:ext>
                    </a:extLst>
                  </pic:spPr>
                </pic:pic>
              </a:graphicData>
            </a:graphic>
          </wp:inline>
        </w:drawing>
      </w:r>
    </w:p>
    <w:p w:rsidR="00DF56A9" w:rsidRDefault="00DF56A9" w:rsidP="00DF56A9">
      <w:pPr>
        <w:jc w:val="center"/>
        <w:sectPr w:rsidR="00DF56A9" w:rsidSect="00BE3767">
          <w:pgSz w:w="11907" w:h="16840" w:code="9"/>
          <w:pgMar w:top="1418" w:right="1134" w:bottom="1418" w:left="1134" w:header="720" w:footer="720" w:gutter="0"/>
          <w:paperSrc w:first="15" w:other="15"/>
          <w:cols w:space="720"/>
          <w:titlePg/>
          <w:docGrid w:linePitch="326"/>
        </w:sectPr>
      </w:pPr>
    </w:p>
    <w:p w:rsidR="00DF56A9" w:rsidRDefault="00DF56A9" w:rsidP="00DF56A9">
      <w:pPr>
        <w:jc w:val="center"/>
        <w:rPr>
          <w:noProof/>
          <w:lang w:eastAsia="fr-FR"/>
        </w:rPr>
      </w:pPr>
    </w:p>
    <w:p w:rsidR="00DF56A9" w:rsidRPr="00664192" w:rsidRDefault="00DF56A9" w:rsidP="00DF56A9">
      <w:pPr>
        <w:jc w:val="center"/>
      </w:pPr>
      <w:r>
        <w:rPr>
          <w:noProof/>
          <w:lang w:val="en-US" w:eastAsia="zh-CN"/>
        </w:rPr>
        <w:drawing>
          <wp:inline distT="0" distB="0" distL="0" distR="0" wp14:anchorId="0C46D5CF" wp14:editId="14851C86">
            <wp:extent cx="6182436" cy="5199797"/>
            <wp:effectExtent l="0" t="0" r="889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3_Ka_05218.png"/>
                    <pic:cNvPicPr/>
                  </pic:nvPicPr>
                  <pic:blipFill rotWithShape="1">
                    <a:blip r:embed="rId40">
                      <a:extLst>
                        <a:ext uri="{28A0092B-C50C-407E-A947-70E740481C1C}">
                          <a14:useLocalDpi xmlns:a14="http://schemas.microsoft.com/office/drawing/2010/main" val="0"/>
                        </a:ext>
                      </a:extLst>
                    </a:blip>
                    <a:srcRect l="8955" t="5224" r="6530"/>
                    <a:stretch/>
                  </pic:blipFill>
                  <pic:spPr bwMode="auto">
                    <a:xfrm>
                      <a:off x="0" y="0"/>
                      <a:ext cx="6181926" cy="5199368"/>
                    </a:xfrm>
                    <a:prstGeom prst="rect">
                      <a:avLst/>
                    </a:prstGeom>
                    <a:ln>
                      <a:noFill/>
                    </a:ln>
                    <a:extLst>
                      <a:ext uri="{53640926-AAD7-44D8-BBD7-CCE9431645EC}">
                        <a14:shadowObscured xmlns:a14="http://schemas.microsoft.com/office/drawing/2010/main"/>
                      </a:ext>
                    </a:extLst>
                  </pic:spPr>
                </pic:pic>
              </a:graphicData>
            </a:graphic>
          </wp:inline>
        </w:drawing>
      </w:r>
    </w:p>
    <w:p w:rsidR="004F3337" w:rsidRDefault="004F3337" w:rsidP="004A0AEC">
      <w:pPr>
        <w:pStyle w:val="Reasons"/>
      </w:pPr>
    </w:p>
    <w:p w:rsidR="003E605C" w:rsidRDefault="004F3337" w:rsidP="004F3337">
      <w:pPr>
        <w:jc w:val="center"/>
      </w:pPr>
      <w:r>
        <w:t>______________</w:t>
      </w:r>
    </w:p>
    <w:sectPr w:rsidR="003E605C">
      <w:headerReference w:type="default" r:id="rId41"/>
      <w:footerReference w:type="even" r:id="rId42"/>
      <w:footerReference w:type="default" r:id="rId43"/>
      <w:footerReference w:type="first" r:id="rId44"/>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B32" w:rsidRDefault="00603B32">
      <w:r>
        <w:separator/>
      </w:r>
    </w:p>
  </w:endnote>
  <w:endnote w:type="continuationSeparator" w:id="0">
    <w:p w:rsidR="00603B32" w:rsidRDefault="00603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Pr="000B08EF" w:rsidRDefault="00603B32" w:rsidP="000B08EF">
    <w:pPr>
      <w:pStyle w:val="Footer"/>
      <w:rPr>
        <w:lang w:val="es-ES_tradnl"/>
      </w:rPr>
    </w:pPr>
    <w:r>
      <w:fldChar w:fldCharType="begin"/>
    </w:r>
    <w:r w:rsidRPr="000B08EF">
      <w:rPr>
        <w:lang w:val="es-ES_tradnl"/>
      </w:rPr>
      <w:instrText xml:space="preserve"> FILENAME \p  \* MERGEFORMAT </w:instrText>
    </w:r>
    <w:r>
      <w:fldChar w:fldCharType="separate"/>
    </w:r>
    <w:r w:rsidR="009E7F99">
      <w:rPr>
        <w:lang w:val="es-ES_tradnl"/>
      </w:rPr>
      <w:t>P:\FRA\ITU-R\CONF-R\CMR15\000\090V2F.docx</w:t>
    </w:r>
    <w:r>
      <w:fldChar w:fldCharType="end"/>
    </w:r>
    <w:r w:rsidRPr="00D5210E">
      <w:rPr>
        <w:lang w:val="es-ES_tradnl"/>
      </w:rPr>
      <w:t xml:space="preserve"> (388692)</w:t>
    </w:r>
    <w:r w:rsidRPr="000B08EF">
      <w:rPr>
        <w:lang w:val="es-ES_tradnl"/>
      </w:rPr>
      <w:tab/>
    </w:r>
    <w:r>
      <w:fldChar w:fldCharType="begin"/>
    </w:r>
    <w:r>
      <w:instrText xml:space="preserve"> SAVEDATE \@ DD.MM.YY </w:instrText>
    </w:r>
    <w:r>
      <w:fldChar w:fldCharType="separate"/>
    </w:r>
    <w:r w:rsidR="009E7F99">
      <w:t>29.10.15</w:t>
    </w:r>
    <w:r>
      <w:fldChar w:fldCharType="end"/>
    </w:r>
    <w:r w:rsidRPr="000B08EF">
      <w:rPr>
        <w:lang w:val="es-ES_tradnl"/>
      </w:rPr>
      <w:tab/>
    </w:r>
    <w:r>
      <w:fldChar w:fldCharType="begin"/>
    </w:r>
    <w:r>
      <w:instrText xml:space="preserve"> PRINTDATE \@ DD.MM.YY </w:instrText>
    </w:r>
    <w:r>
      <w:fldChar w:fldCharType="separate"/>
    </w:r>
    <w:r w:rsidR="009E7F99">
      <w:t>29.10.15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Pr="00DF56A9" w:rsidRDefault="00603B32" w:rsidP="000B08EF">
    <w:pPr>
      <w:pStyle w:val="Footer"/>
      <w:rPr>
        <w:lang w:val="es-ES_tradnl"/>
      </w:rPr>
    </w:pPr>
    <w:r>
      <w:fldChar w:fldCharType="begin"/>
    </w:r>
    <w:r w:rsidRPr="000B08EF">
      <w:rPr>
        <w:lang w:val="es-ES_tradnl"/>
      </w:rPr>
      <w:instrText xml:space="preserve"> FILENAME \p  \* MERGEFORMAT </w:instrText>
    </w:r>
    <w:r>
      <w:fldChar w:fldCharType="separate"/>
    </w:r>
    <w:r w:rsidR="009E7F99">
      <w:rPr>
        <w:lang w:val="es-ES_tradnl"/>
      </w:rPr>
      <w:t>P:\FRA\ITU-R\CONF-R\CMR15\000\090V2F.docx</w:t>
    </w:r>
    <w:r>
      <w:fldChar w:fldCharType="end"/>
    </w:r>
    <w:r w:rsidRPr="00D5210E">
      <w:rPr>
        <w:lang w:val="es-ES_tradnl"/>
      </w:rPr>
      <w:t xml:space="preserve"> (388692)</w:t>
    </w:r>
    <w:r w:rsidRPr="000B08EF">
      <w:rPr>
        <w:lang w:val="es-ES_tradnl"/>
      </w:rPr>
      <w:tab/>
    </w:r>
    <w:r>
      <w:fldChar w:fldCharType="begin"/>
    </w:r>
    <w:r>
      <w:instrText xml:space="preserve"> SAVEDATE \@ DD.MM.YY </w:instrText>
    </w:r>
    <w:r>
      <w:fldChar w:fldCharType="separate"/>
    </w:r>
    <w:r w:rsidR="009E7F99">
      <w:t>29.10.15</w:t>
    </w:r>
    <w:r>
      <w:fldChar w:fldCharType="end"/>
    </w:r>
    <w:r w:rsidRPr="000B08EF">
      <w:rPr>
        <w:lang w:val="es-ES_tradnl"/>
      </w:rPr>
      <w:tab/>
    </w:r>
    <w:r>
      <w:fldChar w:fldCharType="begin"/>
    </w:r>
    <w:r>
      <w:instrText xml:space="preserve"> PRINTDATE \@ DD.MM.YY </w:instrText>
    </w:r>
    <w:r>
      <w:fldChar w:fldCharType="separate"/>
    </w:r>
    <w:r w:rsidR="009E7F99">
      <w:t>29.10.15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Pr="004F3337" w:rsidRDefault="00603B32">
    <w:pPr>
      <w:rPr>
        <w:lang w:val="es-ES_tradnl"/>
      </w:rPr>
    </w:pPr>
    <w:r>
      <w:fldChar w:fldCharType="begin"/>
    </w:r>
    <w:r w:rsidRPr="004F3337">
      <w:rPr>
        <w:lang w:val="es-ES_tradnl"/>
      </w:rPr>
      <w:instrText xml:space="preserve"> FILENAME \p  \* MERGEFORMAT </w:instrText>
    </w:r>
    <w:r>
      <w:fldChar w:fldCharType="separate"/>
    </w:r>
    <w:r w:rsidR="009E7F99">
      <w:rPr>
        <w:noProof/>
        <w:lang w:val="es-ES_tradnl"/>
      </w:rPr>
      <w:t>P:\FRA\ITU-R\CONF-R\CMR15\000\090V2F.docx</w:t>
    </w:r>
    <w:r>
      <w:fldChar w:fldCharType="end"/>
    </w:r>
    <w:r w:rsidRPr="004F3337">
      <w:rPr>
        <w:lang w:val="es-ES_tradnl"/>
      </w:rPr>
      <w:tab/>
    </w:r>
    <w:r>
      <w:fldChar w:fldCharType="begin"/>
    </w:r>
    <w:r>
      <w:instrText xml:space="preserve"> SAVEDATE \@ DD.MM.YY </w:instrText>
    </w:r>
    <w:r>
      <w:fldChar w:fldCharType="separate"/>
    </w:r>
    <w:r w:rsidR="009E7F99">
      <w:rPr>
        <w:noProof/>
      </w:rPr>
      <w:t>29.10.15</w:t>
    </w:r>
    <w:r>
      <w:fldChar w:fldCharType="end"/>
    </w:r>
    <w:r w:rsidRPr="004F3337">
      <w:rPr>
        <w:lang w:val="es-ES_tradnl"/>
      </w:rPr>
      <w:tab/>
    </w:r>
    <w:r>
      <w:fldChar w:fldCharType="begin"/>
    </w:r>
    <w:r>
      <w:instrText xml:space="preserve"> PRINTDATE \@ DD.MM.YY </w:instrText>
    </w:r>
    <w:r>
      <w:fldChar w:fldCharType="separate"/>
    </w:r>
    <w:r w:rsidR="009E7F99">
      <w:rPr>
        <w:noProof/>
      </w:rPr>
      <w:t>29.10.15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Pr="00DF56A9" w:rsidRDefault="00603B32" w:rsidP="00DF56A9">
    <w:pPr>
      <w:pStyle w:val="Footer"/>
      <w:rPr>
        <w:lang w:val="es-ES_tradnl"/>
      </w:rPr>
    </w:pPr>
    <w:r>
      <w:fldChar w:fldCharType="begin"/>
    </w:r>
    <w:r w:rsidRPr="00DF56A9">
      <w:rPr>
        <w:lang w:val="es-ES_tradnl"/>
      </w:rPr>
      <w:instrText xml:space="preserve"> FILENAME \p  \* MERGEFORMAT </w:instrText>
    </w:r>
    <w:r>
      <w:fldChar w:fldCharType="separate"/>
    </w:r>
    <w:r w:rsidR="009E7F99">
      <w:rPr>
        <w:lang w:val="es-ES_tradnl"/>
      </w:rPr>
      <w:t>P:\FRA\ITU-R\CONF-R\CMR15\000\090V2F.docx</w:t>
    </w:r>
    <w:r>
      <w:fldChar w:fldCharType="end"/>
    </w:r>
    <w:r w:rsidRPr="00DF56A9">
      <w:rPr>
        <w:lang w:val="es-ES_tradnl"/>
      </w:rPr>
      <w:t xml:space="preserve"> (388692</w:t>
    </w:r>
    <w:r>
      <w:rPr>
        <w:lang w:val="es-ES_tradnl"/>
      </w:rPr>
      <w:t>)</w:t>
    </w:r>
    <w:r w:rsidRPr="00DF56A9">
      <w:rPr>
        <w:lang w:val="es-ES_tradnl"/>
      </w:rPr>
      <w:tab/>
    </w:r>
    <w:r>
      <w:fldChar w:fldCharType="begin"/>
    </w:r>
    <w:r>
      <w:instrText xml:space="preserve"> SAVEDATE \@ DD.MM.YY </w:instrText>
    </w:r>
    <w:r>
      <w:fldChar w:fldCharType="separate"/>
    </w:r>
    <w:r w:rsidR="009E7F99">
      <w:t>29.10.15</w:t>
    </w:r>
    <w:r>
      <w:fldChar w:fldCharType="end"/>
    </w:r>
    <w:r w:rsidRPr="00DF56A9">
      <w:rPr>
        <w:lang w:val="es-ES_tradnl"/>
      </w:rPr>
      <w:tab/>
    </w:r>
    <w:r>
      <w:fldChar w:fldCharType="begin"/>
    </w:r>
    <w:r>
      <w:instrText xml:space="preserve"> PRINTDATE \@ DD.MM.YY </w:instrText>
    </w:r>
    <w:r>
      <w:fldChar w:fldCharType="separate"/>
    </w:r>
    <w:r w:rsidR="009E7F99">
      <w:t>29.10.15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Pr="00DF56A9" w:rsidRDefault="00603B32" w:rsidP="00DF56A9">
    <w:pPr>
      <w:pStyle w:val="Footer"/>
      <w:rPr>
        <w:lang w:val="es-ES_tradnl"/>
      </w:rPr>
    </w:pPr>
    <w:r>
      <w:fldChar w:fldCharType="begin"/>
    </w:r>
    <w:r w:rsidRPr="00DF56A9">
      <w:rPr>
        <w:lang w:val="es-ES_tradnl"/>
      </w:rPr>
      <w:instrText xml:space="preserve"> FILENAME \p  \* MERGEFORMAT </w:instrText>
    </w:r>
    <w:r>
      <w:fldChar w:fldCharType="separate"/>
    </w:r>
    <w:r w:rsidR="009E7F99">
      <w:rPr>
        <w:lang w:val="es-ES_tradnl"/>
      </w:rPr>
      <w:t>P:\FRA\ITU-R\CONF-R\CMR15\000\090V2F.docx</w:t>
    </w:r>
    <w:r>
      <w:fldChar w:fldCharType="end"/>
    </w:r>
    <w:r w:rsidRPr="00DF56A9">
      <w:rPr>
        <w:lang w:val="es-ES_tradnl"/>
      </w:rPr>
      <w:t xml:space="preserve"> (388692)</w:t>
    </w:r>
    <w:r w:rsidRPr="00DF56A9">
      <w:rPr>
        <w:lang w:val="es-ES_tradnl"/>
      </w:rPr>
      <w:tab/>
    </w:r>
    <w:r>
      <w:fldChar w:fldCharType="begin"/>
    </w:r>
    <w:r>
      <w:instrText xml:space="preserve"> SAVEDATE \@ DD.MM.YY </w:instrText>
    </w:r>
    <w:r>
      <w:fldChar w:fldCharType="separate"/>
    </w:r>
    <w:r w:rsidR="009E7F99">
      <w:t>29.10.15</w:t>
    </w:r>
    <w:r>
      <w:fldChar w:fldCharType="end"/>
    </w:r>
    <w:r w:rsidRPr="00DF56A9">
      <w:rPr>
        <w:lang w:val="es-ES_tradnl"/>
      </w:rPr>
      <w:tab/>
    </w:r>
    <w:r>
      <w:fldChar w:fldCharType="begin"/>
    </w:r>
    <w:r>
      <w:instrText xml:space="preserve"> PRINTDATE \@ DD.MM.YY </w:instrText>
    </w:r>
    <w:r>
      <w:fldChar w:fldCharType="separate"/>
    </w:r>
    <w:r w:rsidR="009E7F99">
      <w:t>29.10.15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B32" w:rsidRDefault="00603B32">
      <w:r>
        <w:rPr>
          <w:b/>
        </w:rPr>
        <w:t>_______________</w:t>
      </w:r>
    </w:p>
  </w:footnote>
  <w:footnote w:type="continuationSeparator" w:id="0">
    <w:p w:rsidR="00603B32" w:rsidRDefault="00603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544161"/>
      <w:docPartObj>
        <w:docPartGallery w:val="Page Numbers (Top of Page)"/>
        <w:docPartUnique/>
      </w:docPartObj>
    </w:sdtPr>
    <w:sdtEndPr>
      <w:rPr>
        <w:noProof/>
      </w:rPr>
    </w:sdtEndPr>
    <w:sdtContent>
      <w:p w:rsidR="00603B32" w:rsidRDefault="00603B32">
        <w:pPr>
          <w:pStyle w:val="Header"/>
        </w:pPr>
        <w:r>
          <w:fldChar w:fldCharType="begin"/>
        </w:r>
        <w:r>
          <w:instrText xml:space="preserve"> PAGE   \* MERGEFORMAT </w:instrText>
        </w:r>
        <w:r>
          <w:fldChar w:fldCharType="separate"/>
        </w:r>
        <w:r w:rsidR="009E7F99">
          <w:rPr>
            <w:noProof/>
          </w:rPr>
          <w:t>21</w:t>
        </w:r>
        <w:r>
          <w:rPr>
            <w:noProof/>
          </w:rPr>
          <w:fldChar w:fldCharType="end"/>
        </w:r>
      </w:p>
    </w:sdtContent>
  </w:sdt>
  <w:p w:rsidR="00603B32" w:rsidRPr="000B08EF" w:rsidRDefault="00603B32" w:rsidP="00B153E2">
    <w:pPr>
      <w:pStyle w:val="Header"/>
      <w:rPr>
        <w:lang w:val="fr-CH"/>
      </w:rPr>
    </w:pPr>
    <w:r>
      <w:rPr>
        <w:lang w:val="fr-CH"/>
      </w:rPr>
      <w:t>CMR15/90-F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594731"/>
      <w:docPartObj>
        <w:docPartGallery w:val="Page Numbers (Top of Page)"/>
        <w:docPartUnique/>
      </w:docPartObj>
    </w:sdtPr>
    <w:sdtEndPr>
      <w:rPr>
        <w:noProof/>
      </w:rPr>
    </w:sdtEndPr>
    <w:sdtContent>
      <w:p w:rsidR="00E01EBA" w:rsidRDefault="00E01EBA" w:rsidP="00E01EBA">
        <w:pPr>
          <w:pStyle w:val="Header"/>
        </w:pPr>
        <w:r>
          <w:fldChar w:fldCharType="begin"/>
        </w:r>
        <w:r>
          <w:instrText xml:space="preserve"> PAGE   \* MERGEFORMAT </w:instrText>
        </w:r>
        <w:r>
          <w:fldChar w:fldCharType="separate"/>
        </w:r>
        <w:r w:rsidR="009E7F99">
          <w:rPr>
            <w:noProof/>
          </w:rPr>
          <w:t>19</w:t>
        </w:r>
        <w:r>
          <w:rPr>
            <w:noProof/>
          </w:rPr>
          <w:fldChar w:fldCharType="end"/>
        </w:r>
      </w:p>
    </w:sdtContent>
  </w:sdt>
  <w:p w:rsidR="00E01EBA" w:rsidRPr="000B08EF" w:rsidRDefault="00E01EBA" w:rsidP="00E01EBA">
    <w:pPr>
      <w:pStyle w:val="Header"/>
      <w:rPr>
        <w:lang w:val="fr-CH"/>
      </w:rPr>
    </w:pPr>
    <w:r>
      <w:rPr>
        <w:lang w:val="fr-CH"/>
      </w:rPr>
      <w:t>CMR-15/90-F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B32" w:rsidRDefault="00603B32" w:rsidP="004F1F8E">
    <w:pPr>
      <w:pStyle w:val="Header"/>
    </w:pPr>
    <w:r>
      <w:fldChar w:fldCharType="begin"/>
    </w:r>
    <w:r>
      <w:instrText xml:space="preserve"> PAGE </w:instrText>
    </w:r>
    <w:r>
      <w:fldChar w:fldCharType="separate"/>
    </w:r>
    <w:r>
      <w:rPr>
        <w:noProof/>
      </w:rPr>
      <w:t>4</w:t>
    </w:r>
    <w:r>
      <w:fldChar w:fldCharType="end"/>
    </w:r>
  </w:p>
  <w:p w:rsidR="00603B32" w:rsidRDefault="00603B32" w:rsidP="002C28A4">
    <w:pPr>
      <w:pStyle w:val="Header"/>
    </w:pPr>
    <w:r>
      <w:t>CMR15/90-</w:t>
    </w:r>
    <w:r w:rsidRPr="00010B43">
      <w:t>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32719EA"/>
    <w:multiLevelType w:val="hybridMultilevel"/>
    <w:tmpl w:val="C9AA246A"/>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3D773DE"/>
    <w:multiLevelType w:val="hybridMultilevel"/>
    <w:tmpl w:val="A47C9EC6"/>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39603F5"/>
    <w:multiLevelType w:val="hybridMultilevel"/>
    <w:tmpl w:val="A744777C"/>
    <w:lvl w:ilvl="0" w:tplc="040C0001">
      <w:start w:val="1"/>
      <w:numFmt w:val="bullet"/>
      <w:lvlText w:val=""/>
      <w:lvlJc w:val="left"/>
      <w:pPr>
        <w:ind w:left="720" w:hanging="360"/>
      </w:pPr>
      <w:rPr>
        <w:rFonts w:ascii="Symbol" w:hAnsi="Symbol" w:hint="default"/>
      </w:rPr>
    </w:lvl>
    <w:lvl w:ilvl="1" w:tplc="B6AED95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95A78"/>
    <w:multiLevelType w:val="hybridMultilevel"/>
    <w:tmpl w:val="E7D6A666"/>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6" w15:restartNumberingAfterBreak="0">
    <w:nsid w:val="1B3460CE"/>
    <w:multiLevelType w:val="hybridMultilevel"/>
    <w:tmpl w:val="005627DA"/>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BE13198"/>
    <w:multiLevelType w:val="hybridMultilevel"/>
    <w:tmpl w:val="9C365792"/>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8" w15:restartNumberingAfterBreak="0">
    <w:nsid w:val="1F873AAC"/>
    <w:multiLevelType w:val="hybridMultilevel"/>
    <w:tmpl w:val="387EC636"/>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0627B4E"/>
    <w:multiLevelType w:val="hybridMultilevel"/>
    <w:tmpl w:val="6046F574"/>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0" w15:restartNumberingAfterBreak="0">
    <w:nsid w:val="29502873"/>
    <w:multiLevelType w:val="hybridMultilevel"/>
    <w:tmpl w:val="D7AEE784"/>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1" w15:restartNumberingAfterBreak="0">
    <w:nsid w:val="2E7509F9"/>
    <w:multiLevelType w:val="hybridMultilevel"/>
    <w:tmpl w:val="6F02262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839240E"/>
    <w:multiLevelType w:val="hybridMultilevel"/>
    <w:tmpl w:val="D66A49D2"/>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3" w15:restartNumberingAfterBreak="0">
    <w:nsid w:val="3C9D1477"/>
    <w:multiLevelType w:val="hybridMultilevel"/>
    <w:tmpl w:val="798A18AC"/>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391513C"/>
    <w:multiLevelType w:val="hybridMultilevel"/>
    <w:tmpl w:val="5F687B2E"/>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5" w15:restartNumberingAfterBreak="0">
    <w:nsid w:val="460F7826"/>
    <w:multiLevelType w:val="hybridMultilevel"/>
    <w:tmpl w:val="3C8081CA"/>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6" w15:restartNumberingAfterBreak="0">
    <w:nsid w:val="46F4373C"/>
    <w:multiLevelType w:val="hybridMultilevel"/>
    <w:tmpl w:val="54A805BA"/>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7" w15:restartNumberingAfterBreak="0">
    <w:nsid w:val="50D25D88"/>
    <w:multiLevelType w:val="hybridMultilevel"/>
    <w:tmpl w:val="07A49080"/>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18" w15:restartNumberingAfterBreak="0">
    <w:nsid w:val="6CEA2505"/>
    <w:multiLevelType w:val="hybridMultilevel"/>
    <w:tmpl w:val="ECA05B24"/>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9" w15:restartNumberingAfterBreak="0">
    <w:nsid w:val="6F515235"/>
    <w:multiLevelType w:val="hybridMultilevel"/>
    <w:tmpl w:val="E0AA5A8E"/>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1"/>
  </w:num>
  <w:num w:numId="4">
    <w:abstractNumId w:val="6"/>
  </w:num>
  <w:num w:numId="5">
    <w:abstractNumId w:val="4"/>
  </w:num>
  <w:num w:numId="6">
    <w:abstractNumId w:val="16"/>
  </w:num>
  <w:num w:numId="7">
    <w:abstractNumId w:val="10"/>
  </w:num>
  <w:num w:numId="8">
    <w:abstractNumId w:val="14"/>
  </w:num>
  <w:num w:numId="9">
    <w:abstractNumId w:val="12"/>
  </w:num>
  <w:num w:numId="10">
    <w:abstractNumId w:val="2"/>
  </w:num>
  <w:num w:numId="11">
    <w:abstractNumId w:val="19"/>
  </w:num>
  <w:num w:numId="12">
    <w:abstractNumId w:val="8"/>
  </w:num>
  <w:num w:numId="13">
    <w:abstractNumId w:val="9"/>
  </w:num>
  <w:num w:numId="14">
    <w:abstractNumId w:val="15"/>
  </w:num>
  <w:num w:numId="15">
    <w:abstractNumId w:val="18"/>
  </w:num>
  <w:num w:numId="16">
    <w:abstractNumId w:val="7"/>
  </w:num>
  <w:num w:numId="17">
    <w:abstractNumId w:val="5"/>
  </w:num>
  <w:num w:numId="18">
    <w:abstractNumId w:val="17"/>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82"/>
    <w:rsid w:val="00007EC7"/>
    <w:rsid w:val="00010B43"/>
    <w:rsid w:val="00016648"/>
    <w:rsid w:val="0003522F"/>
    <w:rsid w:val="00080E2C"/>
    <w:rsid w:val="000A4755"/>
    <w:rsid w:val="000B08EF"/>
    <w:rsid w:val="000B2E0C"/>
    <w:rsid w:val="000B3D0C"/>
    <w:rsid w:val="001167B9"/>
    <w:rsid w:val="001267A0"/>
    <w:rsid w:val="0013574B"/>
    <w:rsid w:val="001505F9"/>
    <w:rsid w:val="0015203F"/>
    <w:rsid w:val="00160C64"/>
    <w:rsid w:val="0018169B"/>
    <w:rsid w:val="0019352B"/>
    <w:rsid w:val="001960D0"/>
    <w:rsid w:val="001F17E8"/>
    <w:rsid w:val="00204306"/>
    <w:rsid w:val="00232FD2"/>
    <w:rsid w:val="0026554E"/>
    <w:rsid w:val="002A4622"/>
    <w:rsid w:val="002A6F8F"/>
    <w:rsid w:val="002B17E5"/>
    <w:rsid w:val="002C0EBF"/>
    <w:rsid w:val="002C28A4"/>
    <w:rsid w:val="002F19CA"/>
    <w:rsid w:val="00315AFE"/>
    <w:rsid w:val="00335409"/>
    <w:rsid w:val="003606A6"/>
    <w:rsid w:val="0036650C"/>
    <w:rsid w:val="00393ACD"/>
    <w:rsid w:val="003A583E"/>
    <w:rsid w:val="003E112B"/>
    <w:rsid w:val="003E1D1C"/>
    <w:rsid w:val="003E605C"/>
    <w:rsid w:val="003E7B05"/>
    <w:rsid w:val="00433AEB"/>
    <w:rsid w:val="00466211"/>
    <w:rsid w:val="004834A9"/>
    <w:rsid w:val="004A0AEC"/>
    <w:rsid w:val="004B32EC"/>
    <w:rsid w:val="004D01FC"/>
    <w:rsid w:val="004E28C3"/>
    <w:rsid w:val="004F1F8E"/>
    <w:rsid w:val="004F3337"/>
    <w:rsid w:val="00512A32"/>
    <w:rsid w:val="00586CF2"/>
    <w:rsid w:val="005A1DA0"/>
    <w:rsid w:val="005A7546"/>
    <w:rsid w:val="005C3768"/>
    <w:rsid w:val="005C6C3F"/>
    <w:rsid w:val="00603B32"/>
    <w:rsid w:val="00613635"/>
    <w:rsid w:val="0062093D"/>
    <w:rsid w:val="00637ECF"/>
    <w:rsid w:val="00647B59"/>
    <w:rsid w:val="00690C7B"/>
    <w:rsid w:val="006A4B45"/>
    <w:rsid w:val="006D4724"/>
    <w:rsid w:val="00701BAE"/>
    <w:rsid w:val="00721F04"/>
    <w:rsid w:val="00730E95"/>
    <w:rsid w:val="007426B9"/>
    <w:rsid w:val="00764342"/>
    <w:rsid w:val="00774362"/>
    <w:rsid w:val="00786598"/>
    <w:rsid w:val="007A04E8"/>
    <w:rsid w:val="007B7B2C"/>
    <w:rsid w:val="00802413"/>
    <w:rsid w:val="00827620"/>
    <w:rsid w:val="00851625"/>
    <w:rsid w:val="00863C0A"/>
    <w:rsid w:val="008A3120"/>
    <w:rsid w:val="008B0B11"/>
    <w:rsid w:val="008D41BE"/>
    <w:rsid w:val="008D58D3"/>
    <w:rsid w:val="00923064"/>
    <w:rsid w:val="00930FFD"/>
    <w:rsid w:val="00936D25"/>
    <w:rsid w:val="00941EA5"/>
    <w:rsid w:val="00964700"/>
    <w:rsid w:val="00966C16"/>
    <w:rsid w:val="0098732F"/>
    <w:rsid w:val="009A045F"/>
    <w:rsid w:val="009C01BA"/>
    <w:rsid w:val="009C2C52"/>
    <w:rsid w:val="009C7E7C"/>
    <w:rsid w:val="009E7F99"/>
    <w:rsid w:val="00A00473"/>
    <w:rsid w:val="00A03C9B"/>
    <w:rsid w:val="00A37105"/>
    <w:rsid w:val="00A606C3"/>
    <w:rsid w:val="00A83B09"/>
    <w:rsid w:val="00A84541"/>
    <w:rsid w:val="00AC51E2"/>
    <w:rsid w:val="00AE36A0"/>
    <w:rsid w:val="00B00294"/>
    <w:rsid w:val="00B153E2"/>
    <w:rsid w:val="00B64FD0"/>
    <w:rsid w:val="00B917E1"/>
    <w:rsid w:val="00BA5BD0"/>
    <w:rsid w:val="00BB1D82"/>
    <w:rsid w:val="00BB3779"/>
    <w:rsid w:val="00BE3767"/>
    <w:rsid w:val="00BF26E7"/>
    <w:rsid w:val="00C53FCA"/>
    <w:rsid w:val="00C76BAF"/>
    <w:rsid w:val="00C814B9"/>
    <w:rsid w:val="00CB33B2"/>
    <w:rsid w:val="00CB6624"/>
    <w:rsid w:val="00CD3836"/>
    <w:rsid w:val="00CD516F"/>
    <w:rsid w:val="00D119A7"/>
    <w:rsid w:val="00D25FBA"/>
    <w:rsid w:val="00D32B28"/>
    <w:rsid w:val="00D42954"/>
    <w:rsid w:val="00D5210E"/>
    <w:rsid w:val="00D66EAC"/>
    <w:rsid w:val="00D730DF"/>
    <w:rsid w:val="00D772F0"/>
    <w:rsid w:val="00D77BDC"/>
    <w:rsid w:val="00DC402B"/>
    <w:rsid w:val="00DE0932"/>
    <w:rsid w:val="00DF56A9"/>
    <w:rsid w:val="00E01EBA"/>
    <w:rsid w:val="00E03A27"/>
    <w:rsid w:val="00E049F1"/>
    <w:rsid w:val="00E37A25"/>
    <w:rsid w:val="00E537FF"/>
    <w:rsid w:val="00E6539B"/>
    <w:rsid w:val="00E70A31"/>
    <w:rsid w:val="00EA3F38"/>
    <w:rsid w:val="00EA5AB6"/>
    <w:rsid w:val="00EC4F8D"/>
    <w:rsid w:val="00EC7615"/>
    <w:rsid w:val="00ED16AA"/>
    <w:rsid w:val="00ED78CE"/>
    <w:rsid w:val="00EF662E"/>
    <w:rsid w:val="00F148F1"/>
    <w:rsid w:val="00FA3BBF"/>
    <w:rsid w:val="00FC41F8"/>
    <w:rsid w:val="00FF1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CF8F80FC-094C-47FE-B12F-7F73B0E1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FF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pPr>
      <w:spacing w:before="280"/>
    </w:p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C814B9"/>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uiPriority w:val="99"/>
    <w:pPr>
      <w:spacing w:before="0"/>
      <w:jc w:val="center"/>
    </w:pPr>
    <w:rPr>
      <w:sz w:val="18"/>
    </w:rPr>
  </w:style>
  <w:style w:type="character" w:customStyle="1" w:styleId="HeaderChar">
    <w:name w:val="Header Char"/>
    <w:basedOn w:val="DefaultParagraphFont"/>
    <w:link w:val="Header"/>
    <w:uiPriority w:val="99"/>
    <w:rsid w:val="004F1F8E"/>
    <w:rPr>
      <w:rFonts w:ascii="Times New Roman" w:hAnsi="Times New Roman"/>
      <w:sz w:val="18"/>
      <w:lang w:val="fr-FR" w:eastAsia="en-US"/>
    </w:rPr>
  </w:style>
  <w:style w:type="paragraph" w:customStyle="1" w:styleId="Headingb">
    <w:name w:val="Heading_b"/>
    <w:basedOn w:val="Normal"/>
    <w:next w:val="Normal"/>
    <w:rsid w:val="000B2E0C"/>
    <w:pPr>
      <w:keepNext/>
      <w:spacing w:before="160"/>
    </w:pPr>
    <w:rPr>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style>
  <w:style w:type="paragraph" w:customStyle="1" w:styleId="Border">
    <w:name w:val="Border"/>
    <w:basedOn w:val="Normal"/>
    <w:rsid w:val="004E28C3"/>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4E28C3"/>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00294"/>
  </w:style>
  <w:style w:type="paragraph" w:customStyle="1" w:styleId="ApptoAnnex">
    <w:name w:val="App_to_Annex"/>
    <w:basedOn w:val="AppendixNo"/>
    <w:qFormat/>
    <w:rsid w:val="00B00294"/>
  </w:style>
  <w:style w:type="paragraph" w:customStyle="1" w:styleId="Note">
    <w:name w:val="Note"/>
    <w:basedOn w:val="Normal"/>
    <w:rsid w:val="00E37A25"/>
    <w:pPr>
      <w:tabs>
        <w:tab w:val="left" w:pos="284"/>
      </w:tabs>
      <w:spacing w:before="80"/>
    </w:pPr>
  </w:style>
  <w:style w:type="character" w:styleId="PageNumber">
    <w:name w:val="page number"/>
    <w:basedOn w:val="DefaultParagraphFont"/>
    <w:rsid w:val="00E37A25"/>
  </w:style>
  <w:style w:type="paragraph" w:customStyle="1" w:styleId="Proposal">
    <w:name w:val="Proposal"/>
    <w:basedOn w:val="Normal"/>
    <w:next w:val="Normal"/>
    <w:rsid w:val="007426B9"/>
    <w:pPr>
      <w:keepNext/>
      <w:spacing w:before="240"/>
    </w:pPr>
    <w:rPr>
      <w:rFonts w:hAnsi="Times New Roman Bold"/>
      <w:b/>
    </w:rPr>
  </w:style>
  <w:style w:type="paragraph" w:customStyle="1" w:styleId="Part1">
    <w:name w:val="Part_1"/>
    <w:basedOn w:val="Normal"/>
    <w:next w:val="Normal"/>
    <w:qFormat/>
    <w:rsid w:val="00466211"/>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466211"/>
  </w:style>
  <w:style w:type="paragraph" w:customStyle="1" w:styleId="Parttitle">
    <w:name w:val="Part_title"/>
    <w:basedOn w:val="Annextitle"/>
    <w:next w:val="Normalaftertitle"/>
    <w:rsid w:val="00466211"/>
  </w:style>
  <w:style w:type="paragraph" w:styleId="TOC1">
    <w:name w:val="toc 1"/>
    <w:basedOn w:val="Normal"/>
    <w:rsid w:val="00D25FB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25FBA"/>
    <w:pPr>
      <w:spacing w:before="120"/>
    </w:pPr>
  </w:style>
  <w:style w:type="paragraph" w:styleId="TOC3">
    <w:name w:val="toc 3"/>
    <w:basedOn w:val="TOC2"/>
    <w:rsid w:val="00D25FBA"/>
  </w:style>
  <w:style w:type="paragraph" w:styleId="TOC4">
    <w:name w:val="toc 4"/>
    <w:basedOn w:val="TOC3"/>
    <w:rsid w:val="00D25FBA"/>
  </w:style>
  <w:style w:type="paragraph" w:styleId="TOC5">
    <w:name w:val="toc 5"/>
    <w:basedOn w:val="TOC4"/>
    <w:rsid w:val="00D25FBA"/>
  </w:style>
  <w:style w:type="paragraph" w:styleId="TOC6">
    <w:name w:val="toc 6"/>
    <w:basedOn w:val="TOC4"/>
    <w:rsid w:val="00D25FBA"/>
  </w:style>
  <w:style w:type="paragraph" w:styleId="TOC7">
    <w:name w:val="toc 7"/>
    <w:basedOn w:val="TOC4"/>
    <w:rsid w:val="00D25FBA"/>
  </w:style>
  <w:style w:type="paragraph" w:styleId="TOC8">
    <w:name w:val="toc 8"/>
    <w:basedOn w:val="TOC4"/>
    <w:rsid w:val="00D25FBA"/>
  </w:style>
  <w:style w:type="paragraph" w:customStyle="1" w:styleId="Title1">
    <w:name w:val="Title 1"/>
    <w:basedOn w:val="Normal"/>
    <w:next w:val="Normal"/>
    <w:rsid w:val="00D25FBA"/>
    <w:pPr>
      <w:tabs>
        <w:tab w:val="left" w:pos="567"/>
        <w:tab w:val="left" w:pos="1701"/>
        <w:tab w:val="left" w:pos="2835"/>
      </w:tabs>
      <w:spacing w:before="240"/>
      <w:jc w:val="center"/>
    </w:pPr>
    <w:rPr>
      <w:caps/>
      <w:sz w:val="28"/>
    </w:rPr>
  </w:style>
  <w:style w:type="paragraph" w:customStyle="1" w:styleId="Title2">
    <w:name w:val="Title 2"/>
    <w:basedOn w:val="Normal"/>
    <w:next w:val="Normal"/>
    <w:rsid w:val="00D25FBA"/>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25FBA"/>
    <w:pPr>
      <w:spacing w:before="240"/>
    </w:pPr>
    <w:rPr>
      <w:caps w:val="0"/>
    </w:rPr>
  </w:style>
  <w:style w:type="paragraph" w:customStyle="1" w:styleId="Title4">
    <w:name w:val="Title 4"/>
    <w:basedOn w:val="Title3"/>
    <w:next w:val="Heading1"/>
    <w:rsid w:val="00D25FBA"/>
    <w:rPr>
      <w:b/>
    </w:rPr>
  </w:style>
  <w:style w:type="paragraph" w:customStyle="1" w:styleId="toc0">
    <w:name w:val="toc 0"/>
    <w:basedOn w:val="Normal"/>
    <w:next w:val="TOC1"/>
    <w:rsid w:val="00D25FBA"/>
    <w:pPr>
      <w:tabs>
        <w:tab w:val="clear" w:pos="1134"/>
        <w:tab w:val="clear" w:pos="1871"/>
        <w:tab w:val="clear" w:pos="2268"/>
        <w:tab w:val="right" w:pos="9781"/>
      </w:tabs>
    </w:pPr>
    <w:rPr>
      <w:b/>
    </w:rPr>
  </w:style>
  <w:style w:type="paragraph" w:customStyle="1" w:styleId="RecNo">
    <w:name w:val="Rec_No"/>
    <w:basedOn w:val="Normal"/>
    <w:next w:val="Normal"/>
    <w:rsid w:val="00D25FBA"/>
    <w:pPr>
      <w:keepNext/>
      <w:keepLines/>
      <w:spacing w:before="480"/>
      <w:jc w:val="center"/>
    </w:pPr>
    <w:rPr>
      <w:caps/>
      <w:sz w:val="28"/>
    </w:rPr>
  </w:style>
  <w:style w:type="paragraph" w:customStyle="1" w:styleId="Rectitle">
    <w:name w:val="Rec_title"/>
    <w:basedOn w:val="RecNo"/>
    <w:next w:val="Normal"/>
    <w:rsid w:val="00D25FBA"/>
    <w:pPr>
      <w:spacing w:before="240"/>
    </w:pPr>
    <w:rPr>
      <w:rFonts w:ascii="Times New Roman Bold" w:hAnsi="Times New Roman Bold"/>
      <w:b/>
      <w:caps w:val="0"/>
    </w:rPr>
  </w:style>
  <w:style w:type="paragraph" w:customStyle="1" w:styleId="Recdate">
    <w:name w:val="Rec_date"/>
    <w:basedOn w:val="Normal"/>
    <w:next w:val="Normalaftertitle"/>
    <w:rsid w:val="0098732F"/>
    <w:pPr>
      <w:keepNext/>
      <w:keepLines/>
      <w:jc w:val="right"/>
    </w:pPr>
    <w:rPr>
      <w:sz w:val="22"/>
    </w:rPr>
  </w:style>
  <w:style w:type="paragraph" w:customStyle="1" w:styleId="Questiondate">
    <w:name w:val="Question_date"/>
    <w:basedOn w:val="Recdate"/>
    <w:next w:val="Normalaftertitle"/>
    <w:rsid w:val="00D25FBA"/>
  </w:style>
  <w:style w:type="paragraph" w:customStyle="1" w:styleId="QuestionNo">
    <w:name w:val="Question_No"/>
    <w:basedOn w:val="RecNo"/>
    <w:next w:val="Normal"/>
    <w:rsid w:val="00D25FBA"/>
  </w:style>
  <w:style w:type="paragraph" w:customStyle="1" w:styleId="Questiontitle">
    <w:name w:val="Question_title"/>
    <w:basedOn w:val="Rectitle"/>
    <w:next w:val="Normal"/>
    <w:rsid w:val="00D25FBA"/>
  </w:style>
  <w:style w:type="paragraph" w:customStyle="1" w:styleId="Reasons">
    <w:name w:val="Reasons"/>
    <w:basedOn w:val="Normal"/>
    <w:qFormat/>
    <w:rsid w:val="00D25FBA"/>
    <w:pPr>
      <w:tabs>
        <w:tab w:val="clear" w:pos="1871"/>
        <w:tab w:val="clear" w:pos="2268"/>
        <w:tab w:val="left" w:pos="1588"/>
        <w:tab w:val="left" w:pos="1985"/>
      </w:tabs>
    </w:pPr>
  </w:style>
  <w:style w:type="character" w:customStyle="1" w:styleId="Recdef">
    <w:name w:val="Rec_def"/>
    <w:rsid w:val="00D25FBA"/>
    <w:rPr>
      <w:b/>
    </w:rPr>
  </w:style>
  <w:style w:type="paragraph" w:customStyle="1" w:styleId="Reftext">
    <w:name w:val="Ref_text"/>
    <w:basedOn w:val="Normal"/>
    <w:rsid w:val="00D25FBA"/>
    <w:pPr>
      <w:ind w:left="1134" w:hanging="1134"/>
    </w:pPr>
  </w:style>
  <w:style w:type="paragraph" w:customStyle="1" w:styleId="Reftitle">
    <w:name w:val="Ref_title"/>
    <w:basedOn w:val="Normal"/>
    <w:next w:val="Reftext"/>
    <w:rsid w:val="00D25FBA"/>
    <w:pPr>
      <w:spacing w:before="480"/>
      <w:jc w:val="center"/>
    </w:pPr>
    <w:rPr>
      <w:caps/>
    </w:rPr>
  </w:style>
  <w:style w:type="paragraph" w:customStyle="1" w:styleId="Repdate">
    <w:name w:val="Rep_date"/>
    <w:basedOn w:val="Recdate"/>
    <w:next w:val="Normalaftertitle"/>
    <w:rsid w:val="00D25FBA"/>
  </w:style>
  <w:style w:type="paragraph" w:customStyle="1" w:styleId="RepNo">
    <w:name w:val="Rep_No"/>
    <w:basedOn w:val="RecNo"/>
    <w:next w:val="Normal"/>
    <w:rsid w:val="00D25FBA"/>
  </w:style>
  <w:style w:type="paragraph" w:customStyle="1" w:styleId="Repref">
    <w:name w:val="Rep_ref"/>
    <w:basedOn w:val="Normal"/>
    <w:next w:val="Repdate"/>
    <w:rsid w:val="0098732F"/>
    <w:pPr>
      <w:keepNext/>
      <w:keepLines/>
      <w:jc w:val="center"/>
    </w:pPr>
  </w:style>
  <w:style w:type="paragraph" w:customStyle="1" w:styleId="Reptitle">
    <w:name w:val="Rep_title"/>
    <w:basedOn w:val="Rectitle"/>
    <w:next w:val="Repref"/>
    <w:rsid w:val="00D25FBA"/>
  </w:style>
  <w:style w:type="paragraph" w:customStyle="1" w:styleId="Resdate">
    <w:name w:val="Res_date"/>
    <w:basedOn w:val="Recdate"/>
    <w:next w:val="Normalaftertitle"/>
    <w:rsid w:val="00D25FBA"/>
  </w:style>
  <w:style w:type="character" w:customStyle="1" w:styleId="Resdef">
    <w:name w:val="Res_def"/>
    <w:rsid w:val="00D25FBA"/>
    <w:rPr>
      <w:rFonts w:ascii="Times New Roman" w:hAnsi="Times New Roman"/>
      <w:b/>
    </w:rPr>
  </w:style>
  <w:style w:type="paragraph" w:customStyle="1" w:styleId="ResNo">
    <w:name w:val="Res_No"/>
    <w:basedOn w:val="RecNo"/>
    <w:next w:val="Normal"/>
    <w:rsid w:val="00D25FBA"/>
  </w:style>
  <w:style w:type="paragraph" w:customStyle="1" w:styleId="Restitle">
    <w:name w:val="Res_title"/>
    <w:basedOn w:val="Rectitle"/>
    <w:next w:val="Normal"/>
    <w:rsid w:val="00D25FBA"/>
  </w:style>
  <w:style w:type="paragraph" w:customStyle="1" w:styleId="Section1">
    <w:name w:val="Section_1"/>
    <w:basedOn w:val="Normal"/>
    <w:rsid w:val="00D25FB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25FBA"/>
    <w:rPr>
      <w:b w:val="0"/>
      <w:i/>
    </w:rPr>
  </w:style>
  <w:style w:type="paragraph" w:customStyle="1" w:styleId="Section3">
    <w:name w:val="Section_3"/>
    <w:basedOn w:val="Section1"/>
    <w:rsid w:val="00D25FBA"/>
    <w:rPr>
      <w:b w:val="0"/>
    </w:rPr>
  </w:style>
  <w:style w:type="paragraph" w:customStyle="1" w:styleId="SectionNo">
    <w:name w:val="Section_No"/>
    <w:basedOn w:val="AnnexNo"/>
    <w:next w:val="Normal"/>
    <w:rsid w:val="00D25FBA"/>
  </w:style>
  <w:style w:type="paragraph" w:customStyle="1" w:styleId="Sectiontitle">
    <w:name w:val="Section_title"/>
    <w:basedOn w:val="Annextitle"/>
    <w:next w:val="Normalaftertitle"/>
    <w:rsid w:val="00D25FBA"/>
  </w:style>
  <w:style w:type="paragraph" w:customStyle="1" w:styleId="Source">
    <w:name w:val="Source"/>
    <w:basedOn w:val="Normal"/>
    <w:next w:val="Normal"/>
    <w:rsid w:val="00D25FBA"/>
    <w:pPr>
      <w:spacing w:before="840"/>
      <w:jc w:val="center"/>
    </w:pPr>
    <w:rPr>
      <w:b/>
      <w:sz w:val="28"/>
    </w:rPr>
  </w:style>
  <w:style w:type="paragraph" w:customStyle="1" w:styleId="SpecialFooter">
    <w:name w:val="Special Footer"/>
    <w:basedOn w:val="Footer"/>
    <w:rsid w:val="00D25FB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25FBA"/>
  </w:style>
  <w:style w:type="character" w:customStyle="1" w:styleId="Tablefreq">
    <w:name w:val="Table_freq"/>
    <w:rsid w:val="00D25FBA"/>
    <w:rPr>
      <w:b/>
      <w:color w:val="auto"/>
      <w:sz w:val="20"/>
    </w:rPr>
  </w:style>
  <w:style w:type="paragraph" w:customStyle="1" w:styleId="Tabletext">
    <w:name w:val="Table_text"/>
    <w:basedOn w:val="Normal"/>
    <w:link w:val="TabletextChar"/>
    <w:rsid w:val="00D25F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DF56A9"/>
    <w:rPr>
      <w:rFonts w:ascii="Times New Roman" w:hAnsi="Times New Roman"/>
      <w:lang w:val="fr-FR" w:eastAsia="en-US"/>
    </w:rPr>
  </w:style>
  <w:style w:type="paragraph" w:customStyle="1" w:styleId="Tablehead">
    <w:name w:val="Table_head"/>
    <w:basedOn w:val="Tabletext"/>
    <w:next w:val="Tabletext"/>
    <w:link w:val="TableheadChar"/>
    <w:rsid w:val="00D25FBA"/>
    <w:pPr>
      <w:keepNext/>
      <w:spacing w:before="80" w:after="80"/>
      <w:jc w:val="center"/>
    </w:pPr>
    <w:rPr>
      <w:b/>
    </w:rPr>
  </w:style>
  <w:style w:type="character" w:customStyle="1" w:styleId="TableheadChar">
    <w:name w:val="Table_head Char"/>
    <w:link w:val="Tablehead"/>
    <w:locked/>
    <w:rsid w:val="00DF56A9"/>
    <w:rPr>
      <w:rFonts w:ascii="Times New Roman" w:hAnsi="Times New Roman"/>
      <w:b/>
      <w:lang w:val="fr-FR" w:eastAsia="en-US"/>
    </w:rPr>
  </w:style>
  <w:style w:type="paragraph" w:customStyle="1" w:styleId="Tablelegend">
    <w:name w:val="Table_legend"/>
    <w:basedOn w:val="Tabletext"/>
    <w:rsid w:val="00D25FBA"/>
    <w:pPr>
      <w:tabs>
        <w:tab w:val="clear" w:pos="284"/>
      </w:tabs>
      <w:spacing w:before="120"/>
    </w:pPr>
  </w:style>
  <w:style w:type="paragraph" w:customStyle="1" w:styleId="TableNo">
    <w:name w:val="Table_No"/>
    <w:basedOn w:val="Normal"/>
    <w:next w:val="Normal"/>
    <w:rsid w:val="00D25FBA"/>
    <w:pPr>
      <w:keepNext/>
      <w:spacing w:before="560" w:after="120"/>
      <w:jc w:val="center"/>
    </w:pPr>
    <w:rPr>
      <w:caps/>
      <w:sz w:val="20"/>
    </w:rPr>
  </w:style>
  <w:style w:type="paragraph" w:customStyle="1" w:styleId="TableTextS5">
    <w:name w:val="Table_TextS5"/>
    <w:basedOn w:val="Normal"/>
    <w:rsid w:val="00D25FBA"/>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link w:val="TabletitleChar"/>
    <w:rsid w:val="00D25FBA"/>
    <w:pPr>
      <w:keepNext/>
      <w:keepLines/>
      <w:spacing w:before="0" w:after="120"/>
      <w:jc w:val="center"/>
    </w:pPr>
    <w:rPr>
      <w:rFonts w:ascii="Times New Roman Bold" w:hAnsi="Times New Roman Bold"/>
      <w:b/>
      <w:sz w:val="20"/>
    </w:rPr>
  </w:style>
  <w:style w:type="character" w:customStyle="1" w:styleId="TabletitleChar">
    <w:name w:val="Table_title Char"/>
    <w:link w:val="Tabletitle"/>
    <w:locked/>
    <w:rsid w:val="00DF56A9"/>
    <w:rPr>
      <w:rFonts w:ascii="Times New Roman Bold" w:hAnsi="Times New Roman Bold"/>
      <w:b/>
      <w:lang w:val="fr-FR" w:eastAsia="en-US"/>
    </w:rPr>
  </w:style>
  <w:style w:type="table" w:styleId="TableGrid">
    <w:name w:val="Table Grid"/>
    <w:basedOn w:val="TableNormal"/>
    <w:rsid w:val="00315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Arttitle">
    <w:name w:val="App_Art_title"/>
    <w:basedOn w:val="Arttitle"/>
    <w:next w:val="Normalaftertitle"/>
    <w:qFormat/>
    <w:rsid w:val="00CD516F"/>
    <w:rPr>
      <w:lang w:val="fr-CH"/>
    </w:rPr>
  </w:style>
  <w:style w:type="paragraph" w:customStyle="1" w:styleId="AppArtNo">
    <w:name w:val="App_Art_No"/>
    <w:basedOn w:val="ArtNo"/>
    <w:next w:val="AppArttitle"/>
    <w:qFormat/>
    <w:rsid w:val="00CD516F"/>
  </w:style>
  <w:style w:type="paragraph" w:customStyle="1" w:styleId="Volumetitle">
    <w:name w:val="Volume_title"/>
    <w:basedOn w:val="ArtNo"/>
    <w:qFormat/>
    <w:rsid w:val="00786598"/>
    <w:rPr>
      <w:lang w:val="fr-CH"/>
    </w:rPr>
  </w:style>
  <w:style w:type="paragraph" w:customStyle="1" w:styleId="Committee">
    <w:name w:val="Committee"/>
    <w:basedOn w:val="Normal"/>
    <w:qFormat/>
    <w:rsid w:val="00721F04"/>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BodyTitle">
    <w:name w:val="Body Title"/>
    <w:basedOn w:val="Normal"/>
    <w:rsid w:val="003E605C"/>
    <w:pPr>
      <w:tabs>
        <w:tab w:val="clear" w:pos="1134"/>
        <w:tab w:val="clear" w:pos="1871"/>
        <w:tab w:val="clear" w:pos="2268"/>
      </w:tabs>
      <w:overflowPunct/>
      <w:autoSpaceDE/>
      <w:autoSpaceDN/>
      <w:adjustRightInd/>
      <w:spacing w:before="0" w:after="120"/>
      <w:textAlignment w:val="auto"/>
    </w:pPr>
    <w:rPr>
      <w:rFonts w:ascii="Arial" w:hAnsi="Arial" w:cs="Arial"/>
      <w:b/>
      <w:bCs/>
      <w:szCs w:val="22"/>
      <w:lang w:val="en-GB" w:eastAsia="de-DE"/>
    </w:rPr>
  </w:style>
  <w:style w:type="paragraph" w:customStyle="1" w:styleId="Blanc">
    <w:name w:val="Blanc"/>
    <w:basedOn w:val="Normal"/>
    <w:next w:val="Tabletext"/>
    <w:rsid w:val="003E605C"/>
    <w:pPr>
      <w:keepNext/>
      <w:keepLines/>
      <w:tabs>
        <w:tab w:val="clear" w:pos="1134"/>
        <w:tab w:val="clear" w:pos="1871"/>
        <w:tab w:val="clear" w:pos="2268"/>
      </w:tabs>
      <w:spacing w:before="0"/>
      <w:jc w:val="both"/>
    </w:pPr>
    <w:rPr>
      <w:sz w:val="16"/>
      <w:lang w:val="en-GB"/>
    </w:rPr>
  </w:style>
  <w:style w:type="character" w:customStyle="1" w:styleId="BalloonTextChar">
    <w:name w:val="Balloon Text Char"/>
    <w:basedOn w:val="DefaultParagraphFont"/>
    <w:link w:val="BalloonText"/>
    <w:semiHidden/>
    <w:rsid w:val="00DF56A9"/>
    <w:rPr>
      <w:rFonts w:ascii="Tahoma" w:hAnsi="Tahoma" w:cs="Tahoma"/>
      <w:sz w:val="16"/>
      <w:szCs w:val="16"/>
      <w:lang w:val="fr-FR" w:eastAsia="en-US"/>
    </w:rPr>
  </w:style>
  <w:style w:type="paragraph" w:styleId="BalloonText">
    <w:name w:val="Balloon Text"/>
    <w:basedOn w:val="Normal"/>
    <w:link w:val="BalloonTextChar"/>
    <w:semiHidden/>
    <w:unhideWhenUsed/>
    <w:rsid w:val="00DF56A9"/>
    <w:pPr>
      <w:spacing w:before="0"/>
    </w:pPr>
    <w:rPr>
      <w:rFonts w:ascii="Tahoma" w:hAnsi="Tahoma" w:cs="Tahoma"/>
      <w:sz w:val="16"/>
      <w:szCs w:val="16"/>
    </w:rPr>
  </w:style>
  <w:style w:type="paragraph" w:styleId="ListParagraph">
    <w:name w:val="List Paragraph"/>
    <w:basedOn w:val="Normal"/>
    <w:uiPriority w:val="34"/>
    <w:qFormat/>
    <w:rsid w:val="00DF56A9"/>
    <w:pPr>
      <w:tabs>
        <w:tab w:val="clear" w:pos="1134"/>
        <w:tab w:val="clear" w:pos="1871"/>
        <w:tab w:val="clear" w:pos="2268"/>
      </w:tabs>
      <w:overflowPunct/>
      <w:autoSpaceDE/>
      <w:autoSpaceDN/>
      <w:adjustRightInd/>
      <w:spacing w:before="0" w:after="200" w:line="276" w:lineRule="auto"/>
      <w:ind w:left="720"/>
      <w:contextualSpacing/>
      <w:textAlignment w:val="auto"/>
    </w:pPr>
    <w:rPr>
      <w:rFonts w:asciiTheme="minorHAnsi" w:eastAsiaTheme="minorHAnsi" w:hAnsiTheme="minorHAnsi" w:cstheme="minorBidi"/>
      <w:sz w:val="22"/>
      <w:szCs w:val="22"/>
    </w:rPr>
  </w:style>
  <w:style w:type="paragraph" w:customStyle="1" w:styleId="Tablefin">
    <w:name w:val="Table_fin"/>
    <w:basedOn w:val="Normal"/>
    <w:next w:val="Normal"/>
    <w:rsid w:val="00DF56A9"/>
    <w:pPr>
      <w:tabs>
        <w:tab w:val="clear" w:pos="1134"/>
        <w:tab w:val="clear" w:pos="1871"/>
        <w:tab w:val="clear" w:pos="2268"/>
        <w:tab w:val="left" w:pos="794"/>
        <w:tab w:val="left" w:pos="1191"/>
        <w:tab w:val="left" w:pos="1588"/>
        <w:tab w:val="left" w:pos="1985"/>
      </w:tabs>
      <w:spacing w:before="0"/>
      <w:jc w:val="both"/>
    </w:pPr>
    <w:rPr>
      <w:sz w:val="20"/>
      <w:lang w:val="en-GB"/>
    </w:rPr>
  </w:style>
  <w:style w:type="paragraph" w:customStyle="1" w:styleId="e">
    <w:name w:val="e"/>
    <w:basedOn w:val="Equationlegend"/>
    <w:rsid w:val="007B7B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R15-WRC15-C-0090!!MSW-F</DPM_x0020_File_x0020_name>
    <DPM_x0020_Author xmlns="32a1a8c5-2265-4ebc-b7a0-2071e2c5c9bb" xsi:nil="false">Documents Proposals Manager (DPM)</DPM_x0020_Author>
    <DPM_x0020_Version xmlns="32a1a8c5-2265-4ebc-b7a0-2071e2c5c9bb" xsi:nil="false">DPM_v5.2015.10.220_prod</DPM_x0020_Version>
    <_dlc_DocId xmlns="996b2e75-67fd-4955-a3b0-5ab9934cb50b">CJDSJNEQ73FR-44-24</_dlc_DocId>
    <_dlc_DocIdUrl xmlns="996b2e75-67fd-4955-a3b0-5ab9934cb50b">
      <Url>http://spdev11/en/gmpcs/_layouts/DocIdRedir.aspx?ID=CJDSJNEQ73FR-44-24</Url>
      <Description>CJDSJNEQ73FR-44-24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10F7A-8D0F-4C8A-BF58-A55355BC8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65110-A6C8-4D90-87A5-46A4C8ABB89B}">
  <ds:schemaRefs>
    <ds:schemaRef ds:uri="http://schemas.microsoft.com/sharepoint/v3/contenttype/forms"/>
  </ds:schemaRefs>
</ds:datastoreItem>
</file>

<file path=customXml/itemProps3.xml><?xml version="1.0" encoding="utf-8"?>
<ds:datastoreItem xmlns:ds="http://schemas.openxmlformats.org/officeDocument/2006/customXml" ds:itemID="{999DDFD9-D870-4C5D-9D18-1D3159BAB44F}">
  <ds:schemaRefs>
    <ds:schemaRef ds:uri="http://schemas.microsoft.com/office/2006/metadata/properties"/>
    <ds:schemaRef ds:uri="http://www.w3.org/XML/1998/namespace"/>
    <ds:schemaRef ds:uri="http://purl.org/dc/dcmitype/"/>
    <ds:schemaRef ds:uri="32a1a8c5-2265-4ebc-b7a0-2071e2c5c9bb"/>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96b2e75-67fd-4955-a3b0-5ab9934cb50b"/>
    <ds:schemaRef ds:uri="http://purl.org/dc/terms/"/>
  </ds:schemaRefs>
</ds:datastoreItem>
</file>

<file path=customXml/itemProps4.xml><?xml version="1.0" encoding="utf-8"?>
<ds:datastoreItem xmlns:ds="http://schemas.openxmlformats.org/officeDocument/2006/customXml" ds:itemID="{06B15F63-C17A-4B3A-8BA8-7EA960B4DE6C}">
  <ds:schemaRefs>
    <ds:schemaRef ds:uri="http://schemas.microsoft.com/sharepoint/events"/>
  </ds:schemaRefs>
</ds:datastoreItem>
</file>

<file path=customXml/itemProps5.xml><?xml version="1.0" encoding="utf-8"?>
<ds:datastoreItem xmlns:ds="http://schemas.openxmlformats.org/officeDocument/2006/customXml" ds:itemID="{66287860-883D-4578-8ABA-7BDF7A6F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3278</Words>
  <Characters>17252</Characters>
  <Application>Microsoft Office Word</Application>
  <DocSecurity>0</DocSecurity>
  <Lines>684</Lines>
  <Paragraphs>452</Paragraphs>
  <ScaleCrop>false</ScaleCrop>
  <HeadingPairs>
    <vt:vector size="2" baseType="variant">
      <vt:variant>
        <vt:lpstr>Title</vt:lpstr>
      </vt:variant>
      <vt:variant>
        <vt:i4>1</vt:i4>
      </vt:variant>
    </vt:vector>
  </HeadingPairs>
  <TitlesOfParts>
    <vt:vector size="1" baseType="lpstr">
      <vt:lpstr>R15-WRC15-C-0090!!MSW-F</vt:lpstr>
    </vt:vector>
  </TitlesOfParts>
  <Manager>Secrétariat général - Pool</Manager>
  <Company>Union internationale des télécommunications (UIT)</Company>
  <LinksUpToDate>false</LinksUpToDate>
  <CharactersWithSpaces>20255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R15-WRC15-C-0090!!MSW-F</dc:title>
  <dc:subject>Conférence mondiale des radiocommunications - 2015</dc:subject>
  <dc:creator>Documents Proposals Manager (DPM)</dc:creator>
  <cp:keywords>DPM_v5.2015.10.220_prod</cp:keywords>
  <dc:description/>
  <cp:lastModifiedBy>Saxod, Nathalie</cp:lastModifiedBy>
  <cp:revision>4</cp:revision>
  <cp:lastPrinted>2015-10-29T09:35:00Z</cp:lastPrinted>
  <dcterms:created xsi:type="dcterms:W3CDTF">2015-10-29T09:26:00Z</dcterms:created>
  <dcterms:modified xsi:type="dcterms:W3CDTF">2015-10-29T09:35:00Z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889c9587-f7fc-4c6b-a752-d9054d3c46eb</vt:lpwstr>
  </property>
</Properties>
</file>