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90" w:type="dxa"/>
        <w:tblLayout w:type="fixed"/>
        <w:tblLook w:val="0000" w:firstRow="0" w:lastRow="0" w:firstColumn="0" w:lastColumn="0" w:noHBand="0" w:noVBand="0"/>
      </w:tblPr>
      <w:tblGrid>
        <w:gridCol w:w="6521"/>
        <w:gridCol w:w="3510"/>
        <w:gridCol w:w="459"/>
      </w:tblGrid>
      <w:tr w:rsidR="0090121B" w:rsidRPr="00EA0271" w:rsidTr="00EE3917">
        <w:trPr>
          <w:gridAfter w:val="1"/>
          <w:wAfter w:w="459" w:type="dxa"/>
          <w:cantSplit/>
        </w:trPr>
        <w:tc>
          <w:tcPr>
            <w:tcW w:w="6521" w:type="dxa"/>
          </w:tcPr>
          <w:p w:rsidR="0090121B" w:rsidRPr="00EA0271" w:rsidRDefault="005D46FB" w:rsidP="0002785D">
            <w:pPr>
              <w:spacing w:before="400" w:after="48" w:line="240" w:lineRule="atLeast"/>
              <w:rPr>
                <w:rFonts w:ascii="Verdana" w:hAnsi="Verdana"/>
                <w:position w:val="6"/>
              </w:rPr>
            </w:pPr>
            <w:r w:rsidRPr="00EA0271">
              <w:rPr>
                <w:rFonts w:ascii="Verdana" w:hAnsi="Verdana" w:cs="Times"/>
                <w:b/>
                <w:position w:val="6"/>
                <w:sz w:val="20"/>
              </w:rPr>
              <w:t>Conferencia Mundial de Radiocomunicaciones (CMR-15)</w:t>
            </w:r>
            <w:r w:rsidRPr="00EA0271">
              <w:rPr>
                <w:rFonts w:ascii="Verdana" w:hAnsi="Verdana" w:cs="Times"/>
                <w:b/>
                <w:position w:val="6"/>
                <w:sz w:val="20"/>
              </w:rPr>
              <w:br/>
            </w:r>
            <w:r w:rsidRPr="00EA0271">
              <w:rPr>
                <w:rFonts w:ascii="Verdana" w:hAnsi="Verdana"/>
                <w:b/>
                <w:bCs/>
                <w:position w:val="6"/>
                <w:sz w:val="18"/>
                <w:szCs w:val="18"/>
              </w:rPr>
              <w:t>Ginebra, 2-27 de noviembre de 2015</w:t>
            </w:r>
          </w:p>
        </w:tc>
        <w:tc>
          <w:tcPr>
            <w:tcW w:w="3510" w:type="dxa"/>
          </w:tcPr>
          <w:p w:rsidR="0090121B" w:rsidRPr="00EA0271" w:rsidRDefault="00CE7431" w:rsidP="00CE7431">
            <w:pPr>
              <w:spacing w:before="0" w:line="240" w:lineRule="atLeast"/>
              <w:jc w:val="right"/>
            </w:pPr>
            <w:bookmarkStart w:id="0" w:name="ditulogo"/>
            <w:bookmarkEnd w:id="0"/>
            <w:r w:rsidRPr="00EA0271">
              <w:rPr>
                <w:noProof/>
                <w:lang w:eastAsia="zh-CN"/>
              </w:rPr>
              <w:drawing>
                <wp:inline distT="0" distB="0" distL="0" distR="0" wp14:anchorId="025BA4D5" wp14:editId="10CF40B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EA0271" w:rsidTr="00EE3917">
        <w:trPr>
          <w:gridAfter w:val="1"/>
          <w:wAfter w:w="459" w:type="dxa"/>
          <w:cantSplit/>
        </w:trPr>
        <w:tc>
          <w:tcPr>
            <w:tcW w:w="6521" w:type="dxa"/>
            <w:tcBorders>
              <w:bottom w:val="single" w:sz="12" w:space="0" w:color="auto"/>
            </w:tcBorders>
          </w:tcPr>
          <w:p w:rsidR="0090121B" w:rsidRPr="00EA0271" w:rsidRDefault="00CE7431" w:rsidP="0090121B">
            <w:pPr>
              <w:spacing w:before="0" w:after="48" w:line="240" w:lineRule="atLeast"/>
              <w:rPr>
                <w:b/>
                <w:smallCaps/>
                <w:szCs w:val="24"/>
              </w:rPr>
            </w:pPr>
            <w:bookmarkStart w:id="1" w:name="dhead"/>
            <w:r w:rsidRPr="00EA0271">
              <w:rPr>
                <w:rFonts w:ascii="Verdana" w:hAnsi="Verdana"/>
                <w:b/>
                <w:smallCaps/>
                <w:sz w:val="20"/>
              </w:rPr>
              <w:t>UNIÓN INTERNACIONAL DE TELECOMUNICACIONES</w:t>
            </w:r>
          </w:p>
        </w:tc>
        <w:tc>
          <w:tcPr>
            <w:tcW w:w="3510" w:type="dxa"/>
            <w:tcBorders>
              <w:bottom w:val="single" w:sz="12" w:space="0" w:color="auto"/>
            </w:tcBorders>
          </w:tcPr>
          <w:p w:rsidR="0090121B" w:rsidRPr="00EA0271" w:rsidRDefault="0090121B" w:rsidP="0090121B">
            <w:pPr>
              <w:spacing w:before="0" w:line="240" w:lineRule="atLeast"/>
              <w:rPr>
                <w:rFonts w:ascii="Verdana" w:hAnsi="Verdana"/>
                <w:szCs w:val="24"/>
              </w:rPr>
            </w:pPr>
          </w:p>
        </w:tc>
      </w:tr>
      <w:tr w:rsidR="0090121B" w:rsidRPr="00EA0271" w:rsidTr="00EE3917">
        <w:trPr>
          <w:gridAfter w:val="1"/>
          <w:wAfter w:w="459" w:type="dxa"/>
          <w:cantSplit/>
        </w:trPr>
        <w:tc>
          <w:tcPr>
            <w:tcW w:w="6521" w:type="dxa"/>
            <w:tcBorders>
              <w:top w:val="single" w:sz="12" w:space="0" w:color="auto"/>
            </w:tcBorders>
          </w:tcPr>
          <w:p w:rsidR="0090121B" w:rsidRPr="00EA0271" w:rsidRDefault="0090121B" w:rsidP="0090121B">
            <w:pPr>
              <w:spacing w:before="0" w:after="48" w:line="240" w:lineRule="atLeast"/>
              <w:rPr>
                <w:rFonts w:ascii="Verdana" w:hAnsi="Verdana"/>
                <w:b/>
                <w:smallCaps/>
                <w:sz w:val="20"/>
              </w:rPr>
            </w:pPr>
          </w:p>
        </w:tc>
        <w:tc>
          <w:tcPr>
            <w:tcW w:w="3510" w:type="dxa"/>
            <w:tcBorders>
              <w:top w:val="single" w:sz="12" w:space="0" w:color="auto"/>
            </w:tcBorders>
          </w:tcPr>
          <w:p w:rsidR="0090121B" w:rsidRPr="00EA0271" w:rsidRDefault="0090121B" w:rsidP="0090121B">
            <w:pPr>
              <w:spacing w:before="0" w:line="240" w:lineRule="atLeast"/>
              <w:rPr>
                <w:rFonts w:ascii="Verdana" w:hAnsi="Verdana"/>
                <w:sz w:val="20"/>
              </w:rPr>
            </w:pPr>
          </w:p>
        </w:tc>
      </w:tr>
      <w:tr w:rsidR="0090121B" w:rsidRPr="00EA0271" w:rsidTr="00EE3917">
        <w:trPr>
          <w:cantSplit/>
        </w:trPr>
        <w:tc>
          <w:tcPr>
            <w:tcW w:w="6521" w:type="dxa"/>
            <w:shd w:val="clear" w:color="auto" w:fill="auto"/>
          </w:tcPr>
          <w:p w:rsidR="0090121B" w:rsidRPr="00EA0271" w:rsidRDefault="00AE658F" w:rsidP="0045384C">
            <w:pPr>
              <w:spacing w:before="0"/>
              <w:rPr>
                <w:rFonts w:ascii="Verdana" w:hAnsi="Verdana"/>
                <w:b/>
                <w:sz w:val="20"/>
              </w:rPr>
            </w:pPr>
            <w:r w:rsidRPr="00EA0271">
              <w:rPr>
                <w:rFonts w:ascii="Verdana" w:hAnsi="Verdana"/>
                <w:b/>
                <w:sz w:val="20"/>
              </w:rPr>
              <w:t>SESIÓN PLENARIA</w:t>
            </w:r>
          </w:p>
        </w:tc>
        <w:tc>
          <w:tcPr>
            <w:tcW w:w="3969" w:type="dxa"/>
            <w:gridSpan w:val="2"/>
            <w:shd w:val="clear" w:color="auto" w:fill="auto"/>
          </w:tcPr>
          <w:p w:rsidR="0090121B" w:rsidRPr="00EA0271" w:rsidRDefault="00AE658F" w:rsidP="0045384C">
            <w:pPr>
              <w:spacing w:before="0"/>
              <w:rPr>
                <w:rFonts w:ascii="Verdana" w:hAnsi="Verdana"/>
                <w:sz w:val="20"/>
              </w:rPr>
            </w:pPr>
            <w:r w:rsidRPr="00EA0271">
              <w:rPr>
                <w:rFonts w:ascii="Verdana" w:eastAsia="SimSun" w:hAnsi="Verdana" w:cs="Traditional Arabic"/>
                <w:b/>
                <w:sz w:val="20"/>
              </w:rPr>
              <w:t>Addéndum 2 al</w:t>
            </w:r>
            <w:r w:rsidRPr="00EA0271">
              <w:rPr>
                <w:rFonts w:ascii="Verdana" w:eastAsia="SimSun" w:hAnsi="Verdana" w:cs="Traditional Arabic"/>
                <w:b/>
                <w:sz w:val="20"/>
              </w:rPr>
              <w:br/>
              <w:t>Documento 86(Add.23)(Add.1)</w:t>
            </w:r>
            <w:r w:rsidR="0090121B" w:rsidRPr="00EA0271">
              <w:rPr>
                <w:rFonts w:ascii="Verdana" w:hAnsi="Verdana"/>
                <w:b/>
                <w:sz w:val="20"/>
              </w:rPr>
              <w:t>-</w:t>
            </w:r>
            <w:r w:rsidRPr="00EA0271">
              <w:rPr>
                <w:rFonts w:ascii="Verdana" w:hAnsi="Verdana"/>
                <w:b/>
                <w:sz w:val="20"/>
              </w:rPr>
              <w:t>S</w:t>
            </w:r>
          </w:p>
        </w:tc>
      </w:tr>
      <w:bookmarkEnd w:id="1"/>
      <w:tr w:rsidR="000A5B9A" w:rsidRPr="00EA0271" w:rsidTr="00EE3917">
        <w:trPr>
          <w:gridAfter w:val="1"/>
          <w:wAfter w:w="459" w:type="dxa"/>
          <w:cantSplit/>
        </w:trPr>
        <w:tc>
          <w:tcPr>
            <w:tcW w:w="6521" w:type="dxa"/>
            <w:shd w:val="clear" w:color="auto" w:fill="auto"/>
          </w:tcPr>
          <w:p w:rsidR="000A5B9A" w:rsidRPr="00EA0271" w:rsidRDefault="000A5B9A" w:rsidP="0045384C">
            <w:pPr>
              <w:spacing w:before="0" w:after="48"/>
              <w:rPr>
                <w:rFonts w:ascii="Verdana" w:hAnsi="Verdana"/>
                <w:b/>
                <w:smallCaps/>
                <w:sz w:val="20"/>
              </w:rPr>
            </w:pPr>
          </w:p>
        </w:tc>
        <w:tc>
          <w:tcPr>
            <w:tcW w:w="3510" w:type="dxa"/>
            <w:shd w:val="clear" w:color="auto" w:fill="auto"/>
          </w:tcPr>
          <w:p w:rsidR="000A5B9A" w:rsidRPr="00EA0271" w:rsidRDefault="000A5B9A" w:rsidP="0045384C">
            <w:pPr>
              <w:spacing w:before="0"/>
              <w:rPr>
                <w:rFonts w:ascii="Verdana" w:hAnsi="Verdana"/>
                <w:b/>
                <w:sz w:val="20"/>
              </w:rPr>
            </w:pPr>
            <w:r w:rsidRPr="00EA0271">
              <w:rPr>
                <w:rFonts w:ascii="Verdana" w:hAnsi="Verdana"/>
                <w:b/>
                <w:sz w:val="20"/>
              </w:rPr>
              <w:t>19 de octubre de 2015</w:t>
            </w:r>
          </w:p>
        </w:tc>
      </w:tr>
      <w:tr w:rsidR="000A5B9A" w:rsidRPr="00EA0271" w:rsidTr="00EE3917">
        <w:trPr>
          <w:gridAfter w:val="1"/>
          <w:wAfter w:w="459" w:type="dxa"/>
          <w:cantSplit/>
        </w:trPr>
        <w:tc>
          <w:tcPr>
            <w:tcW w:w="6521" w:type="dxa"/>
          </w:tcPr>
          <w:p w:rsidR="000A5B9A" w:rsidRPr="00EA0271" w:rsidRDefault="000A5B9A" w:rsidP="0045384C">
            <w:pPr>
              <w:spacing w:before="0" w:after="48"/>
              <w:rPr>
                <w:rFonts w:ascii="Verdana" w:hAnsi="Verdana"/>
                <w:b/>
                <w:smallCaps/>
                <w:sz w:val="20"/>
              </w:rPr>
            </w:pPr>
          </w:p>
        </w:tc>
        <w:tc>
          <w:tcPr>
            <w:tcW w:w="3510" w:type="dxa"/>
          </w:tcPr>
          <w:p w:rsidR="000A5B9A" w:rsidRPr="00EA0271" w:rsidRDefault="000A5B9A" w:rsidP="0045384C">
            <w:pPr>
              <w:spacing w:before="0"/>
              <w:rPr>
                <w:rFonts w:ascii="Verdana" w:hAnsi="Verdana"/>
                <w:b/>
                <w:sz w:val="20"/>
              </w:rPr>
            </w:pPr>
            <w:r w:rsidRPr="00EA0271">
              <w:rPr>
                <w:rFonts w:ascii="Verdana" w:hAnsi="Verdana"/>
                <w:b/>
                <w:sz w:val="20"/>
              </w:rPr>
              <w:t>Original: árabe</w:t>
            </w:r>
          </w:p>
        </w:tc>
      </w:tr>
      <w:tr w:rsidR="000A5B9A" w:rsidRPr="00EA0271" w:rsidTr="00EE3917">
        <w:trPr>
          <w:gridAfter w:val="1"/>
          <w:wAfter w:w="459" w:type="dxa"/>
          <w:cantSplit/>
        </w:trPr>
        <w:tc>
          <w:tcPr>
            <w:tcW w:w="10031" w:type="dxa"/>
            <w:gridSpan w:val="2"/>
          </w:tcPr>
          <w:p w:rsidR="000A5B9A" w:rsidRPr="00EA0271" w:rsidRDefault="000A5B9A" w:rsidP="0045384C">
            <w:pPr>
              <w:spacing w:before="0"/>
              <w:rPr>
                <w:rFonts w:ascii="Verdana" w:hAnsi="Verdana"/>
                <w:b/>
                <w:sz w:val="20"/>
              </w:rPr>
            </w:pPr>
          </w:p>
        </w:tc>
      </w:tr>
      <w:tr w:rsidR="000A5B9A" w:rsidRPr="00EA0271" w:rsidTr="00EE3917">
        <w:trPr>
          <w:gridAfter w:val="1"/>
          <w:wAfter w:w="459" w:type="dxa"/>
          <w:cantSplit/>
        </w:trPr>
        <w:tc>
          <w:tcPr>
            <w:tcW w:w="10031" w:type="dxa"/>
            <w:gridSpan w:val="2"/>
          </w:tcPr>
          <w:p w:rsidR="000A5B9A" w:rsidRPr="00EA0271" w:rsidRDefault="000A5B9A" w:rsidP="000A5B9A">
            <w:pPr>
              <w:pStyle w:val="Source"/>
            </w:pPr>
            <w:bookmarkStart w:id="2" w:name="dsource" w:colFirst="0" w:colLast="0"/>
            <w:r w:rsidRPr="00EA0271">
              <w:t>Sudán (República del)</w:t>
            </w:r>
          </w:p>
        </w:tc>
      </w:tr>
      <w:tr w:rsidR="000A5B9A" w:rsidRPr="00EA0271" w:rsidTr="00EE3917">
        <w:trPr>
          <w:gridAfter w:val="1"/>
          <w:wAfter w:w="459" w:type="dxa"/>
          <w:cantSplit/>
        </w:trPr>
        <w:tc>
          <w:tcPr>
            <w:tcW w:w="10031" w:type="dxa"/>
            <w:gridSpan w:val="2"/>
          </w:tcPr>
          <w:p w:rsidR="000A5B9A" w:rsidRPr="00EA0271" w:rsidRDefault="00395E4D" w:rsidP="000A5B9A">
            <w:pPr>
              <w:pStyle w:val="Title1"/>
            </w:pPr>
            <w:bookmarkStart w:id="3" w:name="dtitle1" w:colFirst="0" w:colLast="0"/>
            <w:bookmarkEnd w:id="2"/>
            <w:r w:rsidRPr="00EA0271">
              <w:t>PROPUESTAS PARA LOS TRABAJOS DE LA CONFERENCIA</w:t>
            </w:r>
          </w:p>
        </w:tc>
      </w:tr>
      <w:tr w:rsidR="000A5B9A" w:rsidRPr="00EA0271" w:rsidTr="00EE3917">
        <w:trPr>
          <w:gridAfter w:val="1"/>
          <w:wAfter w:w="459" w:type="dxa"/>
          <w:cantSplit/>
        </w:trPr>
        <w:tc>
          <w:tcPr>
            <w:tcW w:w="10031" w:type="dxa"/>
            <w:gridSpan w:val="2"/>
          </w:tcPr>
          <w:p w:rsidR="000A5B9A" w:rsidRPr="00EA0271" w:rsidRDefault="000A5B9A" w:rsidP="000A5B9A">
            <w:pPr>
              <w:pStyle w:val="Title2"/>
            </w:pPr>
            <w:bookmarkStart w:id="4" w:name="dtitle2" w:colFirst="0" w:colLast="0"/>
            <w:bookmarkEnd w:id="3"/>
          </w:p>
        </w:tc>
      </w:tr>
      <w:tr w:rsidR="000A5B9A" w:rsidRPr="00EA0271" w:rsidTr="00EE3917">
        <w:trPr>
          <w:gridAfter w:val="1"/>
          <w:wAfter w:w="459" w:type="dxa"/>
          <w:cantSplit/>
        </w:trPr>
        <w:tc>
          <w:tcPr>
            <w:tcW w:w="10031" w:type="dxa"/>
            <w:gridSpan w:val="2"/>
          </w:tcPr>
          <w:p w:rsidR="000A5B9A" w:rsidRPr="00EA0271" w:rsidRDefault="000A5B9A" w:rsidP="000A5B9A">
            <w:pPr>
              <w:pStyle w:val="Agendaitem"/>
            </w:pPr>
            <w:bookmarkStart w:id="5" w:name="dtitle3" w:colFirst="0" w:colLast="0"/>
            <w:bookmarkEnd w:id="4"/>
            <w:r w:rsidRPr="00EA0271">
              <w:t>Punto 9.1(9.1.2) del orden del día</w:t>
            </w:r>
          </w:p>
        </w:tc>
      </w:tr>
    </w:tbl>
    <w:bookmarkEnd w:id="5"/>
    <w:p w:rsidR="006C20F8" w:rsidRPr="00EA0271" w:rsidRDefault="00A35E3D" w:rsidP="006C20F8">
      <w:r w:rsidRPr="00EA0271">
        <w:t>9</w:t>
      </w:r>
      <w:r w:rsidRPr="00EA0271">
        <w:tab/>
        <w:t>examinar y aprobar el Informe del Director de la Oficina de Radiocomunicaciones, de conformidad con el Artículo 7 del Convenio:</w:t>
      </w:r>
    </w:p>
    <w:p w:rsidR="001C0E40" w:rsidRPr="00EA0271" w:rsidRDefault="00A35E3D" w:rsidP="00482C06">
      <w:r w:rsidRPr="00EA0271">
        <w:t>9.1</w:t>
      </w:r>
      <w:r w:rsidRPr="00EA0271">
        <w:tab/>
        <w:t>sobre las actividades del Sector de Radiocomunicaciones desde la CMR-12;</w:t>
      </w:r>
    </w:p>
    <w:p w:rsidR="001C0E40" w:rsidRPr="00EA0271" w:rsidRDefault="00A35E3D" w:rsidP="00437537">
      <w:pPr>
        <w:rPr>
          <w:b/>
          <w:bCs/>
        </w:rPr>
      </w:pPr>
      <w:r w:rsidRPr="00EA0271">
        <w:t xml:space="preserve">9.1(9.1.2) </w:t>
      </w:r>
      <w:r w:rsidRPr="00EA0271">
        <w:tab/>
        <w:t xml:space="preserve">Resolución </w:t>
      </w:r>
      <w:r w:rsidRPr="00EA0271">
        <w:rPr>
          <w:b/>
          <w:bCs/>
        </w:rPr>
        <w:t>756 (CMR-12)</w:t>
      </w:r>
      <w:r w:rsidRPr="00EA0271">
        <w:t xml:space="preserve"> - Estudios sobre la posible reducción del arco de coordinación y los criterios técnicos utilizados para la aplicación del número </w:t>
      </w:r>
      <w:r w:rsidRPr="00EA0271">
        <w:rPr>
          <w:b/>
          <w:bCs/>
        </w:rPr>
        <w:t>9.41</w:t>
      </w:r>
      <w:r w:rsidRPr="00EA0271">
        <w:t xml:space="preserve"> con respecto a la coordinación con arreglo al número </w:t>
      </w:r>
      <w:r w:rsidRPr="00EA0271">
        <w:rPr>
          <w:b/>
          <w:bCs/>
        </w:rPr>
        <w:t>9.7</w:t>
      </w:r>
    </w:p>
    <w:p w:rsidR="00705E10" w:rsidRPr="00EA0271" w:rsidRDefault="00705E10" w:rsidP="00437537"/>
    <w:p w:rsidR="00363A65" w:rsidRPr="00EA0271" w:rsidRDefault="00395E4D" w:rsidP="00395E4D">
      <w:pPr>
        <w:pStyle w:val="Headingb"/>
      </w:pPr>
      <w:r w:rsidRPr="00EA0271">
        <w:t>Introducción</w:t>
      </w:r>
    </w:p>
    <w:p w:rsidR="00395E4D" w:rsidRPr="00EA0271" w:rsidRDefault="00395E4D" w:rsidP="00395E4D">
      <w:pPr>
        <w:rPr>
          <w:lang w:eastAsia="ja-JP"/>
        </w:rPr>
      </w:pPr>
      <w:r w:rsidRPr="00EA0271">
        <w:rPr>
          <w:lang w:eastAsia="ja-JP"/>
        </w:rPr>
        <w:t>La utilización de los recursos órbita y espectro está aumentando y las dificultades de las nuevas redes de satélite para acceder al espectro aumentan en consecuencia. La situación es particularmente difícil en algunas bandas de frecuencias comúnmente utilizadas por numerosos satélites operacionales, pero también se plantean dificultades debidas a numerosas notificaciones de redes de satélite de otras bandas de frecuencias.</w:t>
      </w:r>
    </w:p>
    <w:p w:rsidR="00395E4D" w:rsidRPr="00EA0271" w:rsidRDefault="00395E4D" w:rsidP="00395E4D">
      <w:r w:rsidRPr="00EA0271">
        <w:rPr>
          <w:lang w:eastAsia="ja-JP"/>
        </w:rPr>
        <w:t>Los recursos órbita y espectro</w:t>
      </w:r>
      <w:r w:rsidRPr="00EA0271">
        <w:rPr>
          <w:rFonts w:ascii="Calibri" w:hAnsi="Calibri" w:cs="Calibri"/>
          <w:color w:val="231F20"/>
          <w:sz w:val="20"/>
          <w:lang w:eastAsia="zh-CN"/>
        </w:rPr>
        <w:t xml:space="preserve"> </w:t>
      </w:r>
      <w:r w:rsidRPr="00EA0271">
        <w:rPr>
          <w:lang w:eastAsia="ja-JP"/>
        </w:rPr>
        <w:t>son recursos naturales limitados que deben utilizarse de forma racional, eficaz y económica. Por consiguiente, se buscan mejores posibilidades de admitir nuevas redes de satélite y garantizar al mismo tiempo una protección adecuada de las redes que funcionan de conformidad con el RR.</w:t>
      </w:r>
    </w:p>
    <w:p w:rsidR="00395E4D" w:rsidRPr="00EA0271" w:rsidRDefault="00395E4D" w:rsidP="00395E4D">
      <w:pPr>
        <w:rPr>
          <w:lang w:eastAsia="nb-NO"/>
        </w:rPr>
      </w:pPr>
      <w:r w:rsidRPr="00EA0271">
        <w:rPr>
          <w:lang w:eastAsia="nb-NO"/>
        </w:rPr>
        <w:t>En el marco de las actividades encaminadas a mejorar el proceso de coordinación, la CMR</w:t>
      </w:r>
      <w:r w:rsidRPr="00EA0271">
        <w:rPr>
          <w:lang w:eastAsia="nb-NO"/>
        </w:rPr>
        <w:noBreakHyphen/>
        <w:t>12 decidió reducir el arco de coordinación en las gamas de frecuencias de 6/4 GHz, 14/10/11/12 GHz y 21,4-22 GHz.</w:t>
      </w:r>
      <w:r w:rsidRPr="00EA0271" w:rsidDel="005D1115">
        <w:rPr>
          <w:lang w:eastAsia="nb-NO"/>
        </w:rPr>
        <w:t xml:space="preserve"> </w:t>
      </w:r>
      <w:r w:rsidRPr="00EA0271">
        <w:rPr>
          <w:lang w:eastAsia="nb-NO"/>
        </w:rPr>
        <w:t>Además, decidió seguir estudiando ambos temas para preparar la CMR</w:t>
      </w:r>
      <w:r w:rsidRPr="00EA0271">
        <w:rPr>
          <w:lang w:eastAsia="nb-NO"/>
        </w:rPr>
        <w:noBreakHyphen/>
        <w:t>15 y, en su Resolución 756 (CMR</w:t>
      </w:r>
      <w:r w:rsidRPr="00EA0271">
        <w:rPr>
          <w:lang w:eastAsia="nb-NO"/>
        </w:rPr>
        <w:noBreakHyphen/>
        <w:t xml:space="preserve">12) </w:t>
      </w:r>
      <w:r w:rsidRPr="00EA0271">
        <w:rPr>
          <w:i/>
          <w:iCs/>
          <w:lang w:eastAsia="nb-NO"/>
        </w:rPr>
        <w:t>resolvió invitar al UIT-R</w:t>
      </w:r>
      <w:r w:rsidRPr="00EA0271">
        <w:rPr>
          <w:lang w:eastAsia="nb-NO"/>
        </w:rPr>
        <w:t>:</w:t>
      </w:r>
    </w:p>
    <w:p w:rsidR="00395E4D" w:rsidRPr="00EA0271" w:rsidRDefault="00395E4D" w:rsidP="008036F1">
      <w:pPr>
        <w:pStyle w:val="enumlev1"/>
        <w:rPr>
          <w:highlight w:val="cyan"/>
          <w:lang w:eastAsia="de-DE"/>
        </w:rPr>
      </w:pPr>
      <w:r w:rsidRPr="00EA0271">
        <w:rPr>
          <w:lang w:eastAsia="de-DE"/>
        </w:rPr>
        <w:t>«1</w:t>
      </w:r>
      <w:r w:rsidRPr="00EA0271">
        <w:rPr>
          <w:lang w:eastAsia="de-DE"/>
        </w:rPr>
        <w:tab/>
        <w:t>a llevar a cabo estudios con objeto de analizar la efectividad y la adecuación del criterio vigente (</w:t>
      </w:r>
      <w:r w:rsidRPr="00EA0271">
        <w:rPr>
          <w:rFonts w:eastAsia="TimesNewRoman"/>
          <w:lang w:eastAsia="de-DE"/>
        </w:rPr>
        <w:t>Δ</w:t>
      </w:r>
      <w:r w:rsidRPr="00EA0271">
        <w:rPr>
          <w:i/>
          <w:iCs/>
          <w:lang w:eastAsia="de-DE"/>
        </w:rPr>
        <w:t>T/T</w:t>
      </w:r>
      <w:r w:rsidRPr="00EA0271">
        <w:rPr>
          <w:lang w:eastAsia="de-DE"/>
        </w:rPr>
        <w:t xml:space="preserve"> &gt; 6%) utilizado para la aplicación del número </w:t>
      </w:r>
      <w:r w:rsidRPr="00EA0271">
        <w:rPr>
          <w:b/>
          <w:bCs/>
          <w:lang w:eastAsia="de-DE"/>
        </w:rPr>
        <w:t>9.41</w:t>
      </w:r>
      <w:r w:rsidRPr="00EA0271">
        <w:rPr>
          <w:lang w:eastAsia="de-DE"/>
        </w:rPr>
        <w:t xml:space="preserve"> y a examinar otras posibles alternativas (incluidas las contempladas en los Anexos 1 y 2 a esta Resolución), según proceda, para las bandas a las que se hace referencia en el </w:t>
      </w:r>
      <w:r w:rsidRPr="00EA0271">
        <w:rPr>
          <w:i/>
          <w:iCs/>
          <w:lang w:eastAsia="de-DE"/>
        </w:rPr>
        <w:t>reconociendo e)</w:t>
      </w:r>
      <w:r w:rsidRPr="00EA0271">
        <w:rPr>
          <w:lang w:eastAsia="de-DE"/>
        </w:rPr>
        <w:t>;</w:t>
      </w:r>
      <w:bookmarkStart w:id="6" w:name="_GoBack"/>
      <w:bookmarkEnd w:id="6"/>
    </w:p>
    <w:p w:rsidR="00395E4D" w:rsidRPr="00EA0271" w:rsidRDefault="00395E4D" w:rsidP="008B680A">
      <w:pPr>
        <w:pStyle w:val="enumlev1"/>
        <w:rPr>
          <w:lang w:eastAsia="de-DE"/>
        </w:rPr>
      </w:pPr>
      <w:r w:rsidRPr="00EA0271">
        <w:rPr>
          <w:lang w:eastAsia="de-DE"/>
        </w:rPr>
        <w:lastRenderedPageBreak/>
        <w:t>2</w:t>
      </w:r>
      <w:r w:rsidRPr="00EA0271">
        <w:rPr>
          <w:lang w:eastAsia="de-DE"/>
        </w:rPr>
        <w:tab/>
        <w:t xml:space="preserve">a estudiar si son apropiadas reducciones adicionales del arco de coordinación en el Apéndice </w:t>
      </w:r>
      <w:r w:rsidRPr="00EA0271">
        <w:rPr>
          <w:b/>
          <w:bCs/>
          <w:lang w:eastAsia="de-DE"/>
        </w:rPr>
        <w:t xml:space="preserve">5 (Rev.CMR-12) </w:t>
      </w:r>
      <w:r w:rsidRPr="00EA0271">
        <w:rPr>
          <w:lang w:eastAsia="de-DE"/>
        </w:rPr>
        <w:t>del RR para las gamas de frecuencias 6/4 GHz y 14/10/11/12 GHz y si es adecuado reducir el arco de coordinación en la gama de 30/20 GHz</w:t>
      </w:r>
      <w:r w:rsidR="008B680A" w:rsidRPr="00EA0271">
        <w:rPr>
          <w:lang w:eastAsia="de-DE"/>
        </w:rPr>
        <w:t>.</w:t>
      </w:r>
      <w:r w:rsidRPr="00EA0271">
        <w:rPr>
          <w:lang w:eastAsia="de-DE"/>
        </w:rPr>
        <w:t>»</w:t>
      </w:r>
    </w:p>
    <w:p w:rsidR="008750A8" w:rsidRPr="00EA0271" w:rsidRDefault="00F175BB" w:rsidP="00F175BB">
      <w:r w:rsidRPr="00EA0271">
        <w:rPr>
          <w:lang w:eastAsia="zh-CN" w:bidi="ar-EG"/>
        </w:rPr>
        <w:t xml:space="preserve">La Administración de Sudán no apoya ningún cambio del Reglamento de Radiocomunicaciones con respecto a los </w:t>
      </w:r>
      <w:r w:rsidRPr="00EA0271">
        <w:rPr>
          <w:i/>
          <w:iCs/>
          <w:lang w:eastAsia="zh-CN" w:bidi="ar-EG"/>
        </w:rPr>
        <w:t>resuelve</w:t>
      </w:r>
      <w:r w:rsidRPr="00EA0271">
        <w:rPr>
          <w:lang w:eastAsia="zh-CN" w:bidi="ar-EG"/>
        </w:rPr>
        <w:t xml:space="preserve"> 1 y 2</w:t>
      </w:r>
      <w:r w:rsidR="00395E4D" w:rsidRPr="00EA0271">
        <w:rPr>
          <w:lang w:eastAsia="zh-CN" w:bidi="ar-EG"/>
        </w:rPr>
        <w:t>.</w:t>
      </w:r>
    </w:p>
    <w:p w:rsidR="001B5C7C" w:rsidRPr="00EA0271" w:rsidRDefault="00A35E3D" w:rsidP="00F175BB">
      <w:pPr>
        <w:pStyle w:val="ResNo"/>
        <w:rPr>
          <w:caps w:val="0"/>
        </w:rPr>
      </w:pPr>
      <w:bookmarkStart w:id="7" w:name="_Toc328141484"/>
      <w:r w:rsidRPr="00EA0271">
        <w:t xml:space="preserve">RESOLUCIÓN </w:t>
      </w:r>
      <w:r w:rsidRPr="00EA0271">
        <w:rPr>
          <w:rStyle w:val="href"/>
        </w:rPr>
        <w:t>756</w:t>
      </w:r>
      <w:r w:rsidRPr="00EA0271">
        <w:t xml:space="preserve"> (CMR</w:t>
      </w:r>
      <w:r w:rsidRPr="00EA0271">
        <w:noBreakHyphen/>
        <w:t>12)</w:t>
      </w:r>
      <w:bookmarkEnd w:id="7"/>
    </w:p>
    <w:p w:rsidR="001B5C7C" w:rsidRPr="00EA0271" w:rsidRDefault="00A35E3D" w:rsidP="00C43856">
      <w:pPr>
        <w:pStyle w:val="Restitle"/>
        <w:rPr>
          <w:b w:val="0"/>
        </w:rPr>
      </w:pPr>
      <w:bookmarkStart w:id="8" w:name="_Toc328141485"/>
      <w:r w:rsidRPr="00EA0271">
        <w:t>Estudios sobre la posible reducción del arco de coordinación y los criterios técnicos utilizados para la aplicación del número 9.41 con respecto a la coordinación con arreglo al número 9.7</w:t>
      </w:r>
      <w:bookmarkEnd w:id="8"/>
    </w:p>
    <w:p w:rsidR="00737061" w:rsidRPr="00EA0271" w:rsidRDefault="00A35E3D">
      <w:pPr>
        <w:pStyle w:val="Proposal"/>
      </w:pPr>
      <w:r w:rsidRPr="00EA0271">
        <w:rPr>
          <w:u w:val="single"/>
        </w:rPr>
        <w:t>NOC</w:t>
      </w:r>
      <w:r w:rsidRPr="00EA0271">
        <w:tab/>
        <w:t>SDN/86A23A1A2/1</w:t>
      </w:r>
    </w:p>
    <w:p w:rsidR="001B5C7C" w:rsidRPr="00EA0271" w:rsidRDefault="00A35E3D" w:rsidP="00400CC6">
      <w:pPr>
        <w:pStyle w:val="Call"/>
      </w:pPr>
      <w:r w:rsidRPr="00EA0271">
        <w:t>resuelve invitar al UIT-R</w:t>
      </w:r>
    </w:p>
    <w:p w:rsidR="001B5C7C" w:rsidRPr="00EA0271" w:rsidRDefault="00A35E3D" w:rsidP="001B5C7C">
      <w:r w:rsidRPr="00EA0271">
        <w:t>1</w:t>
      </w:r>
      <w:r w:rsidRPr="00EA0271">
        <w:tab/>
        <w:t>a llevar a cabo estudios con objeto de analizar la efectividad y la adecuación del criterio vigente (Δ</w:t>
      </w:r>
      <w:r w:rsidRPr="00EA0271">
        <w:rPr>
          <w:i/>
          <w:iCs/>
        </w:rPr>
        <w:t>T</w:t>
      </w:r>
      <w:r w:rsidRPr="00EA0271">
        <w:t>/</w:t>
      </w:r>
      <w:r w:rsidRPr="00EA0271">
        <w:rPr>
          <w:i/>
          <w:iCs/>
        </w:rPr>
        <w:t>T</w:t>
      </w:r>
      <w:r w:rsidRPr="00EA0271">
        <w:t xml:space="preserve"> &gt; 6%) utilizado para la aplicación del número </w:t>
      </w:r>
      <w:r w:rsidRPr="00EA0271">
        <w:rPr>
          <w:rStyle w:val="Artref"/>
          <w:b/>
          <w:bCs/>
        </w:rPr>
        <w:t>9.41</w:t>
      </w:r>
      <w:r w:rsidRPr="00EA0271">
        <w:t xml:space="preserve"> y a examinar otras posibles alternativas (incluidas las contempladas en los Anexos 1 y 2 de esta Resolución), según proceda, para las bandas a las que se hace referencia en el </w:t>
      </w:r>
      <w:r w:rsidRPr="00EA0271">
        <w:rPr>
          <w:i/>
          <w:iCs/>
        </w:rPr>
        <w:t>reconociendo e)</w:t>
      </w:r>
      <w:r w:rsidRPr="00EA0271">
        <w:t>;</w:t>
      </w:r>
    </w:p>
    <w:p w:rsidR="00737061" w:rsidRPr="00EA0271" w:rsidRDefault="00737061">
      <w:pPr>
        <w:pStyle w:val="Reasons"/>
      </w:pPr>
    </w:p>
    <w:p w:rsidR="00737061" w:rsidRPr="00EA0271" w:rsidRDefault="00A35E3D">
      <w:pPr>
        <w:pStyle w:val="Proposal"/>
      </w:pPr>
      <w:r w:rsidRPr="00EA0271">
        <w:rPr>
          <w:u w:val="single"/>
        </w:rPr>
        <w:t>NOC</w:t>
      </w:r>
      <w:r w:rsidRPr="00EA0271">
        <w:tab/>
        <w:t>SDN/86A23A1A2/2</w:t>
      </w:r>
    </w:p>
    <w:p w:rsidR="001B5C7C" w:rsidRPr="00EA0271" w:rsidRDefault="00A35E3D" w:rsidP="00400CC6">
      <w:pPr>
        <w:pStyle w:val="Call"/>
      </w:pPr>
      <w:r w:rsidRPr="00EA0271">
        <w:t>resuelve invitar al UIT-R</w:t>
      </w:r>
    </w:p>
    <w:p w:rsidR="001B5C7C" w:rsidRPr="00EA0271" w:rsidRDefault="00A35E3D" w:rsidP="001B5C7C">
      <w:r w:rsidRPr="00EA0271">
        <w:t>2</w:t>
      </w:r>
      <w:r w:rsidRPr="00EA0271">
        <w:tab/>
        <w:t xml:space="preserve">a estudiar si son apropiadas reducciones adicionales del arco de coordinación en el Apéndice </w:t>
      </w:r>
      <w:r w:rsidRPr="00EA0271">
        <w:rPr>
          <w:b/>
          <w:bCs/>
        </w:rPr>
        <w:t>5 (Rev.CMR-12)</w:t>
      </w:r>
      <w:r w:rsidRPr="00EA0271">
        <w:t xml:space="preserve"> del Reglamento de Radiocomunicaciones para las gamas de frecuencias 6/4 GHz y 14/10/11/12 GHz y si es adecuado reducir el arco de coordinación en la gama de 30/20 GHz,</w:t>
      </w:r>
    </w:p>
    <w:p w:rsidR="00395E4D" w:rsidRPr="00EA0271" w:rsidRDefault="00395E4D" w:rsidP="0032202E">
      <w:pPr>
        <w:pStyle w:val="Reasons"/>
      </w:pPr>
    </w:p>
    <w:p w:rsidR="00395E4D" w:rsidRPr="00EA0271" w:rsidRDefault="00395E4D">
      <w:pPr>
        <w:jc w:val="center"/>
      </w:pPr>
      <w:r w:rsidRPr="00EA0271">
        <w:t>______________</w:t>
      </w:r>
    </w:p>
    <w:sectPr w:rsidR="00395E4D" w:rsidRPr="00EA0271">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EA0271" w:rsidRDefault="0077084A">
    <w:pPr>
      <w:ind w:right="360"/>
    </w:pPr>
    <w:r>
      <w:fldChar w:fldCharType="begin"/>
    </w:r>
    <w:r w:rsidRPr="00EA0271">
      <w:instrText xml:space="preserve"> FILENAME \p  \* MERGEFORMAT </w:instrText>
    </w:r>
    <w:r>
      <w:fldChar w:fldCharType="separate"/>
    </w:r>
    <w:r w:rsidR="008036F1">
      <w:rPr>
        <w:noProof/>
      </w:rPr>
      <w:t>P:\ESP\ITU-R\CONF-R\CMR15\000\086ADD23ADD01ADD02S.docx</w:t>
    </w:r>
    <w:r>
      <w:fldChar w:fldCharType="end"/>
    </w:r>
    <w:r w:rsidRPr="00EA0271">
      <w:tab/>
    </w:r>
    <w:r>
      <w:fldChar w:fldCharType="begin"/>
    </w:r>
    <w:r>
      <w:instrText xml:space="preserve"> SAVEDATE \@ DD.MM.YY </w:instrText>
    </w:r>
    <w:r>
      <w:fldChar w:fldCharType="separate"/>
    </w:r>
    <w:r w:rsidR="008036F1">
      <w:rPr>
        <w:noProof/>
      </w:rPr>
      <w:t>29.10.15</w:t>
    </w:r>
    <w:r>
      <w:fldChar w:fldCharType="end"/>
    </w:r>
    <w:r w:rsidRPr="00EA0271">
      <w:tab/>
    </w:r>
    <w:r>
      <w:fldChar w:fldCharType="begin"/>
    </w:r>
    <w:r>
      <w:instrText xml:space="preserve"> PRINTDATE \@ DD.MM.YY </w:instrText>
    </w:r>
    <w:r>
      <w:fldChar w:fldCharType="separate"/>
    </w:r>
    <w:r w:rsidR="008036F1">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E6" w:rsidRDefault="00003AE6" w:rsidP="00003AE6">
    <w:pPr>
      <w:pStyle w:val="Footer"/>
    </w:pPr>
    <w:r>
      <w:rPr>
        <w:noProof w:val="0"/>
        <w:sz w:val="24"/>
      </w:rPr>
      <w:fldChar w:fldCharType="begin"/>
    </w:r>
    <w:r>
      <w:instrText xml:space="preserve"> FILENAME \p  \* MERGEFORMAT </w:instrText>
    </w:r>
    <w:r>
      <w:rPr>
        <w:noProof w:val="0"/>
        <w:sz w:val="24"/>
      </w:rPr>
      <w:fldChar w:fldCharType="separate"/>
    </w:r>
    <w:r w:rsidR="008036F1">
      <w:t>P:\ESP\ITU-R\CONF-R\CMR15\000\086ADD23ADD01ADD02S.docx</w:t>
    </w:r>
    <w:r>
      <w:fldChar w:fldCharType="end"/>
    </w:r>
    <w:r>
      <w:t xml:space="preserve"> (389370)</w:t>
    </w:r>
    <w:r>
      <w:tab/>
    </w:r>
    <w:r>
      <w:fldChar w:fldCharType="begin"/>
    </w:r>
    <w:r>
      <w:instrText xml:space="preserve"> SAVEDATE \@ DD.MM.YY </w:instrText>
    </w:r>
    <w:r>
      <w:fldChar w:fldCharType="separate"/>
    </w:r>
    <w:r w:rsidR="008036F1">
      <w:t>29.10.15</w:t>
    </w:r>
    <w:r>
      <w:fldChar w:fldCharType="end"/>
    </w:r>
    <w:r>
      <w:tab/>
    </w:r>
    <w:r>
      <w:fldChar w:fldCharType="begin"/>
    </w:r>
    <w:r>
      <w:instrText xml:space="preserve"> PRINTDATE \@ DD.MM.YY </w:instrText>
    </w:r>
    <w:r>
      <w:fldChar w:fldCharType="separate"/>
    </w:r>
    <w:r w:rsidR="008036F1">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E6" w:rsidRDefault="00003AE6">
    <w:pPr>
      <w:pStyle w:val="Footer"/>
    </w:pPr>
    <w:fldSimple w:instr=" FILENAME \p  \* MERGEFORMAT ">
      <w:r w:rsidR="008036F1">
        <w:t>P:\ESP\ITU-R\CONF-R\CMR15\000\086ADD23ADD01ADD02S.docx</w:t>
      </w:r>
    </w:fldSimple>
    <w:r>
      <w:t xml:space="preserve"> (389370)</w:t>
    </w:r>
    <w:r>
      <w:tab/>
    </w:r>
    <w:r>
      <w:fldChar w:fldCharType="begin"/>
    </w:r>
    <w:r>
      <w:instrText xml:space="preserve"> SAVEDATE \@ DD.MM.YY </w:instrText>
    </w:r>
    <w:r>
      <w:fldChar w:fldCharType="separate"/>
    </w:r>
    <w:r w:rsidR="008036F1">
      <w:t>29.10.15</w:t>
    </w:r>
    <w:r>
      <w:fldChar w:fldCharType="end"/>
    </w:r>
    <w:r>
      <w:tab/>
    </w:r>
    <w:r>
      <w:fldChar w:fldCharType="begin"/>
    </w:r>
    <w:r>
      <w:instrText xml:space="preserve"> PRINTDATE \@ DD.MM.YY </w:instrText>
    </w:r>
    <w:r>
      <w:fldChar w:fldCharType="separate"/>
    </w:r>
    <w:r w:rsidR="008036F1">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036F1">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86(Add.23)(Add.1)(Add.2)-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3AE6"/>
    <w:rsid w:val="0002785D"/>
    <w:rsid w:val="00087AE8"/>
    <w:rsid w:val="000A5B9A"/>
    <w:rsid w:val="000E5BF9"/>
    <w:rsid w:val="000F0E6D"/>
    <w:rsid w:val="00102D90"/>
    <w:rsid w:val="00121170"/>
    <w:rsid w:val="00123CC5"/>
    <w:rsid w:val="0015142D"/>
    <w:rsid w:val="001616DC"/>
    <w:rsid w:val="00163962"/>
    <w:rsid w:val="00191A97"/>
    <w:rsid w:val="001A083F"/>
    <w:rsid w:val="001C41FA"/>
    <w:rsid w:val="001E2B52"/>
    <w:rsid w:val="001E3F27"/>
    <w:rsid w:val="00236D2A"/>
    <w:rsid w:val="00255F12"/>
    <w:rsid w:val="00262C09"/>
    <w:rsid w:val="00282E61"/>
    <w:rsid w:val="002A791F"/>
    <w:rsid w:val="002C1B26"/>
    <w:rsid w:val="002C5D6C"/>
    <w:rsid w:val="002E701F"/>
    <w:rsid w:val="003248A9"/>
    <w:rsid w:val="00324FFA"/>
    <w:rsid w:val="0032680B"/>
    <w:rsid w:val="00363A65"/>
    <w:rsid w:val="00395E4D"/>
    <w:rsid w:val="003B1E8C"/>
    <w:rsid w:val="003C0D49"/>
    <w:rsid w:val="003C2508"/>
    <w:rsid w:val="003D0AA3"/>
    <w:rsid w:val="00440B3A"/>
    <w:rsid w:val="0045384C"/>
    <w:rsid w:val="00454553"/>
    <w:rsid w:val="004B124A"/>
    <w:rsid w:val="005133B5"/>
    <w:rsid w:val="00532097"/>
    <w:rsid w:val="0058350F"/>
    <w:rsid w:val="00583C7E"/>
    <w:rsid w:val="005B1BE9"/>
    <w:rsid w:val="005B71C8"/>
    <w:rsid w:val="005C5801"/>
    <w:rsid w:val="005D46FB"/>
    <w:rsid w:val="005F2605"/>
    <w:rsid w:val="005F3B0E"/>
    <w:rsid w:val="005F559C"/>
    <w:rsid w:val="0062395F"/>
    <w:rsid w:val="006511B3"/>
    <w:rsid w:val="00662BA0"/>
    <w:rsid w:val="00691FD5"/>
    <w:rsid w:val="00692AAE"/>
    <w:rsid w:val="006D6E67"/>
    <w:rsid w:val="006E1A13"/>
    <w:rsid w:val="00701C20"/>
    <w:rsid w:val="00702F3D"/>
    <w:rsid w:val="0070518E"/>
    <w:rsid w:val="00705E10"/>
    <w:rsid w:val="007354E9"/>
    <w:rsid w:val="00737061"/>
    <w:rsid w:val="00765578"/>
    <w:rsid w:val="0077084A"/>
    <w:rsid w:val="007952C7"/>
    <w:rsid w:val="007C0B95"/>
    <w:rsid w:val="007C2317"/>
    <w:rsid w:val="007D330A"/>
    <w:rsid w:val="007E2B58"/>
    <w:rsid w:val="008036F1"/>
    <w:rsid w:val="00866AE6"/>
    <w:rsid w:val="008750A8"/>
    <w:rsid w:val="008B680A"/>
    <w:rsid w:val="008E5AF2"/>
    <w:rsid w:val="0090121B"/>
    <w:rsid w:val="009144C9"/>
    <w:rsid w:val="0094091F"/>
    <w:rsid w:val="00973754"/>
    <w:rsid w:val="009C0BED"/>
    <w:rsid w:val="009E11EC"/>
    <w:rsid w:val="00A118DB"/>
    <w:rsid w:val="00A35E3D"/>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3B0"/>
    <w:rsid w:val="00CD5FEE"/>
    <w:rsid w:val="00CE60D2"/>
    <w:rsid w:val="00CE7431"/>
    <w:rsid w:val="00D0288A"/>
    <w:rsid w:val="00D72A5D"/>
    <w:rsid w:val="00DC629B"/>
    <w:rsid w:val="00DF1669"/>
    <w:rsid w:val="00E05BFF"/>
    <w:rsid w:val="00E262F1"/>
    <w:rsid w:val="00E3176A"/>
    <w:rsid w:val="00E54754"/>
    <w:rsid w:val="00E56BD3"/>
    <w:rsid w:val="00E71D14"/>
    <w:rsid w:val="00EA0271"/>
    <w:rsid w:val="00EE3917"/>
    <w:rsid w:val="00F175BB"/>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F3D976F-DD78-4D3E-8057-22150294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enumlev1Char">
    <w:name w:val="enumlev1 Char"/>
    <w:basedOn w:val="DefaultParagraphFont"/>
    <w:link w:val="enumlev1"/>
    <w:rsid w:val="00395E4D"/>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R15-WRC15-C-0086!A23-A1-A2!MSW-S</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0D97AD23-D282-41D7-8531-19CB6D2C2B5A}">
  <ds:schemaRefs>
    <ds:schemaRef ds:uri="http://purl.org/dc/elements/1.1/"/>
    <ds:schemaRef ds:uri="996b2e75-67fd-4955-a3b0-5ab9934cb50b"/>
    <ds:schemaRef ds:uri="32a1a8c5-2265-4ebc-b7a0-2071e2c5c9bb"/>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44E6D7-4EF8-4B51-A714-005C3EC6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553</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R15-WRC15-C-0086!A23-A1-A2!MSW-S</vt:lpstr>
    </vt:vector>
  </TitlesOfParts>
  <Manager>Secretaría General - Pool</Manager>
  <Company>Unión Internacional de Telecomunicaciones (UIT)</Company>
  <LinksUpToDate>false</LinksUpToDate>
  <CharactersWithSpaces>3542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R15-WRC15-C-0086!A23-A1-A2!MSW-S</dc:title>
  <dc:subject>Conferencia Mundial de Radiocomunicaciones - 2015</dc:subject>
  <dc:creator>Documents Proposals Manager (DPM)</dc:creator>
  <cp:keywords>DPM_v5.2015.10.280_prod</cp:keywords>
  <dc:description/>
  <cp:lastModifiedBy>Saez Grau, Ricardo</cp:lastModifiedBy>
  <cp:revision>16</cp:revision>
  <cp:lastPrinted>2015-10-29T21:29:00Z</cp:lastPrinted>
  <dcterms:created xsi:type="dcterms:W3CDTF">2015-10-29T21:23:00Z</dcterms:created>
  <dcterms:modified xsi:type="dcterms:W3CDTF">2015-10-29T21:32:00Z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