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C17CA6" w:rsidRDefault="006D4724" w:rsidP="00BA5BD0">
            <w:pPr>
              <w:spacing w:before="0"/>
              <w:rPr>
                <w:rFonts w:ascii="Verdana" w:hAnsi="Verdana"/>
                <w:sz w:val="20"/>
                <w:lang w:val="fr-CH"/>
              </w:rPr>
            </w:pPr>
            <w:r w:rsidRPr="00C17CA6">
              <w:rPr>
                <w:rFonts w:ascii="Verdana" w:eastAsia="SimSun" w:hAnsi="Verdana" w:cs="Traditional Arabic"/>
                <w:b/>
                <w:sz w:val="20"/>
                <w:lang w:val="fr-CH"/>
              </w:rPr>
              <w:t>Addendum 2 au</w:t>
            </w:r>
            <w:r w:rsidRPr="00C17CA6">
              <w:rPr>
                <w:rFonts w:ascii="Verdana" w:eastAsia="SimSun" w:hAnsi="Verdana" w:cs="Traditional Arabic"/>
                <w:b/>
                <w:sz w:val="20"/>
                <w:lang w:val="fr-CH"/>
              </w:rPr>
              <w:br/>
              <w:t>Document 86(Add.23)(Add.1)</w:t>
            </w:r>
            <w:r w:rsidR="00BB1D82" w:rsidRPr="00C17CA6">
              <w:rPr>
                <w:rFonts w:ascii="Verdana" w:hAnsi="Verdana"/>
                <w:b/>
                <w:sz w:val="20"/>
                <w:lang w:val="fr-CH"/>
              </w:rPr>
              <w:t>-</w:t>
            </w:r>
            <w:r w:rsidRPr="00C17CA6">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C17CA6"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E73428">
            <w:pPr>
              <w:pStyle w:val="Source"/>
              <w:rPr>
                <w:lang w:val="en-US"/>
              </w:rPr>
            </w:pPr>
            <w:bookmarkStart w:id="3" w:name="dsource" w:colFirst="0" w:colLast="0"/>
            <w:r w:rsidRPr="002A6F8F">
              <w:rPr>
                <w:lang w:val="en-US"/>
              </w:rPr>
              <w:t>Soudan (République du)</w:t>
            </w:r>
          </w:p>
        </w:tc>
      </w:tr>
      <w:tr w:rsidR="00690C7B" w:rsidRPr="002A6F8F" w:rsidTr="0050008E">
        <w:trPr>
          <w:cantSplit/>
        </w:trPr>
        <w:tc>
          <w:tcPr>
            <w:tcW w:w="10031" w:type="dxa"/>
            <w:gridSpan w:val="2"/>
          </w:tcPr>
          <w:p w:rsidR="00690C7B" w:rsidRPr="00C17CA6" w:rsidRDefault="00C17CA6" w:rsidP="00E73428">
            <w:pPr>
              <w:pStyle w:val="Title1"/>
              <w:rPr>
                <w:lang w:val="fr-CH"/>
              </w:rPr>
            </w:pPr>
            <w:bookmarkStart w:id="4" w:name="dtitle1" w:colFirst="0" w:colLast="0"/>
            <w:bookmarkEnd w:id="3"/>
            <w:r w:rsidRPr="00C17CA6">
              <w:rPr>
                <w:lang w:val="fr-CH"/>
              </w:rPr>
              <w:t>PROPOSITIONS POUR LES TRAVAUX DE LA CONFéRENCE</w:t>
            </w:r>
          </w:p>
        </w:tc>
      </w:tr>
      <w:tr w:rsidR="00690C7B" w:rsidRPr="002A6F8F" w:rsidTr="0050008E">
        <w:trPr>
          <w:cantSplit/>
        </w:trPr>
        <w:tc>
          <w:tcPr>
            <w:tcW w:w="10031" w:type="dxa"/>
            <w:gridSpan w:val="2"/>
          </w:tcPr>
          <w:p w:rsidR="00690C7B" w:rsidRPr="00C17CA6" w:rsidRDefault="00690C7B" w:rsidP="00E73428">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E73428">
            <w:pPr>
              <w:pStyle w:val="Agendaitem"/>
            </w:pPr>
            <w:bookmarkStart w:id="6" w:name="dtitle3" w:colFirst="0" w:colLast="0"/>
            <w:bookmarkEnd w:id="5"/>
            <w:r w:rsidRPr="006D4724">
              <w:t>Point 9.1(9.1.2) de l'ordre du jour</w:t>
            </w:r>
          </w:p>
        </w:tc>
      </w:tr>
    </w:tbl>
    <w:bookmarkEnd w:id="6"/>
    <w:p w:rsidR="001C0E40" w:rsidRPr="00A27760" w:rsidRDefault="00333E95" w:rsidP="00E73428">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333E95" w:rsidP="00E73428">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Default="00333E95" w:rsidP="00E73428">
      <w:pPr>
        <w:rPr>
          <w:b/>
          <w:bCs/>
          <w:lang w:val="fr-CH"/>
        </w:rPr>
      </w:pPr>
      <w:r>
        <w:rPr>
          <w:lang w:val="fr-CH"/>
        </w:rPr>
        <w:t>9.1(9.1.2)</w:t>
      </w:r>
      <w:r>
        <w:rPr>
          <w:lang w:val="fr-CH"/>
        </w:rPr>
        <w:tab/>
      </w:r>
      <w:r w:rsidRPr="00552143">
        <w:rPr>
          <w:lang w:val="fr-CH"/>
        </w:rPr>
        <w:t xml:space="preserve">Résolution </w:t>
      </w:r>
      <w:r w:rsidRPr="00A063E0">
        <w:rPr>
          <w:b/>
          <w:bCs/>
          <w:lang w:val="fr-CH"/>
        </w:rPr>
        <w:t>756 (CMR-12)</w:t>
      </w:r>
      <w:r w:rsidRPr="00552143">
        <w:rPr>
          <w:lang w:val="fr-CH"/>
        </w:rPr>
        <w:t xml:space="preserve"> – Etudes relatives à la réduction possible de l'arc de coordination et aux critères techniques utilisés dans l'application du numéro </w:t>
      </w:r>
      <w:r w:rsidRPr="00F24551">
        <w:rPr>
          <w:b/>
          <w:bCs/>
          <w:lang w:val="fr-CH"/>
        </w:rPr>
        <w:t>9.41</w:t>
      </w:r>
      <w:r w:rsidRPr="00552143">
        <w:rPr>
          <w:lang w:val="fr-CH"/>
        </w:rPr>
        <w:t xml:space="preserve"> en ce qui concerne la coordination au titre du numéro </w:t>
      </w:r>
      <w:r w:rsidRPr="00F24551">
        <w:rPr>
          <w:b/>
          <w:bCs/>
          <w:lang w:val="fr-CH"/>
        </w:rPr>
        <w:t>9.7</w:t>
      </w:r>
    </w:p>
    <w:p w:rsidR="00F24551" w:rsidRPr="00B65E7C" w:rsidRDefault="00F24551" w:rsidP="00E73428">
      <w:pPr>
        <w:rPr>
          <w:lang w:val="fr-CH"/>
        </w:rPr>
      </w:pPr>
    </w:p>
    <w:p w:rsidR="003A583E" w:rsidRDefault="00333E95" w:rsidP="00E73428">
      <w:pPr>
        <w:pStyle w:val="Headingb"/>
      </w:pPr>
      <w:r>
        <w:t>Introduction</w:t>
      </w:r>
    </w:p>
    <w:p w:rsidR="00333E95" w:rsidRPr="00E73428" w:rsidRDefault="00333E95" w:rsidP="00E73428">
      <w:pPr>
        <w:rPr>
          <w:lang w:eastAsia="ja-JP"/>
        </w:rPr>
      </w:pPr>
      <w:r w:rsidRPr="00E73428">
        <w:rPr>
          <w:lang w:eastAsia="ja-JP"/>
        </w:rPr>
        <w:t>L'utilisation des ressources orbites/spectre augmente, ce qui rend l'accès au spectre plus difficile pour de nouveaux réseaux à satellite. La situation est particulièrement critique dans certaines bandes de fréquences couramment utilisées par de nombreux satellites en service, mais il existe également des difficultés dans d'autres bandes de fréquences en raison de la soumission de nombreux réseaux à satellite.</w:t>
      </w:r>
    </w:p>
    <w:p w:rsidR="00333E95" w:rsidRPr="00E73428" w:rsidRDefault="00333E95" w:rsidP="00E73428">
      <w:pPr>
        <w:rPr>
          <w:lang w:eastAsia="ja-JP"/>
        </w:rPr>
      </w:pPr>
      <w:r w:rsidRPr="00E73428">
        <w:rPr>
          <w:lang w:eastAsia="ja-JP"/>
        </w:rPr>
        <w:t>Les ressources orbites/spectre sont des ressources naturelles limitées qui, en tant que telles, doivent être utilisées de manière rationnelle, efficace et économique. C'est pourquoi l'on cherche à améliorer les méthodes employées pour assurer l'introduction de nouveaux réseaux à satellite, tout en garantissant un niveau de protection suffisant pour les réseaux exploités conformément aux dispositions du RR.</w:t>
      </w:r>
    </w:p>
    <w:p w:rsidR="00333E95" w:rsidRPr="00E73428" w:rsidRDefault="00333E95" w:rsidP="00E73428">
      <w:pPr>
        <w:rPr>
          <w:lang w:eastAsia="ja-JP"/>
        </w:rPr>
      </w:pPr>
      <w:r w:rsidRPr="00E73428">
        <w:rPr>
          <w:lang w:eastAsia="ja-JP"/>
        </w:rPr>
        <w:t>Dans le cadre des efforts visant à améliorer la procédure de coordination, la CMR</w:t>
      </w:r>
      <w:r w:rsidRPr="00E73428">
        <w:rPr>
          <w:lang w:eastAsia="ja-JP"/>
        </w:rPr>
        <w:noBreakHyphen/>
        <w:t>12 a décidé de réduire l'arc de coordination dans les gammes de fréquences des 6/4 GHz et des 14/10/11/12 GHz, ainsi que dans la bande de fréquences 21,4</w:t>
      </w:r>
      <w:r w:rsidRPr="00E73428">
        <w:rPr>
          <w:lang w:eastAsia="ja-JP"/>
        </w:rPr>
        <w:noBreakHyphen/>
        <w:t>22 GHz. En outre, la CMR</w:t>
      </w:r>
      <w:r w:rsidRPr="00E73428">
        <w:rPr>
          <w:lang w:eastAsia="ja-JP"/>
        </w:rPr>
        <w:noBreakHyphen/>
        <w:t>12 a décidé que ces deux questions devaient être étudiées plus avant dans le cadre de la préparation de la CMR</w:t>
      </w:r>
      <w:r w:rsidRPr="00E73428">
        <w:rPr>
          <w:lang w:eastAsia="ja-JP"/>
        </w:rPr>
        <w:noBreakHyphen/>
        <w:t>15 et a inclus dans sa Résolution 756 (CMR</w:t>
      </w:r>
      <w:r w:rsidRPr="00E73428">
        <w:rPr>
          <w:lang w:eastAsia="ja-JP"/>
        </w:rPr>
        <w:noBreakHyphen/>
        <w:t xml:space="preserve">12) un </w:t>
      </w:r>
      <w:r w:rsidRPr="00E73428">
        <w:rPr>
          <w:i/>
          <w:iCs/>
          <w:lang w:eastAsia="ja-JP"/>
        </w:rPr>
        <w:t>décide d'inviter l'UIT</w:t>
      </w:r>
      <w:r w:rsidRPr="00E73428">
        <w:rPr>
          <w:i/>
          <w:iCs/>
          <w:lang w:eastAsia="ja-JP"/>
        </w:rPr>
        <w:noBreakHyphen/>
        <w:t>R</w:t>
      </w:r>
      <w:r w:rsidRPr="00E73428">
        <w:rPr>
          <w:lang w:eastAsia="ja-JP"/>
        </w:rPr>
        <w:t>:</w:t>
      </w:r>
    </w:p>
    <w:p w:rsidR="00333E95" w:rsidRPr="00E73428" w:rsidRDefault="00333E95" w:rsidP="00F24551">
      <w:pPr>
        <w:rPr>
          <w:lang w:eastAsia="de-DE"/>
        </w:rPr>
      </w:pPr>
      <w:r w:rsidRPr="00E73428">
        <w:rPr>
          <w:lang w:eastAsia="de-DE"/>
        </w:rPr>
        <w:lastRenderedPageBreak/>
        <w:t>«1</w:t>
      </w:r>
      <w:r w:rsidRPr="00E73428">
        <w:rPr>
          <w:lang w:eastAsia="de-DE"/>
        </w:rPr>
        <w:tab/>
        <w:t>à procéder à des études pour examiner si l'actuel critère (</w:t>
      </w:r>
      <w:r w:rsidRPr="00E73428">
        <w:t>Δ</w:t>
      </w:r>
      <w:r w:rsidRPr="00E73428">
        <w:rPr>
          <w:i/>
          <w:iCs/>
        </w:rPr>
        <w:t>T</w:t>
      </w:r>
      <w:r w:rsidRPr="00E73428">
        <w:t>/</w:t>
      </w:r>
      <w:r w:rsidRPr="00E73428">
        <w:rPr>
          <w:i/>
          <w:iCs/>
        </w:rPr>
        <w:t>T</w:t>
      </w:r>
      <w:r w:rsidRPr="00E73428">
        <w:rPr>
          <w:lang w:eastAsia="de-DE"/>
        </w:rPr>
        <w:t xml:space="preserve"> &gt; 6%) utilisé dans l'application du numéro </w:t>
      </w:r>
      <w:r w:rsidRPr="00F24551">
        <w:rPr>
          <w:b/>
          <w:bCs/>
          <w:lang w:eastAsia="de-DE"/>
        </w:rPr>
        <w:t>9.41</w:t>
      </w:r>
      <w:r w:rsidRPr="00E73428">
        <w:rPr>
          <w:lang w:eastAsia="de-DE"/>
        </w:rPr>
        <w:t xml:space="preserve"> est efficace et approprié et à envisager d'autres solutions possibles (y compris les solutions décrites dans les Annexes 1 et 2 de la présente Résolution), selon qu'il conviendra, pour les bandes visées au point </w:t>
      </w:r>
      <w:r w:rsidRPr="00E73428">
        <w:rPr>
          <w:i/>
          <w:iCs/>
          <w:lang w:eastAsia="de-DE"/>
        </w:rPr>
        <w:t>e)</w:t>
      </w:r>
      <w:r w:rsidRPr="00E73428">
        <w:rPr>
          <w:lang w:eastAsia="de-DE"/>
        </w:rPr>
        <w:t xml:space="preserve"> du </w:t>
      </w:r>
      <w:r w:rsidRPr="00E73428">
        <w:rPr>
          <w:i/>
          <w:iCs/>
          <w:lang w:eastAsia="de-DE"/>
        </w:rPr>
        <w:t>reconnaissant</w:t>
      </w:r>
      <w:r w:rsidRPr="00E73428">
        <w:rPr>
          <w:lang w:eastAsia="de-DE"/>
        </w:rPr>
        <w:t>;</w:t>
      </w:r>
    </w:p>
    <w:p w:rsidR="00333E95" w:rsidRPr="00E73428" w:rsidRDefault="00333E95" w:rsidP="00E73428">
      <w:pPr>
        <w:rPr>
          <w:lang w:eastAsia="de-DE"/>
        </w:rPr>
      </w:pPr>
      <w:r w:rsidRPr="00E73428">
        <w:rPr>
          <w:lang w:eastAsia="de-DE"/>
        </w:rPr>
        <w:t>2</w:t>
      </w:r>
      <w:r w:rsidRPr="00E73428">
        <w:rPr>
          <w:lang w:eastAsia="de-DE"/>
        </w:rPr>
        <w:tab/>
        <w:t>à étudier si de nouvelles réductions des valeurs de l'arc de coordination dans l'Appendice 5 (Rév.CMR-12) du RR sont appropriées pour les bandes des 6/4 GHz et des 14/10/11/12 GHz et s'il est judicieux de réduire la valeur de l'arc de coordination dans la bande des 30/20 GHz,»</w:t>
      </w:r>
    </w:p>
    <w:p w:rsidR="00333E95" w:rsidRPr="00E73428" w:rsidRDefault="00A67F6C" w:rsidP="00E73428">
      <w:pPr>
        <w:rPr>
          <w:lang w:val="fr-CH" w:eastAsia="zh-CN" w:bidi="ar-EG"/>
        </w:rPr>
      </w:pPr>
      <w:r w:rsidRPr="00E73428">
        <w:rPr>
          <w:lang w:val="fr-CH" w:eastAsia="zh-CN" w:bidi="ar-EG"/>
        </w:rPr>
        <w:t>L'A</w:t>
      </w:r>
      <w:r w:rsidR="00333E95" w:rsidRPr="00E73428">
        <w:rPr>
          <w:rFonts w:hint="eastAsia"/>
          <w:lang w:val="fr-CH" w:eastAsia="zh-CN" w:bidi="ar-EG"/>
        </w:rPr>
        <w:t xml:space="preserve">dministration </w:t>
      </w:r>
      <w:r w:rsidRPr="00E73428">
        <w:rPr>
          <w:lang w:val="fr-CH" w:eastAsia="zh-CN" w:bidi="ar-EG"/>
        </w:rPr>
        <w:t>du Soudan propose de ne pas apporter de modification au</w:t>
      </w:r>
      <w:r w:rsidR="00333E95" w:rsidRPr="00E73428">
        <w:rPr>
          <w:rFonts w:hint="eastAsia"/>
          <w:lang w:val="fr-CH" w:eastAsia="zh-CN" w:bidi="ar-EG"/>
        </w:rPr>
        <w:t xml:space="preserve"> </w:t>
      </w:r>
      <w:r w:rsidRPr="00E73428">
        <w:rPr>
          <w:lang w:val="fr-CH" w:eastAsia="zh-CN" w:bidi="ar-EG"/>
        </w:rPr>
        <w:t xml:space="preserve">Règlement des radiocommunications en ce qui concerne les points 1 et 2 du </w:t>
      </w:r>
      <w:r w:rsidRPr="00E73428">
        <w:rPr>
          <w:i/>
          <w:iCs/>
          <w:lang w:val="fr-CH" w:eastAsia="zh-CN" w:bidi="ar-EG"/>
        </w:rPr>
        <w:t>décide</w:t>
      </w:r>
      <w:r w:rsidR="00333E95" w:rsidRPr="00E73428">
        <w:rPr>
          <w:rFonts w:hint="eastAsia"/>
          <w:lang w:val="fr-CH" w:eastAsia="zh-CN" w:bidi="ar-EG"/>
        </w:rPr>
        <w:t>.</w:t>
      </w:r>
    </w:p>
    <w:p w:rsidR="00DD4258" w:rsidRPr="0021290E" w:rsidRDefault="00333E95" w:rsidP="00E73428">
      <w:pPr>
        <w:pStyle w:val="ResNo"/>
      </w:pPr>
      <w:r>
        <w:rPr>
          <w:caps w:val="0"/>
        </w:rPr>
        <w:t xml:space="preserve">RÉSOLUTION </w:t>
      </w:r>
      <w:r w:rsidRPr="00A44420">
        <w:rPr>
          <w:rStyle w:val="href"/>
          <w:caps w:val="0"/>
        </w:rPr>
        <w:t>756</w:t>
      </w:r>
      <w:r w:rsidRPr="0021290E">
        <w:rPr>
          <w:caps w:val="0"/>
        </w:rPr>
        <w:t xml:space="preserve"> (CMR-12)</w:t>
      </w:r>
    </w:p>
    <w:p w:rsidR="00DD4258" w:rsidRPr="009C7CEE" w:rsidRDefault="00333E95" w:rsidP="00E73428">
      <w:pPr>
        <w:pStyle w:val="Restitle"/>
      </w:pPr>
      <w:r w:rsidRPr="009C7CEE">
        <w:t>Etudes relatives à la réduction possible de l'arc de coordination et aux critères techniques utilisés dans l'application du numéro 9.41 en ce qui concerne la coordination au titre du numéro 9.7</w:t>
      </w:r>
    </w:p>
    <w:p w:rsidR="00DB3081" w:rsidRDefault="00333E95" w:rsidP="00E73428">
      <w:pPr>
        <w:pStyle w:val="Proposal"/>
      </w:pPr>
      <w:r>
        <w:rPr>
          <w:u w:val="single"/>
        </w:rPr>
        <w:t>NOC</w:t>
      </w:r>
      <w:r>
        <w:tab/>
        <w:t>SDN/86A23A1A2/1</w:t>
      </w:r>
    </w:p>
    <w:p w:rsidR="00DD4258" w:rsidRPr="0021290E" w:rsidRDefault="00333E95" w:rsidP="00E73428">
      <w:pPr>
        <w:pStyle w:val="Call"/>
      </w:pPr>
      <w:r w:rsidRPr="0021290E">
        <w:t>décide d'inviter l'UIT-R</w:t>
      </w:r>
    </w:p>
    <w:p w:rsidR="00DD4258" w:rsidRPr="0021290E" w:rsidRDefault="00333E95" w:rsidP="00E73428">
      <w:r w:rsidRPr="0021290E">
        <w:t>1</w:t>
      </w:r>
      <w:r w:rsidRPr="0021290E">
        <w:tab/>
        <w:t xml:space="preserve">à procéder à des études pour examiner </w:t>
      </w:r>
      <w:r>
        <w:t>si</w:t>
      </w:r>
      <w:r w:rsidRPr="0021290E">
        <w:t xml:space="preserve"> l'actuel critère (Δ</w:t>
      </w:r>
      <w:r w:rsidRPr="0021290E">
        <w:rPr>
          <w:i/>
          <w:iCs/>
        </w:rPr>
        <w:t>T</w:t>
      </w:r>
      <w:r w:rsidRPr="0021290E">
        <w:t>/</w:t>
      </w:r>
      <w:r w:rsidRPr="0021290E">
        <w:rPr>
          <w:i/>
          <w:iCs/>
        </w:rPr>
        <w:t>T</w:t>
      </w:r>
      <w:r w:rsidRPr="0021290E">
        <w:t xml:space="preserve"> &gt; 6%) utilisé </w:t>
      </w:r>
      <w:r>
        <w:t>dans</w:t>
      </w:r>
      <w:r w:rsidRPr="0021290E">
        <w:t xml:space="preserve"> l'application du numéro </w:t>
      </w:r>
      <w:r w:rsidRPr="008C0EDF">
        <w:rPr>
          <w:b/>
          <w:bCs/>
        </w:rPr>
        <w:t>9.41</w:t>
      </w:r>
      <w:r w:rsidRPr="0021290E">
        <w:t xml:space="preserve"> </w:t>
      </w:r>
      <w:r>
        <w:t xml:space="preserve">est efficace et approprié </w:t>
      </w:r>
      <w:r w:rsidRPr="0021290E">
        <w:t xml:space="preserve">et </w:t>
      </w:r>
      <w:r>
        <w:t>à envisager</w:t>
      </w:r>
      <w:r w:rsidRPr="0021290E">
        <w:t xml:space="preserve"> d'autres </w:t>
      </w:r>
      <w:r>
        <w:t>solutions possibles</w:t>
      </w:r>
      <w:r w:rsidRPr="0021290E">
        <w:t xml:space="preserve"> (y compris les </w:t>
      </w:r>
      <w:r>
        <w:t>solutions</w:t>
      </w:r>
      <w:r w:rsidRPr="0021290E">
        <w:t xml:space="preserve"> décrites dans les Annexes 1 et 2 de la présente Résolution), selon </w:t>
      </w:r>
      <w:r>
        <w:t>qu'il conviendra</w:t>
      </w:r>
      <w:r w:rsidRPr="0021290E">
        <w:t xml:space="preserve">, pour les bandes visées au point </w:t>
      </w:r>
      <w:r>
        <w:rPr>
          <w:i/>
          <w:iCs/>
        </w:rPr>
        <w:t>e</w:t>
      </w:r>
      <w:r w:rsidRPr="0021290E">
        <w:rPr>
          <w:i/>
          <w:iCs/>
        </w:rPr>
        <w:t>)</w:t>
      </w:r>
      <w:r w:rsidRPr="0021290E">
        <w:t xml:space="preserve"> du </w:t>
      </w:r>
      <w:r w:rsidRPr="0021290E">
        <w:rPr>
          <w:i/>
          <w:iCs/>
        </w:rPr>
        <w:t>reconnaissan</w:t>
      </w:r>
      <w:r>
        <w:rPr>
          <w:i/>
          <w:iCs/>
        </w:rPr>
        <w:t>t</w:t>
      </w:r>
      <w:r w:rsidRPr="00813E87">
        <w:t>;</w:t>
      </w:r>
    </w:p>
    <w:p w:rsidR="00DB3081" w:rsidRDefault="00DB3081" w:rsidP="00E73428">
      <w:pPr>
        <w:pStyle w:val="Reasons"/>
      </w:pPr>
    </w:p>
    <w:p w:rsidR="00DB3081" w:rsidRDefault="00333E95" w:rsidP="00E73428">
      <w:pPr>
        <w:pStyle w:val="Proposal"/>
      </w:pPr>
      <w:r>
        <w:rPr>
          <w:u w:val="single"/>
        </w:rPr>
        <w:t>NOC</w:t>
      </w:r>
      <w:r>
        <w:tab/>
        <w:t>SDN/86A23A1A2/2</w:t>
      </w:r>
    </w:p>
    <w:p w:rsidR="00DD4258" w:rsidRPr="0021290E" w:rsidRDefault="00333E95" w:rsidP="00E73428">
      <w:pPr>
        <w:pStyle w:val="Call"/>
      </w:pPr>
      <w:r w:rsidRPr="0021290E">
        <w:t>décide d'inviter l'UIT-R</w:t>
      </w:r>
    </w:p>
    <w:p w:rsidR="00DD4258" w:rsidRPr="0021290E" w:rsidRDefault="00333E95" w:rsidP="00F24551">
      <w:r w:rsidRPr="0021290E">
        <w:t>2</w:t>
      </w:r>
      <w:r w:rsidRPr="0021290E">
        <w:tab/>
        <w:t xml:space="preserve">à étudier si </w:t>
      </w:r>
      <w:r>
        <w:t>de nouvelles</w:t>
      </w:r>
      <w:r w:rsidRPr="0021290E">
        <w:t xml:space="preserve"> réductions </w:t>
      </w:r>
      <w:r>
        <w:t>des valeurs de l'arc</w:t>
      </w:r>
      <w:r w:rsidRPr="0021290E">
        <w:t xml:space="preserve"> de coordination dans l'Appendice </w:t>
      </w:r>
      <w:r w:rsidRPr="008C0EDF">
        <w:rPr>
          <w:b/>
          <w:bCs/>
        </w:rPr>
        <w:t>5 (Rév.CMR-12)</w:t>
      </w:r>
      <w:r w:rsidRPr="0021290E">
        <w:t xml:space="preserve"> du RR sont</w:t>
      </w:r>
      <w:r>
        <w:t xml:space="preserve"> appropriées pour les bandes des 6/4 GHz et des </w:t>
      </w:r>
      <w:r w:rsidRPr="0021290E">
        <w:t>14/10/11/12 GHz et s'il est judicieux de réduire</w:t>
      </w:r>
      <w:r>
        <w:t xml:space="preserve"> la valeur de</w:t>
      </w:r>
      <w:r w:rsidRPr="0021290E">
        <w:t xml:space="preserve"> l'ar</w:t>
      </w:r>
      <w:r>
        <w:t>c de coordination dans la bande des</w:t>
      </w:r>
      <w:r w:rsidR="00F24551">
        <w:t> </w:t>
      </w:r>
      <w:r w:rsidRPr="0021290E">
        <w:t>30/20 GHz,</w:t>
      </w:r>
    </w:p>
    <w:p w:rsidR="00333E95" w:rsidRDefault="00333E95" w:rsidP="00E73428">
      <w:pPr>
        <w:pStyle w:val="Reasons"/>
      </w:pPr>
    </w:p>
    <w:p w:rsidR="00333E95" w:rsidRDefault="00333E95" w:rsidP="00E73428">
      <w:pPr>
        <w:jc w:val="center"/>
      </w:pPr>
      <w:r>
        <w:t>______________</w:t>
      </w:r>
    </w:p>
    <w:p w:rsidR="00DB3081" w:rsidRDefault="00DB3081" w:rsidP="00E73428">
      <w:pPr>
        <w:pStyle w:val="Reasons"/>
      </w:pPr>
    </w:p>
    <w:sectPr w:rsidR="00DB3081">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F4DEA">
      <w:rPr>
        <w:noProof/>
        <w:lang w:val="en-US"/>
      </w:rPr>
      <w:t>P:\FRA\ITU-R\CONF-R\CMR15\000\086ADD23ADD01ADD02F.docx</w:t>
    </w:r>
    <w:r>
      <w:fldChar w:fldCharType="end"/>
    </w:r>
    <w:r>
      <w:rPr>
        <w:lang w:val="en-US"/>
      </w:rPr>
      <w:tab/>
    </w:r>
    <w:r>
      <w:fldChar w:fldCharType="begin"/>
    </w:r>
    <w:r>
      <w:instrText xml:space="preserve"> SAVEDATE \@ DD.MM.YY </w:instrText>
    </w:r>
    <w:r>
      <w:fldChar w:fldCharType="separate"/>
    </w:r>
    <w:r w:rsidR="00EF4DEA">
      <w:rPr>
        <w:noProof/>
      </w:rPr>
      <w:t>30.10.15</w:t>
    </w:r>
    <w:r>
      <w:fldChar w:fldCharType="end"/>
    </w:r>
    <w:r>
      <w:rPr>
        <w:lang w:val="en-US"/>
      </w:rPr>
      <w:tab/>
    </w:r>
    <w:r>
      <w:fldChar w:fldCharType="begin"/>
    </w:r>
    <w:r>
      <w:instrText xml:space="preserve"> PRINTDATE \@ DD.MM.YY </w:instrText>
    </w:r>
    <w:r>
      <w:fldChar w:fldCharType="separate"/>
    </w:r>
    <w:r w:rsidR="00EF4DEA">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D87BBA">
    <w:pPr>
      <w:pStyle w:val="Footer"/>
      <w:tabs>
        <w:tab w:val="clear" w:pos="5954"/>
        <w:tab w:val="left" w:pos="7088"/>
      </w:tabs>
      <w:rPr>
        <w:lang w:val="en-US"/>
      </w:rPr>
    </w:pPr>
    <w:r>
      <w:fldChar w:fldCharType="begin"/>
    </w:r>
    <w:r>
      <w:rPr>
        <w:lang w:val="en-US"/>
      </w:rPr>
      <w:instrText xml:space="preserve"> FILENAME \p  \* MERGEFORMAT </w:instrText>
    </w:r>
    <w:r>
      <w:fldChar w:fldCharType="separate"/>
    </w:r>
    <w:r w:rsidR="00EF4DEA">
      <w:rPr>
        <w:lang w:val="en-US"/>
      </w:rPr>
      <w:t>P:\FRA\ITU-R\CONF-R\CMR15\000\086ADD23ADD01ADD02F.docx</w:t>
    </w:r>
    <w:r>
      <w:fldChar w:fldCharType="end"/>
    </w:r>
    <w:r w:rsidR="00C17CA6" w:rsidRPr="00C17CA6">
      <w:rPr>
        <w:lang w:val="en-US"/>
      </w:rPr>
      <w:t xml:space="preserve"> (389370)</w:t>
    </w:r>
    <w:r>
      <w:rPr>
        <w:lang w:val="en-US"/>
      </w:rPr>
      <w:tab/>
    </w:r>
    <w:r>
      <w:fldChar w:fldCharType="begin"/>
    </w:r>
    <w:r>
      <w:instrText xml:space="preserve"> SAVEDATE \@ DD.MM.YY </w:instrText>
    </w:r>
    <w:r>
      <w:fldChar w:fldCharType="separate"/>
    </w:r>
    <w:r w:rsidR="00EF4DEA">
      <w:t>30.10.15</w:t>
    </w:r>
    <w:r>
      <w:fldChar w:fldCharType="end"/>
    </w:r>
    <w:r>
      <w:rPr>
        <w:lang w:val="en-US"/>
      </w:rPr>
      <w:tab/>
    </w:r>
    <w:r>
      <w:fldChar w:fldCharType="begin"/>
    </w:r>
    <w:r>
      <w:instrText xml:space="preserve"> PRINTDATE \@ DD.MM.YY </w:instrText>
    </w:r>
    <w:r>
      <w:fldChar w:fldCharType="separate"/>
    </w:r>
    <w:r w:rsidR="00EF4DEA">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C17CA6">
    <w:pPr>
      <w:pStyle w:val="Footer"/>
      <w:tabs>
        <w:tab w:val="clear" w:pos="5954"/>
        <w:tab w:val="left" w:pos="7088"/>
      </w:tabs>
      <w:rPr>
        <w:lang w:val="en-US"/>
      </w:rPr>
    </w:pPr>
    <w:r>
      <w:fldChar w:fldCharType="begin"/>
    </w:r>
    <w:r>
      <w:rPr>
        <w:lang w:val="en-US"/>
      </w:rPr>
      <w:instrText xml:space="preserve"> FILENAME \p  \* MERGEFORMAT </w:instrText>
    </w:r>
    <w:r>
      <w:fldChar w:fldCharType="separate"/>
    </w:r>
    <w:r w:rsidR="00EF4DEA">
      <w:rPr>
        <w:lang w:val="en-US"/>
      </w:rPr>
      <w:t>P:\FRA\ITU-R\CONF-R\CMR15\000\086ADD23ADD01ADD02F.docx</w:t>
    </w:r>
    <w:r>
      <w:fldChar w:fldCharType="end"/>
    </w:r>
    <w:r w:rsidR="00C17CA6" w:rsidRPr="00C17CA6">
      <w:rPr>
        <w:lang w:val="en-US"/>
      </w:rPr>
      <w:t xml:space="preserve"> (389370)</w:t>
    </w:r>
    <w:r>
      <w:rPr>
        <w:lang w:val="en-US"/>
      </w:rPr>
      <w:tab/>
    </w:r>
    <w:r>
      <w:fldChar w:fldCharType="begin"/>
    </w:r>
    <w:r>
      <w:instrText xml:space="preserve"> SAVEDATE \@ DD.MM.YY </w:instrText>
    </w:r>
    <w:r>
      <w:fldChar w:fldCharType="separate"/>
    </w:r>
    <w:r w:rsidR="00EF4DEA">
      <w:t>30.10.15</w:t>
    </w:r>
    <w:r>
      <w:fldChar w:fldCharType="end"/>
    </w:r>
    <w:r>
      <w:rPr>
        <w:lang w:val="en-US"/>
      </w:rPr>
      <w:tab/>
    </w:r>
    <w:r>
      <w:fldChar w:fldCharType="begin"/>
    </w:r>
    <w:r>
      <w:instrText xml:space="preserve"> PRINTDATE \@ DD.MM.YY </w:instrText>
    </w:r>
    <w:r>
      <w:fldChar w:fldCharType="separate"/>
    </w:r>
    <w:r w:rsidR="00EF4DEA">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BBA" w:rsidRDefault="00D87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F4DEA">
      <w:rPr>
        <w:noProof/>
      </w:rPr>
      <w:t>2</w:t>
    </w:r>
    <w:r>
      <w:fldChar w:fldCharType="end"/>
    </w:r>
  </w:p>
  <w:p w:rsidR="004F1F8E" w:rsidRDefault="004F1F8E" w:rsidP="002C28A4">
    <w:pPr>
      <w:pStyle w:val="Header"/>
    </w:pPr>
    <w:r>
      <w:t>CMR1</w:t>
    </w:r>
    <w:r w:rsidR="002C28A4">
      <w:t>5</w:t>
    </w:r>
    <w:r>
      <w:t>/</w:t>
    </w:r>
    <w:r w:rsidR="006A4B45">
      <w:t>86(Add.23)(Add.1)(Add.2)-</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BBA" w:rsidRDefault="00D87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33E95"/>
    <w:rsid w:val="00357783"/>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6D55CB"/>
    <w:rsid w:val="00701BAE"/>
    <w:rsid w:val="00721F04"/>
    <w:rsid w:val="00730E95"/>
    <w:rsid w:val="007426B9"/>
    <w:rsid w:val="00764342"/>
    <w:rsid w:val="00774362"/>
    <w:rsid w:val="00786598"/>
    <w:rsid w:val="007A04E8"/>
    <w:rsid w:val="00813276"/>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25F2D"/>
    <w:rsid w:val="00A37105"/>
    <w:rsid w:val="00A606C3"/>
    <w:rsid w:val="00A67F6C"/>
    <w:rsid w:val="00A83B09"/>
    <w:rsid w:val="00A84541"/>
    <w:rsid w:val="00AE36A0"/>
    <w:rsid w:val="00B00294"/>
    <w:rsid w:val="00B64FD0"/>
    <w:rsid w:val="00BA5BD0"/>
    <w:rsid w:val="00BB1D82"/>
    <w:rsid w:val="00BF26E7"/>
    <w:rsid w:val="00C17CA6"/>
    <w:rsid w:val="00C53FCA"/>
    <w:rsid w:val="00C76BAF"/>
    <w:rsid w:val="00C814B9"/>
    <w:rsid w:val="00CD516F"/>
    <w:rsid w:val="00D119A7"/>
    <w:rsid w:val="00D17738"/>
    <w:rsid w:val="00D25FBA"/>
    <w:rsid w:val="00D32B28"/>
    <w:rsid w:val="00D42954"/>
    <w:rsid w:val="00D66EAC"/>
    <w:rsid w:val="00D730DF"/>
    <w:rsid w:val="00D772F0"/>
    <w:rsid w:val="00D77BDC"/>
    <w:rsid w:val="00D87BBA"/>
    <w:rsid w:val="00DB3081"/>
    <w:rsid w:val="00DC402B"/>
    <w:rsid w:val="00DE0932"/>
    <w:rsid w:val="00E03A27"/>
    <w:rsid w:val="00E049F1"/>
    <w:rsid w:val="00E37A25"/>
    <w:rsid w:val="00E537FF"/>
    <w:rsid w:val="00E6539B"/>
    <w:rsid w:val="00E70A31"/>
    <w:rsid w:val="00E73428"/>
    <w:rsid w:val="00EA3F38"/>
    <w:rsid w:val="00EA5AB6"/>
    <w:rsid w:val="00EC7615"/>
    <w:rsid w:val="00ED16AA"/>
    <w:rsid w:val="00EF4DEA"/>
    <w:rsid w:val="00EF662E"/>
    <w:rsid w:val="00F148F1"/>
    <w:rsid w:val="00F2455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725881F-63E6-4D85-AE4E-4E90D44B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R15-WRC15-C-0086!A23-A1-A2!MSW-F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4E2B0-D28B-4525-ADD7-50DDABBDF97D}">
  <ds:schemaRefs>
    <ds:schemaRef ds:uri="32a1a8c5-2265-4ebc-b7a0-2071e2c5c9bb"/>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581</Words>
  <Characters>3216</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R15-WRC15-C-0086!A23-A1-A2!MSW-F</vt:lpstr>
    </vt:vector>
  </TitlesOfParts>
  <Manager>Secrétariat général - Pool</Manager>
  <Company>Union internationale des télécommunications (UIT)</Company>
  <LinksUpToDate>false</LinksUpToDate>
  <CharactersWithSpaces>3764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R15-WRC15-C-0086!A23-A1-A2!MSW-F</dc:title>
  <dc:subject>Conférence mondiale des radiocommunications - 2015</dc:subject>
  <dc:creator>Documents Proposals Manager (DPM)</dc:creator>
  <cp:keywords>DPM_v5.2015.10.280_prod</cp:keywords>
  <dc:description/>
  <cp:lastModifiedBy>Brice, Corinne</cp:lastModifiedBy>
  <cp:revision>6</cp:revision>
  <cp:lastPrinted>2015-10-30T08:09:00Z</cp:lastPrinted>
  <dcterms:created xsi:type="dcterms:W3CDTF">2015-10-30T07:35:00Z</dcterms:created>
  <dcterms:modified xsi:type="dcterms:W3CDTF">2015-10-30T08:09:00Z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