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11"/>
        <w:gridCol w:w="3261"/>
      </w:tblGrid>
      <w:tr w:rsidR="00280E04" w:rsidTr="00497285">
        <w:trPr>
          <w:cantSplit/>
          <w:trHeight w:val="20"/>
        </w:trPr>
        <w:tc>
          <w:tcPr>
            <w:tcW w:w="6411"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261"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497285">
        <w:trPr>
          <w:cantSplit/>
          <w:trHeight w:val="20"/>
        </w:trPr>
        <w:tc>
          <w:tcPr>
            <w:tcW w:w="6411"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261" w:type="dxa"/>
            <w:tcBorders>
              <w:bottom w:val="single" w:sz="12" w:space="0" w:color="auto"/>
            </w:tcBorders>
          </w:tcPr>
          <w:p w:rsidR="00280E04" w:rsidRPr="00A9645C" w:rsidRDefault="00280E04" w:rsidP="00D44350">
            <w:pPr>
              <w:rPr>
                <w:lang w:bidi="ar-EG"/>
              </w:rPr>
            </w:pPr>
          </w:p>
        </w:tc>
      </w:tr>
      <w:tr w:rsidR="00280E04" w:rsidTr="00497285">
        <w:trPr>
          <w:cantSplit/>
          <w:trHeight w:val="20"/>
        </w:trPr>
        <w:tc>
          <w:tcPr>
            <w:tcW w:w="6411" w:type="dxa"/>
            <w:tcBorders>
              <w:top w:val="single" w:sz="12" w:space="0" w:color="auto"/>
            </w:tcBorders>
          </w:tcPr>
          <w:p w:rsidR="00280E04" w:rsidRPr="00497285" w:rsidRDefault="00280E04" w:rsidP="00D44350">
            <w:pPr>
              <w:pStyle w:val="Adress"/>
              <w:framePr w:hSpace="0" w:wrap="auto" w:xAlign="left" w:yAlign="inline"/>
              <w:rPr>
                <w:rtl/>
              </w:rPr>
            </w:pPr>
          </w:p>
        </w:tc>
        <w:tc>
          <w:tcPr>
            <w:tcW w:w="3261" w:type="dxa"/>
            <w:tcBorders>
              <w:top w:val="single" w:sz="12" w:space="0" w:color="auto"/>
            </w:tcBorders>
          </w:tcPr>
          <w:p w:rsidR="00280E04" w:rsidRPr="00497285" w:rsidRDefault="00280E04" w:rsidP="00D44350">
            <w:pPr>
              <w:pStyle w:val="Adress"/>
              <w:framePr w:hSpace="0" w:wrap="auto" w:xAlign="left" w:yAlign="inline"/>
            </w:pPr>
          </w:p>
        </w:tc>
      </w:tr>
      <w:tr w:rsidR="003E1608" w:rsidTr="00497285">
        <w:trPr>
          <w:cantSplit/>
        </w:trPr>
        <w:tc>
          <w:tcPr>
            <w:tcW w:w="6411" w:type="dxa"/>
            <w:shd w:val="clear" w:color="auto" w:fill="auto"/>
          </w:tcPr>
          <w:p w:rsidR="003E1608" w:rsidRPr="00497285" w:rsidRDefault="00E165ED" w:rsidP="003E1608">
            <w:pPr>
              <w:pStyle w:val="Committee"/>
              <w:framePr w:hSpace="0" w:wrap="auto" w:hAnchor="text" w:yAlign="inline"/>
              <w:tabs>
                <w:tab w:val="clear" w:pos="2268"/>
                <w:tab w:val="left" w:pos="2448"/>
              </w:tabs>
              <w:bidi/>
              <w:rPr>
                <w:rFonts w:ascii="Verdana Bold" w:hAnsi="Verdana Bold" w:cs="Traditional Arabic"/>
                <w:sz w:val="30"/>
                <w:szCs w:val="30"/>
                <w:rtl/>
              </w:rPr>
            </w:pPr>
            <w:r w:rsidRPr="00497285">
              <w:rPr>
                <w:rFonts w:ascii="Verdana Bold" w:hAnsi="Verdana Bold" w:cs="Traditional Arabic"/>
                <w:bCs/>
                <w:sz w:val="19"/>
                <w:szCs w:val="30"/>
                <w:rtl/>
                <w:lang w:val="en-US" w:bidi="ar-EG"/>
              </w:rPr>
              <w:t>الجلسة العامة</w:t>
            </w:r>
          </w:p>
        </w:tc>
        <w:tc>
          <w:tcPr>
            <w:tcW w:w="3261" w:type="dxa"/>
            <w:shd w:val="clear" w:color="auto" w:fill="auto"/>
            <w:vAlign w:val="center"/>
          </w:tcPr>
          <w:p w:rsidR="003E1608" w:rsidRPr="00497285" w:rsidRDefault="003E1608" w:rsidP="007E1097">
            <w:pPr>
              <w:pStyle w:val="Adress"/>
              <w:framePr w:hSpace="0" w:wrap="auto" w:xAlign="left" w:yAlign="inline"/>
              <w:rPr>
                <w:rtl/>
              </w:rPr>
            </w:pPr>
            <w:r w:rsidRPr="00497285">
              <w:rPr>
                <w:rtl/>
              </w:rPr>
              <w:t xml:space="preserve">الإضافة </w:t>
            </w:r>
            <w:r w:rsidR="007E1097">
              <w:t>2</w:t>
            </w:r>
            <w:r w:rsidRPr="00497285">
              <w:br/>
            </w:r>
            <w:r w:rsidRPr="00497285">
              <w:rPr>
                <w:rtl/>
              </w:rPr>
              <w:t xml:space="preserve">للوثيقة </w:t>
            </w:r>
            <w:r w:rsidRPr="00497285">
              <w:t>86(Add.23)(Add.</w:t>
            </w:r>
            <w:r w:rsidR="007E1097">
              <w:t>1</w:t>
            </w:r>
            <w:r w:rsidRPr="00497285">
              <w:t>)-</w:t>
            </w:r>
            <w:r w:rsidR="00497285">
              <w:t>A</w:t>
            </w:r>
          </w:p>
        </w:tc>
      </w:tr>
      <w:tr w:rsidR="00764079" w:rsidTr="00497285">
        <w:trPr>
          <w:cantSplit/>
        </w:trPr>
        <w:tc>
          <w:tcPr>
            <w:tcW w:w="6411" w:type="dxa"/>
            <w:shd w:val="clear" w:color="auto" w:fill="auto"/>
          </w:tcPr>
          <w:p w:rsidR="00764079" w:rsidRPr="00497285" w:rsidRDefault="00764079" w:rsidP="00D44350">
            <w:pPr>
              <w:pStyle w:val="Adress"/>
              <w:framePr w:hSpace="0" w:wrap="auto" w:xAlign="left" w:yAlign="inline"/>
              <w:rPr>
                <w:rtl/>
              </w:rPr>
            </w:pPr>
          </w:p>
        </w:tc>
        <w:tc>
          <w:tcPr>
            <w:tcW w:w="3261" w:type="dxa"/>
            <w:shd w:val="clear" w:color="auto" w:fill="auto"/>
            <w:vAlign w:val="center"/>
          </w:tcPr>
          <w:p w:rsidR="00764079" w:rsidRPr="00497285" w:rsidRDefault="00764079" w:rsidP="00D44350">
            <w:pPr>
              <w:pStyle w:val="Adress"/>
              <w:framePr w:hSpace="0" w:wrap="auto" w:xAlign="left" w:yAlign="inline"/>
              <w:rPr>
                <w:rtl/>
              </w:rPr>
            </w:pPr>
            <w:r w:rsidRPr="00497285">
              <w:rPr>
                <w:rFonts w:eastAsia="SimSun"/>
              </w:rPr>
              <w:t>19</w:t>
            </w:r>
            <w:r w:rsidRPr="00497285">
              <w:rPr>
                <w:rFonts w:eastAsia="SimSun"/>
                <w:rtl/>
              </w:rPr>
              <w:t xml:space="preserve"> أكتوبر </w:t>
            </w:r>
            <w:r w:rsidRPr="00497285">
              <w:rPr>
                <w:rFonts w:eastAsia="SimSun"/>
              </w:rPr>
              <w:t>2015</w:t>
            </w:r>
          </w:p>
        </w:tc>
      </w:tr>
      <w:tr w:rsidR="00764079" w:rsidTr="00497285">
        <w:trPr>
          <w:cantSplit/>
        </w:trPr>
        <w:tc>
          <w:tcPr>
            <w:tcW w:w="6411" w:type="dxa"/>
          </w:tcPr>
          <w:p w:rsidR="00764079" w:rsidRPr="00497285" w:rsidRDefault="00764079" w:rsidP="00D44350">
            <w:pPr>
              <w:pStyle w:val="Adress"/>
              <w:framePr w:hSpace="0" w:wrap="auto" w:xAlign="left" w:yAlign="inline"/>
              <w:rPr>
                <w:rFonts w:eastAsia="SimSun" w:hint="eastAsia"/>
                <w:rtl/>
              </w:rPr>
            </w:pPr>
          </w:p>
        </w:tc>
        <w:tc>
          <w:tcPr>
            <w:tcW w:w="3261" w:type="dxa"/>
            <w:vAlign w:val="center"/>
          </w:tcPr>
          <w:p w:rsidR="00764079" w:rsidRPr="00497285" w:rsidRDefault="00764079" w:rsidP="00D44350">
            <w:pPr>
              <w:pStyle w:val="Adress"/>
              <w:framePr w:hSpace="0" w:wrap="auto" w:xAlign="left" w:yAlign="inline"/>
              <w:rPr>
                <w:rFonts w:eastAsia="SimSun" w:hint="eastAsia"/>
              </w:rPr>
            </w:pPr>
            <w:r w:rsidRPr="00497285">
              <w:rPr>
                <w:rFonts w:eastAsia="SimSun"/>
                <w:rtl/>
              </w:rPr>
              <w:t>الأصل: بالعربية</w:t>
            </w:r>
          </w:p>
        </w:tc>
      </w:tr>
      <w:tr w:rsidR="00764079" w:rsidTr="003E1608">
        <w:trPr>
          <w:cantSplit/>
        </w:trPr>
        <w:tc>
          <w:tcPr>
            <w:tcW w:w="9672" w:type="dxa"/>
            <w:gridSpan w:val="2"/>
          </w:tcPr>
          <w:p w:rsidR="00764079"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السودان</w:t>
            </w:r>
          </w:p>
        </w:tc>
      </w:tr>
      <w:tr w:rsidR="00764079" w:rsidTr="003E1608">
        <w:trPr>
          <w:cantSplit/>
        </w:trPr>
        <w:tc>
          <w:tcPr>
            <w:tcW w:w="9672" w:type="dxa"/>
            <w:gridSpan w:val="2"/>
          </w:tcPr>
          <w:p w:rsidR="00764079" w:rsidRPr="00BD6EF3" w:rsidRDefault="00764079" w:rsidP="00D44350">
            <w:pPr>
              <w:pStyle w:val="Title1"/>
              <w:spacing w:before="240"/>
              <w:rPr>
                <w:rtl/>
              </w:rPr>
            </w:pPr>
            <w:r w:rsidRPr="008204AC">
              <w:rPr>
                <w:rtl/>
              </w:rPr>
              <w:t xml:space="preserve">مقترحات بشأن أعمال </w:t>
            </w:r>
            <w:proofErr w:type="spellStart"/>
            <w:r w:rsidRPr="008204AC">
              <w:rPr>
                <w:rtl/>
              </w:rPr>
              <w:t>ال</w:t>
            </w:r>
            <w:r w:rsidR="00497285">
              <w:rPr>
                <w:rFonts w:hint="cs"/>
                <w:rtl/>
              </w:rPr>
              <w:t>‍</w:t>
            </w:r>
            <w:r w:rsidRPr="008204AC">
              <w:rPr>
                <w:rtl/>
              </w:rPr>
              <w:t>م‍ؤت</w:t>
            </w:r>
            <w:r w:rsidR="00497285">
              <w:rPr>
                <w:rFonts w:hint="cs"/>
                <w:rtl/>
              </w:rPr>
              <w:t>‍</w:t>
            </w:r>
            <w:r w:rsidRPr="008204AC">
              <w:rPr>
                <w:rtl/>
              </w:rPr>
              <w:t>مر</w:t>
            </w:r>
            <w:proofErr w:type="spellEnd"/>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497285">
            <w:pPr>
              <w:pStyle w:val="Agendaitem"/>
              <w:spacing w:before="240" w:line="192" w:lineRule="auto"/>
            </w:pPr>
            <w:r w:rsidRPr="008204AC">
              <w:rPr>
                <w:rtl/>
              </w:rPr>
              <w:t xml:space="preserve">البنـد </w:t>
            </w:r>
            <w:r w:rsidR="00497285">
              <w:rPr>
                <w:lang w:val="en-US"/>
              </w:rPr>
              <w:t>(2.1.9)1.9</w:t>
            </w:r>
            <w:r w:rsidRPr="008204AC">
              <w:rPr>
                <w:rtl/>
              </w:rPr>
              <w:t xml:space="preserve"> من جدول الأعمال</w:t>
            </w:r>
          </w:p>
        </w:tc>
      </w:tr>
    </w:tbl>
    <w:p w:rsidR="00534840" w:rsidRPr="00431196" w:rsidRDefault="00790825" w:rsidP="00A85B97">
      <w:pPr>
        <w:pStyle w:val="Normalaftertitle"/>
        <w:rPr>
          <w:rFonts w:eastAsia="SimSun"/>
          <w:rtl/>
        </w:rPr>
      </w:pPr>
      <w:r w:rsidRPr="00431196">
        <w:rPr>
          <w:rFonts w:eastAsia="SimSun"/>
        </w:rPr>
        <w:t>9</w:t>
      </w:r>
      <w:r w:rsidRPr="00431196">
        <w:rPr>
          <w:rFonts w:eastAsia="SimSun" w:hint="cs"/>
          <w:rtl/>
        </w:rPr>
        <w:tab/>
        <w:t xml:space="preserve">النظر في تقرير مدير مكتب الاتصالات الراديوية وإقراره، وفقاً للمادة </w:t>
      </w:r>
      <w:r w:rsidRPr="00431196">
        <w:rPr>
          <w:rFonts w:eastAsia="SimSun"/>
        </w:rPr>
        <w:t>7</w:t>
      </w:r>
      <w:r w:rsidRPr="00431196">
        <w:rPr>
          <w:rFonts w:eastAsia="SimSun" w:hint="cs"/>
          <w:rtl/>
        </w:rPr>
        <w:t xml:space="preserve"> من الاتفاقية:</w:t>
      </w:r>
    </w:p>
    <w:p w:rsidR="00BE4A66" w:rsidRPr="00431196" w:rsidRDefault="00790825" w:rsidP="00775ABE">
      <w:pPr>
        <w:rPr>
          <w:rFonts w:eastAsia="SimSun"/>
          <w:rtl/>
        </w:rPr>
      </w:pPr>
      <w:r w:rsidRPr="00431196">
        <w:rPr>
          <w:rFonts w:eastAsia="SimSun"/>
        </w:rPr>
        <w:t>1.9</w:t>
      </w:r>
      <w:r w:rsidRPr="00431196">
        <w:rPr>
          <w:rFonts w:eastAsia="SimSun" w:hint="cs"/>
          <w:rtl/>
        </w:rPr>
        <w:tab/>
        <w:t xml:space="preserve">بشأن أنشطة قطاع الاتصالات الراديوية منذ المؤتمر العالمي للاتصالات الراديوية لعام </w:t>
      </w:r>
      <w:r w:rsidRPr="00431196">
        <w:rPr>
          <w:rFonts w:eastAsia="SimSun"/>
        </w:rPr>
        <w:t>2012</w:t>
      </w:r>
      <w:r w:rsidRPr="00431196">
        <w:rPr>
          <w:rFonts w:eastAsia="SimSun" w:hint="cs"/>
          <w:rtl/>
        </w:rPr>
        <w:t>؛</w:t>
      </w:r>
    </w:p>
    <w:p w:rsidR="00534840" w:rsidRDefault="00790825" w:rsidP="00790825">
      <w:pPr>
        <w:rPr>
          <w:rFonts w:eastAsia="SimSun"/>
          <w:rtl/>
        </w:rPr>
      </w:pPr>
      <w:r w:rsidRPr="00431196">
        <w:rPr>
          <w:rFonts w:eastAsia="SimSun"/>
          <w:lang w:bidi="ar-SY"/>
        </w:rPr>
        <w:t xml:space="preserve"> (</w:t>
      </w:r>
      <w:r w:rsidRPr="00431196">
        <w:rPr>
          <w:rFonts w:eastAsia="SimSun"/>
        </w:rPr>
        <w:t>2.1.9</w:t>
      </w:r>
      <w:r w:rsidRPr="00431196">
        <w:rPr>
          <w:rFonts w:eastAsia="SimSun"/>
          <w:lang w:bidi="ar-SY"/>
        </w:rPr>
        <w:t>)1.9</w:t>
      </w:r>
      <w:r w:rsidRPr="00431196">
        <w:rPr>
          <w:rFonts w:eastAsia="SimSun"/>
          <w:rtl/>
        </w:rPr>
        <w:tab/>
      </w:r>
      <w:r w:rsidRPr="00431196">
        <w:rPr>
          <w:rFonts w:eastAsia="SimSun" w:hint="cs"/>
          <w:rtl/>
        </w:rPr>
        <w:t>القـرار</w:t>
      </w:r>
      <w:r w:rsidRPr="00431196">
        <w:rPr>
          <w:rFonts w:eastAsia="SimSun"/>
          <w:rtl/>
        </w:rPr>
        <w:t xml:space="preserve"> </w:t>
      </w:r>
      <w:r w:rsidRPr="00431196">
        <w:rPr>
          <w:rFonts w:eastAsia="SimSun"/>
          <w:b/>
          <w:bCs/>
        </w:rPr>
        <w:t>756 (WRC-12)</w:t>
      </w:r>
      <w:r w:rsidRPr="00431196">
        <w:rPr>
          <w:rFonts w:eastAsia="SimSun" w:hint="cs"/>
          <w:b/>
          <w:bCs/>
          <w:rtl/>
        </w:rPr>
        <w:t xml:space="preserve"> </w:t>
      </w:r>
      <w:r w:rsidRPr="00431196">
        <w:rPr>
          <w:rFonts w:eastAsia="SimSun" w:hint="cs"/>
          <w:rtl/>
        </w:rPr>
        <w:t>- دراسات</w:t>
      </w:r>
      <w:r w:rsidRPr="00431196">
        <w:rPr>
          <w:rFonts w:eastAsia="SimSun"/>
          <w:rtl/>
        </w:rPr>
        <w:t xml:space="preserve"> </w:t>
      </w:r>
      <w:r w:rsidRPr="00431196">
        <w:rPr>
          <w:rFonts w:eastAsia="SimSun" w:hint="cs"/>
          <w:rtl/>
        </w:rPr>
        <w:t>بشأن</w:t>
      </w:r>
      <w:r w:rsidRPr="00431196">
        <w:rPr>
          <w:rFonts w:eastAsia="SimSun"/>
          <w:rtl/>
        </w:rPr>
        <w:t xml:space="preserve"> </w:t>
      </w:r>
      <w:r w:rsidRPr="00431196">
        <w:rPr>
          <w:rFonts w:eastAsia="SimSun" w:hint="cs"/>
          <w:rtl/>
        </w:rPr>
        <w:t>إمكانية</w:t>
      </w:r>
      <w:r w:rsidRPr="00431196">
        <w:rPr>
          <w:rFonts w:eastAsia="SimSun"/>
          <w:rtl/>
        </w:rPr>
        <w:t xml:space="preserve"> </w:t>
      </w:r>
      <w:r w:rsidRPr="00431196">
        <w:rPr>
          <w:rFonts w:eastAsia="SimSun" w:hint="cs"/>
          <w:rtl/>
        </w:rPr>
        <w:t>خفض</w:t>
      </w:r>
      <w:r w:rsidRPr="00431196">
        <w:rPr>
          <w:rFonts w:eastAsia="SimSun"/>
          <w:rtl/>
        </w:rPr>
        <w:t xml:space="preserve"> </w:t>
      </w:r>
      <w:r w:rsidRPr="00431196">
        <w:rPr>
          <w:rFonts w:eastAsia="SimSun" w:hint="cs"/>
          <w:rtl/>
        </w:rPr>
        <w:t>قوس</w:t>
      </w:r>
      <w:r w:rsidRPr="00431196">
        <w:rPr>
          <w:rFonts w:eastAsia="SimSun"/>
          <w:rtl/>
        </w:rPr>
        <w:t xml:space="preserve"> </w:t>
      </w:r>
      <w:r w:rsidRPr="00431196">
        <w:rPr>
          <w:rFonts w:eastAsia="SimSun" w:hint="cs"/>
          <w:rtl/>
        </w:rPr>
        <w:t>التنسيق</w:t>
      </w:r>
      <w:r w:rsidRPr="00431196">
        <w:rPr>
          <w:rFonts w:eastAsia="SimSun"/>
          <w:rtl/>
        </w:rPr>
        <w:t xml:space="preserve"> </w:t>
      </w:r>
      <w:r w:rsidRPr="00431196">
        <w:rPr>
          <w:rFonts w:eastAsia="SimSun" w:hint="cs"/>
          <w:rtl/>
        </w:rPr>
        <w:t>والمعايير</w:t>
      </w:r>
      <w:r w:rsidRPr="00431196">
        <w:rPr>
          <w:rFonts w:eastAsia="SimSun"/>
          <w:rtl/>
        </w:rPr>
        <w:t xml:space="preserve"> </w:t>
      </w:r>
      <w:r w:rsidRPr="00431196">
        <w:rPr>
          <w:rFonts w:eastAsia="SimSun" w:hint="cs"/>
          <w:rtl/>
        </w:rPr>
        <w:t>التقنية</w:t>
      </w:r>
      <w:r w:rsidRPr="00431196">
        <w:rPr>
          <w:rFonts w:eastAsia="SimSun"/>
          <w:rtl/>
        </w:rPr>
        <w:t xml:space="preserve"> </w:t>
      </w:r>
      <w:r w:rsidRPr="00431196">
        <w:rPr>
          <w:rFonts w:eastAsia="SimSun" w:hint="cs"/>
          <w:rtl/>
        </w:rPr>
        <w:t>المستخدمة</w:t>
      </w:r>
      <w:r w:rsidRPr="00431196">
        <w:rPr>
          <w:rFonts w:eastAsia="SimSun"/>
          <w:rtl/>
        </w:rPr>
        <w:t xml:space="preserve"> في </w:t>
      </w:r>
      <w:r w:rsidRPr="00431196">
        <w:rPr>
          <w:rFonts w:eastAsia="SimSun" w:hint="cs"/>
          <w:rtl/>
        </w:rPr>
        <w:t>تطبيق</w:t>
      </w:r>
      <w:r w:rsidRPr="00431196">
        <w:rPr>
          <w:rFonts w:eastAsia="SimSun"/>
          <w:rtl/>
        </w:rPr>
        <w:t xml:space="preserve"> </w:t>
      </w:r>
      <w:r w:rsidRPr="00431196">
        <w:rPr>
          <w:rFonts w:eastAsia="SimSun" w:hint="cs"/>
          <w:rtl/>
        </w:rPr>
        <w:t>الرقم</w:t>
      </w:r>
      <w:r>
        <w:rPr>
          <w:rFonts w:eastAsia="SimSun" w:hint="cs"/>
          <w:rtl/>
        </w:rPr>
        <w:t> </w:t>
      </w:r>
      <w:r w:rsidRPr="00431196">
        <w:rPr>
          <w:rFonts w:eastAsia="SimSun"/>
          <w:b/>
          <w:bCs/>
        </w:rPr>
        <w:t>41.9</w:t>
      </w:r>
      <w:r w:rsidRPr="00431196">
        <w:rPr>
          <w:rFonts w:eastAsia="SimSun"/>
          <w:rtl/>
        </w:rPr>
        <w:t xml:space="preserve"> </w:t>
      </w:r>
      <w:r w:rsidRPr="00431196">
        <w:rPr>
          <w:rFonts w:eastAsia="SimSun" w:hint="cs"/>
          <w:rtl/>
        </w:rPr>
        <w:t>فيما</w:t>
      </w:r>
      <w:r w:rsidRPr="00431196">
        <w:rPr>
          <w:rFonts w:eastAsia="SimSun"/>
          <w:rtl/>
        </w:rPr>
        <w:t xml:space="preserve"> </w:t>
      </w:r>
      <w:r w:rsidRPr="00431196">
        <w:rPr>
          <w:rFonts w:eastAsia="SimSun" w:hint="cs"/>
          <w:rtl/>
        </w:rPr>
        <w:t>يتعلق</w:t>
      </w:r>
      <w:r w:rsidRPr="00431196">
        <w:rPr>
          <w:rFonts w:eastAsia="SimSun"/>
          <w:rtl/>
        </w:rPr>
        <w:t xml:space="preserve"> </w:t>
      </w:r>
      <w:r w:rsidRPr="00431196">
        <w:rPr>
          <w:rFonts w:eastAsia="SimSun" w:hint="cs"/>
          <w:rtl/>
        </w:rPr>
        <w:t>بالتنسيق</w:t>
      </w:r>
      <w:r w:rsidRPr="00431196">
        <w:rPr>
          <w:rFonts w:eastAsia="SimSun"/>
          <w:rtl/>
        </w:rPr>
        <w:t xml:space="preserve"> </w:t>
      </w:r>
      <w:r w:rsidRPr="00431196">
        <w:rPr>
          <w:rFonts w:eastAsia="SimSun" w:hint="cs"/>
          <w:rtl/>
        </w:rPr>
        <w:t>بموجب</w:t>
      </w:r>
      <w:r w:rsidRPr="00431196">
        <w:rPr>
          <w:rFonts w:eastAsia="SimSun"/>
          <w:rtl/>
        </w:rPr>
        <w:t xml:space="preserve"> </w:t>
      </w:r>
      <w:r w:rsidRPr="00431196">
        <w:rPr>
          <w:rFonts w:eastAsia="SimSun" w:hint="cs"/>
          <w:rtl/>
        </w:rPr>
        <w:t>الرقم</w:t>
      </w:r>
      <w:r w:rsidRPr="00431196">
        <w:rPr>
          <w:rFonts w:eastAsia="SimSun"/>
          <w:rtl/>
        </w:rPr>
        <w:t xml:space="preserve"> </w:t>
      </w:r>
      <w:r w:rsidRPr="00431196">
        <w:rPr>
          <w:rFonts w:eastAsia="SimSun"/>
          <w:b/>
          <w:bCs/>
        </w:rPr>
        <w:t>7.9</w:t>
      </w:r>
    </w:p>
    <w:p w:rsidR="007E1097" w:rsidRPr="00431196" w:rsidRDefault="007E1097" w:rsidP="00790825">
      <w:pPr>
        <w:rPr>
          <w:rFonts w:eastAsia="SimSun"/>
        </w:rPr>
      </w:pPr>
    </w:p>
    <w:p w:rsidR="00F16602" w:rsidRDefault="007B75BE" w:rsidP="007B75BE">
      <w:pPr>
        <w:pStyle w:val="Headingb"/>
        <w:rPr>
          <w:rtl/>
        </w:rPr>
      </w:pPr>
      <w:r>
        <w:rPr>
          <w:rFonts w:hint="cs"/>
          <w:rtl/>
        </w:rPr>
        <w:t>مقدمة</w:t>
      </w:r>
    </w:p>
    <w:p w:rsidR="007B75BE" w:rsidRPr="007B75BE" w:rsidRDefault="007B75BE" w:rsidP="007B75BE">
      <w:pPr>
        <w:rPr>
          <w:rtl/>
        </w:rPr>
      </w:pPr>
      <w:r w:rsidRPr="007B75BE">
        <w:rPr>
          <w:rFonts w:hint="cs"/>
          <w:rtl/>
        </w:rPr>
        <w:t>يشهد استخدام موارد الطيف والمدار ازدياداً، وتزداد تبعاً لذلك صعوبات نفاذ الشبكات الساتلية الجديدة إلى الطيف. ويتفاقم الوضع بصفة خاصة في بعض نطاقات التردد التي يستخدمها عادةً الكثير من السواتل العاملة، غير أن ثمة صعوبات أيضاً تعزى لوجود العديد من الطلبات لشبكات ساتلية في نطاقات تردد أخرى.</w:t>
      </w:r>
    </w:p>
    <w:p w:rsidR="007B75BE" w:rsidRPr="007B75BE" w:rsidRDefault="007B75BE" w:rsidP="007B75BE">
      <w:pPr>
        <w:rPr>
          <w:rtl/>
        </w:rPr>
      </w:pPr>
      <w:r w:rsidRPr="007B75BE">
        <w:rPr>
          <w:rFonts w:hint="cs"/>
          <w:rtl/>
        </w:rPr>
        <w:t xml:space="preserve">وموارد الطيف والمدار هي </w:t>
      </w:r>
      <w:r w:rsidRPr="007B75BE">
        <w:rPr>
          <w:rtl/>
        </w:rPr>
        <w:t xml:space="preserve">موارد طبيعية محدودة، </w:t>
      </w:r>
      <w:r w:rsidRPr="007B75BE">
        <w:rPr>
          <w:rFonts w:hint="cs"/>
          <w:rtl/>
        </w:rPr>
        <w:t>لذا يتعين</w:t>
      </w:r>
      <w:r w:rsidRPr="007B75BE">
        <w:rPr>
          <w:rtl/>
        </w:rPr>
        <w:t xml:space="preserve"> استعمالها استعمالاً رشيداً وفعالاً واقتصادياً</w:t>
      </w:r>
      <w:r w:rsidRPr="007B75BE">
        <w:rPr>
          <w:rFonts w:hint="cs"/>
          <w:rtl/>
        </w:rPr>
        <w:t>. ولهذه الأسباب يجري السعي لإيجاد طرق محسنّة لاستيعاب شبكات جديدة وفي الوقت ذاته توفير حماية كافية للشبكات القائمة التي تعمل وفقاً للوائح الراديو.</w:t>
      </w:r>
    </w:p>
    <w:p w:rsidR="007B75BE" w:rsidRPr="007B75BE" w:rsidRDefault="007B75BE" w:rsidP="00775ABE">
      <w:pPr>
        <w:rPr>
          <w:rtl/>
        </w:rPr>
      </w:pPr>
      <w:r w:rsidRPr="007B75BE">
        <w:rPr>
          <w:rFonts w:hint="cs"/>
          <w:rtl/>
        </w:rPr>
        <w:t xml:space="preserve">وفي إطار الجهود الرامية لتحسين عملية التنسيق، قرر المؤتمر العالمي للاتصالات الراديوية لعام </w:t>
      </w:r>
      <w:r w:rsidRPr="007B75BE">
        <w:t>2012</w:t>
      </w:r>
      <w:r w:rsidRPr="007B75BE">
        <w:rPr>
          <w:rFonts w:hint="cs"/>
          <w:rtl/>
        </w:rPr>
        <w:t xml:space="preserve"> تقليص قوس التنسيق في نطاقات التردد </w:t>
      </w:r>
      <w:r w:rsidRPr="007B75BE">
        <w:t>GHz 4/6</w:t>
      </w:r>
      <w:r w:rsidRPr="007B75BE">
        <w:rPr>
          <w:rtl/>
        </w:rPr>
        <w:t xml:space="preserve"> و</w:t>
      </w:r>
      <w:r w:rsidRPr="007B75BE">
        <w:t>GHz 12/11/10/14</w:t>
      </w:r>
      <w:r w:rsidRPr="007B75BE">
        <w:rPr>
          <w:rFonts w:hint="cs"/>
          <w:rtl/>
        </w:rPr>
        <w:t xml:space="preserve"> و</w:t>
      </w:r>
      <w:r w:rsidRPr="007B75BE">
        <w:t>GHz 22</w:t>
      </w:r>
      <w:r w:rsidRPr="007B75BE">
        <w:noBreakHyphen/>
        <w:t>21,4</w:t>
      </w:r>
      <w:r w:rsidRPr="007B75BE">
        <w:rPr>
          <w:rFonts w:hint="cs"/>
          <w:rtl/>
        </w:rPr>
        <w:t>. وعلاوةً على ذلك، قرر المؤتمر العالمي للاتصالات الراديوية لعام</w:t>
      </w:r>
      <w:r w:rsidR="00775ABE">
        <w:rPr>
          <w:rFonts w:hint="eastAsia"/>
          <w:rtl/>
        </w:rPr>
        <w:t> </w:t>
      </w:r>
      <w:r w:rsidRPr="007B75BE">
        <w:t>2012</w:t>
      </w:r>
      <w:r w:rsidRPr="007B75BE">
        <w:rPr>
          <w:rFonts w:hint="cs"/>
          <w:rtl/>
        </w:rPr>
        <w:t xml:space="preserve"> مواصلة دارسة هاتين المسألتين في إطار التحضير للمؤتمر العالمي للاتصالات الراديوية لعام </w:t>
      </w:r>
      <w:r w:rsidRPr="007B75BE">
        <w:t>2015</w:t>
      </w:r>
      <w:r w:rsidRPr="007B75BE">
        <w:rPr>
          <w:rFonts w:hint="cs"/>
          <w:rtl/>
        </w:rPr>
        <w:t>، وفي</w:t>
      </w:r>
      <w:r w:rsidRPr="007B75BE">
        <w:rPr>
          <w:rFonts w:hint="eastAsia"/>
          <w:rtl/>
        </w:rPr>
        <w:t> </w:t>
      </w:r>
      <w:r w:rsidRPr="007B75BE">
        <w:rPr>
          <w:rFonts w:hint="cs"/>
          <w:rtl/>
        </w:rPr>
        <w:t>قراره</w:t>
      </w:r>
      <w:r w:rsidRPr="007B75BE">
        <w:rPr>
          <w:rFonts w:hint="eastAsia"/>
          <w:rtl/>
        </w:rPr>
        <w:t> </w:t>
      </w:r>
      <w:r w:rsidRPr="007B75BE">
        <w:rPr>
          <w:b/>
          <w:bCs/>
        </w:rPr>
        <w:t>756 (WRC</w:t>
      </w:r>
      <w:r w:rsidRPr="007B75BE">
        <w:rPr>
          <w:b/>
          <w:bCs/>
        </w:rPr>
        <w:noBreakHyphen/>
        <w:t>12)</w:t>
      </w:r>
      <w:r w:rsidR="00775ABE">
        <w:rPr>
          <w:rFonts w:hint="cs"/>
          <w:b/>
          <w:bCs/>
          <w:rtl/>
        </w:rPr>
        <w:t xml:space="preserve"> </w:t>
      </w:r>
      <w:r w:rsidRPr="007B75BE">
        <w:rPr>
          <w:rFonts w:hint="cs"/>
          <w:i/>
          <w:iCs/>
          <w:rtl/>
        </w:rPr>
        <w:t>يقرر دعوة قطاع الاتصالات الراديوية</w:t>
      </w:r>
      <w:r w:rsidRPr="00A85B97">
        <w:rPr>
          <w:rFonts w:hint="cs"/>
          <w:rtl/>
        </w:rPr>
        <w:t>:</w:t>
      </w:r>
    </w:p>
    <w:p w:rsidR="007B75BE" w:rsidRPr="007B75BE" w:rsidRDefault="007B75BE" w:rsidP="007E1097">
      <w:pPr>
        <w:pStyle w:val="enumlev1"/>
        <w:rPr>
          <w:rtl/>
          <w:lang w:bidi="ar-SY"/>
        </w:rPr>
      </w:pPr>
      <w:r w:rsidRPr="007B75BE">
        <w:rPr>
          <w:rFonts w:hint="cs"/>
          <w:rtl/>
          <w:lang w:bidi="ar-SY"/>
        </w:rPr>
        <w:lastRenderedPageBreak/>
        <w:t>"</w:t>
      </w:r>
      <w:r w:rsidRPr="007B75BE">
        <w:t>1</w:t>
      </w:r>
      <w:r w:rsidRPr="007B75BE">
        <w:tab/>
      </w:r>
      <w:r w:rsidRPr="007B75BE">
        <w:rPr>
          <w:rFonts w:hint="cs"/>
          <w:rtl/>
          <w:lang w:bidi="ar-SY"/>
        </w:rPr>
        <w:t xml:space="preserve">إلى إجراء دراسات لبحث مدى فعالية وملاءمة المعيار العالي </w:t>
      </w:r>
      <w:r w:rsidRPr="007B75BE">
        <w:t>(</w:t>
      </w:r>
      <w:r w:rsidRPr="007B75BE">
        <w:rPr>
          <w:lang w:val="nb-NO"/>
        </w:rPr>
        <w:t>Δ</w:t>
      </w:r>
      <w:r w:rsidRPr="007B75BE">
        <w:rPr>
          <w:i/>
          <w:iCs/>
        </w:rPr>
        <w:t>T</w:t>
      </w:r>
      <w:r w:rsidRPr="007B75BE">
        <w:t>/</w:t>
      </w:r>
      <w:r w:rsidRPr="007B75BE">
        <w:rPr>
          <w:i/>
          <w:iCs/>
        </w:rPr>
        <w:t>T </w:t>
      </w:r>
      <w:r w:rsidRPr="007B75BE">
        <w:t>&gt; </w:t>
      </w:r>
      <w:r w:rsidR="001C7A39" w:rsidRPr="007B75BE">
        <w:t>%</w:t>
      </w:r>
      <w:r w:rsidRPr="007B75BE">
        <w:t>6)</w:t>
      </w:r>
      <w:r w:rsidR="001C7A39">
        <w:rPr>
          <w:rFonts w:hint="cs"/>
          <w:rtl/>
        </w:rPr>
        <w:t xml:space="preserve"> </w:t>
      </w:r>
      <w:r w:rsidRPr="007B75BE">
        <w:rPr>
          <w:rFonts w:hint="cs"/>
          <w:rtl/>
          <w:lang w:bidi="ar-SY"/>
        </w:rPr>
        <w:t>المستخدم في تطبيق الرقم</w:t>
      </w:r>
      <w:r w:rsidR="00BD0C64">
        <w:rPr>
          <w:rFonts w:hint="eastAsia"/>
          <w:rtl/>
          <w:lang w:bidi="ar-SY"/>
        </w:rPr>
        <w:t> </w:t>
      </w:r>
      <w:r w:rsidRPr="007B75BE">
        <w:rPr>
          <w:b/>
          <w:bCs/>
        </w:rPr>
        <w:t>41.9</w:t>
      </w:r>
      <w:r w:rsidRPr="007B75BE">
        <w:rPr>
          <w:rFonts w:hint="cs"/>
          <w:rtl/>
          <w:lang w:bidi="ar-SY"/>
        </w:rPr>
        <w:t xml:space="preserve"> والنظر في أي بدائل ممكنة أخرى (بما في ذلك البدائل الواردة في الملحقين </w:t>
      </w:r>
      <w:r w:rsidRPr="007B75BE">
        <w:t>1</w:t>
      </w:r>
      <w:r w:rsidRPr="007B75BE">
        <w:rPr>
          <w:rFonts w:hint="cs"/>
          <w:rtl/>
          <w:lang w:bidi="ar-SY"/>
        </w:rPr>
        <w:t xml:space="preserve"> و</w:t>
      </w:r>
      <w:r w:rsidRPr="007B75BE">
        <w:t>2</w:t>
      </w:r>
      <w:r w:rsidRPr="007B75BE">
        <w:rPr>
          <w:rFonts w:hint="cs"/>
          <w:rtl/>
          <w:lang w:bidi="ar-SY"/>
        </w:rPr>
        <w:t xml:space="preserve"> بهذا القرار)، حسب الاقتضاء، فيما</w:t>
      </w:r>
      <w:r w:rsidR="007E1097">
        <w:rPr>
          <w:rFonts w:hint="eastAsia"/>
          <w:rtl/>
          <w:lang w:bidi="ar-SY"/>
        </w:rPr>
        <w:t> </w:t>
      </w:r>
      <w:r w:rsidRPr="007B75BE">
        <w:rPr>
          <w:rFonts w:hint="cs"/>
          <w:rtl/>
          <w:lang w:bidi="ar-SY"/>
        </w:rPr>
        <w:t xml:space="preserve">يتعلق بالنطاقات المشار إليها في الفقرة </w:t>
      </w:r>
      <w:r w:rsidRPr="007B75BE">
        <w:rPr>
          <w:rFonts w:hint="cs"/>
          <w:i/>
          <w:iCs/>
          <w:rtl/>
          <w:lang w:bidi="ar-SY"/>
        </w:rPr>
        <w:t>وإذ يدرك ه‍)</w:t>
      </w:r>
      <w:r w:rsidRPr="007B75BE">
        <w:rPr>
          <w:rFonts w:hint="cs"/>
          <w:rtl/>
          <w:lang w:bidi="ar-SY"/>
        </w:rPr>
        <w:t>؛</w:t>
      </w:r>
    </w:p>
    <w:p w:rsidR="007B75BE" w:rsidRPr="007B75BE" w:rsidRDefault="007B75BE" w:rsidP="00545C2B">
      <w:pPr>
        <w:pStyle w:val="enumlev1"/>
        <w:rPr>
          <w:rtl/>
          <w:lang w:bidi="ar-SY"/>
        </w:rPr>
      </w:pPr>
      <w:bookmarkStart w:id="1" w:name="_GoBack"/>
      <w:r w:rsidRPr="007B75BE">
        <w:t>2</w:t>
      </w:r>
      <w:r w:rsidRPr="007B75BE">
        <w:tab/>
      </w:r>
      <w:r w:rsidRPr="007B75BE">
        <w:rPr>
          <w:rFonts w:hint="cs"/>
          <w:rtl/>
          <w:lang w:bidi="ar-SY"/>
        </w:rPr>
        <w:t xml:space="preserve">دراسة ما إذا كان من الملائم إجراء تقليص إضافي في أقواس التنسيق الواردة في التذييل </w:t>
      </w:r>
      <w:r w:rsidRPr="007B75BE">
        <w:rPr>
          <w:b/>
          <w:bCs/>
        </w:rPr>
        <w:t>5 (Rev.WRC</w:t>
      </w:r>
      <w:r w:rsidRPr="007B75BE">
        <w:rPr>
          <w:b/>
          <w:bCs/>
        </w:rPr>
        <w:noBreakHyphen/>
        <w:t>12)</w:t>
      </w:r>
      <w:r w:rsidRPr="007B75BE">
        <w:rPr>
          <w:rFonts w:hint="cs"/>
          <w:rtl/>
          <w:lang w:bidi="ar-SY"/>
        </w:rPr>
        <w:t xml:space="preserve"> للوائح </w:t>
      </w:r>
      <w:bookmarkEnd w:id="1"/>
      <w:r w:rsidRPr="007B75BE">
        <w:rPr>
          <w:rFonts w:hint="cs"/>
          <w:rtl/>
          <w:lang w:bidi="ar-SY"/>
        </w:rPr>
        <w:t xml:space="preserve">الراديو فيما يتعلق بنطاقات التردد </w:t>
      </w:r>
      <w:r w:rsidRPr="007B75BE">
        <w:t>GHz 4/6</w:t>
      </w:r>
      <w:r w:rsidRPr="007B75BE">
        <w:rPr>
          <w:rFonts w:hint="cs"/>
          <w:rtl/>
          <w:lang w:bidi="ar-SY"/>
        </w:rPr>
        <w:t xml:space="preserve"> و</w:t>
      </w:r>
      <w:r w:rsidRPr="007B75BE">
        <w:t>GHz 12/11/10/14</w:t>
      </w:r>
      <w:r w:rsidRPr="007B75BE">
        <w:rPr>
          <w:rFonts w:hint="cs"/>
          <w:rtl/>
          <w:lang w:bidi="ar-SY"/>
        </w:rPr>
        <w:t>، وما إذا كان من الملائم تقليص قوس التنسيق في النطاق</w:t>
      </w:r>
      <w:r w:rsidRPr="007B75BE">
        <w:rPr>
          <w:rFonts w:hint="eastAsia"/>
          <w:rtl/>
          <w:lang w:bidi="ar-SY"/>
        </w:rPr>
        <w:t> </w:t>
      </w:r>
      <w:r w:rsidRPr="007B75BE">
        <w:t>GHz 20/30</w:t>
      </w:r>
      <w:r w:rsidRPr="007B75BE">
        <w:rPr>
          <w:rFonts w:hint="cs"/>
          <w:rtl/>
          <w:lang w:bidi="ar-SY"/>
        </w:rPr>
        <w:t>."</w:t>
      </w:r>
    </w:p>
    <w:p w:rsidR="007B75BE" w:rsidRDefault="00F74CC3" w:rsidP="001C7A39">
      <w:pPr>
        <w:rPr>
          <w:lang w:bidi="ar-EG"/>
        </w:rPr>
      </w:pPr>
      <w:r>
        <w:rPr>
          <w:rtl/>
          <w:lang w:bidi="ar-EG"/>
        </w:rPr>
        <w:t>تدعم ال</w:t>
      </w:r>
      <w:r>
        <w:rPr>
          <w:rFonts w:hint="cs"/>
          <w:rtl/>
          <w:lang w:bidi="ar-EG"/>
        </w:rPr>
        <w:t>إ</w:t>
      </w:r>
      <w:r w:rsidR="007B75BE" w:rsidRPr="007B75BE">
        <w:rPr>
          <w:rtl/>
          <w:lang w:bidi="ar-EG"/>
        </w:rPr>
        <w:t xml:space="preserve">دارة السودانية عدم التغير في لوائح الراديو فيما يتعلق </w:t>
      </w:r>
      <w:r w:rsidR="001C7A39">
        <w:rPr>
          <w:rFonts w:hint="cs"/>
          <w:rtl/>
          <w:lang w:bidi="ar-EG"/>
        </w:rPr>
        <w:t xml:space="preserve">بالفقرتين </w:t>
      </w:r>
      <w:r w:rsidR="001C7A39">
        <w:rPr>
          <w:lang w:bidi="ar-EG"/>
        </w:rPr>
        <w:t>1</w:t>
      </w:r>
      <w:r w:rsidR="001C7A39">
        <w:rPr>
          <w:rFonts w:hint="cs"/>
          <w:rtl/>
          <w:lang w:bidi="ar-EG"/>
        </w:rPr>
        <w:t xml:space="preserve"> و</w:t>
      </w:r>
      <w:r w:rsidR="001C7A39">
        <w:rPr>
          <w:lang w:bidi="ar-EG"/>
        </w:rPr>
        <w:t>2</w:t>
      </w:r>
      <w:r w:rsidR="001C7A39">
        <w:rPr>
          <w:rFonts w:hint="cs"/>
          <w:rtl/>
          <w:lang w:bidi="ar-EG"/>
        </w:rPr>
        <w:t xml:space="preserve"> من </w:t>
      </w:r>
      <w:r w:rsidR="001C7A39">
        <w:rPr>
          <w:rFonts w:hint="cs"/>
          <w:i/>
          <w:iCs/>
          <w:rtl/>
          <w:lang w:bidi="ar-EG"/>
        </w:rPr>
        <w:t>يقرر</w:t>
      </w:r>
      <w:r w:rsidR="00775ABE">
        <w:rPr>
          <w:rFonts w:hint="cs"/>
          <w:rtl/>
          <w:lang w:bidi="ar-EG"/>
        </w:rPr>
        <w:t>.</w:t>
      </w:r>
    </w:p>
    <w:p w:rsidR="00D053B6" w:rsidRPr="00CE01C1" w:rsidRDefault="00790825" w:rsidP="008A015B">
      <w:pPr>
        <w:pStyle w:val="ResNo"/>
        <w:spacing w:before="600" w:after="120"/>
        <w:rPr>
          <w:rtl/>
          <w:lang w:bidi="ar-SA"/>
        </w:rPr>
      </w:pPr>
      <w:bookmarkStart w:id="2" w:name="_Toc327956779"/>
      <w:r>
        <w:rPr>
          <w:rFonts w:hint="cs"/>
          <w:rtl/>
        </w:rPr>
        <w:t xml:space="preserve">القـرار </w:t>
      </w:r>
      <w:r w:rsidRPr="00D053B6">
        <w:t>756</w:t>
      </w:r>
      <w:r w:rsidR="00BD0C64">
        <w:t> </w:t>
      </w:r>
      <w:r w:rsidRPr="00C271CF">
        <w:t>(WRC</w:t>
      </w:r>
      <w:r w:rsidRPr="00C271CF">
        <w:noBreakHyphen/>
        <w:t>12)</w:t>
      </w:r>
      <w:bookmarkEnd w:id="2"/>
    </w:p>
    <w:p w:rsidR="00D053B6" w:rsidRDefault="00790825" w:rsidP="008A015B">
      <w:pPr>
        <w:pStyle w:val="Restitle"/>
        <w:spacing w:before="120" w:after="360"/>
        <w:rPr>
          <w:rtl/>
        </w:rPr>
      </w:pPr>
      <w:bookmarkStart w:id="3" w:name="_Toc327956780"/>
      <w:r>
        <w:rPr>
          <w:rFonts w:hint="cs"/>
          <w:rtl/>
        </w:rPr>
        <w:t>دراسات بشأن</w:t>
      </w:r>
      <w:r>
        <w:rPr>
          <w:rFonts w:hint="cs"/>
          <w:rtl/>
          <w:lang w:bidi="ar-EG"/>
        </w:rPr>
        <w:t xml:space="preserve"> إمكانية خفض قوس التنسيق</w:t>
      </w:r>
      <w:r>
        <w:rPr>
          <w:rFonts w:hint="cs"/>
          <w:rtl/>
        </w:rPr>
        <w:t xml:space="preserve"> و</w:t>
      </w:r>
      <w:r w:rsidRPr="00DA67A4">
        <w:rPr>
          <w:rFonts w:hint="cs"/>
          <w:rtl/>
        </w:rPr>
        <w:t>المعايير</w:t>
      </w:r>
      <w:r>
        <w:rPr>
          <w:rFonts w:hint="cs"/>
          <w:rtl/>
        </w:rPr>
        <w:t xml:space="preserve"> التقنية المستخدمة </w:t>
      </w:r>
      <w:r>
        <w:rPr>
          <w:rtl/>
        </w:rPr>
        <w:br/>
      </w:r>
      <w:r>
        <w:rPr>
          <w:rFonts w:hint="cs"/>
          <w:rtl/>
        </w:rPr>
        <w:t xml:space="preserve">في تطبيق </w:t>
      </w:r>
      <w:r>
        <w:rPr>
          <w:rFonts w:hint="cs"/>
          <w:rtl/>
          <w:lang w:bidi="ar-EG"/>
        </w:rPr>
        <w:t>ال</w:t>
      </w:r>
      <w:r>
        <w:rPr>
          <w:rFonts w:hint="cs"/>
          <w:rtl/>
        </w:rPr>
        <w:t xml:space="preserve">رقم </w:t>
      </w:r>
      <w:r>
        <w:rPr>
          <w:lang w:val="fr-CH"/>
        </w:rPr>
        <w:t>41.9</w:t>
      </w:r>
      <w:r>
        <w:rPr>
          <w:rFonts w:hint="cs"/>
          <w:rtl/>
          <w:lang w:val="fr-CH" w:bidi="ar-EG"/>
        </w:rPr>
        <w:t xml:space="preserve"> فيما يتعلق بالتنسيق بموجب الرقم </w:t>
      </w:r>
      <w:r>
        <w:rPr>
          <w:lang w:val="fr-CH" w:bidi="ar-EG"/>
        </w:rPr>
        <w:t>7.9</w:t>
      </w:r>
      <w:bookmarkEnd w:id="3"/>
    </w:p>
    <w:p w:rsidR="004E41A3" w:rsidRDefault="00790825">
      <w:pPr>
        <w:pStyle w:val="Proposal"/>
      </w:pPr>
      <w:r>
        <w:rPr>
          <w:u w:val="single"/>
        </w:rPr>
        <w:t>NOC</w:t>
      </w:r>
      <w:r>
        <w:tab/>
        <w:t>SDN/86A23A2A1/1</w:t>
      </w:r>
    </w:p>
    <w:p w:rsidR="00D053B6" w:rsidRPr="00576775" w:rsidRDefault="00790825" w:rsidP="00D053B6">
      <w:pPr>
        <w:pStyle w:val="Call"/>
        <w:rPr>
          <w:rtl/>
          <w:lang w:bidi="ar-EG"/>
        </w:rPr>
      </w:pPr>
      <w:r w:rsidRPr="00576775">
        <w:rPr>
          <w:rFonts w:hint="cs"/>
          <w:rtl/>
          <w:lang w:bidi="ar-EG"/>
        </w:rPr>
        <w:t>يقرر دعوة قطاع الاتصالات الراديوية</w:t>
      </w:r>
    </w:p>
    <w:p w:rsidR="00D053B6" w:rsidRDefault="00790825" w:rsidP="00B24A5D">
      <w:pPr>
        <w:rPr>
          <w:rtl/>
          <w:lang w:bidi="ar-EG"/>
        </w:rPr>
      </w:pPr>
      <w:r w:rsidRPr="00BA77CD">
        <w:rPr>
          <w:lang w:bidi="ar-EG"/>
        </w:rPr>
        <w:t>1</w:t>
      </w:r>
      <w:r w:rsidRPr="00BA77CD">
        <w:rPr>
          <w:lang w:bidi="ar-EG"/>
        </w:rPr>
        <w:tab/>
      </w:r>
      <w:r w:rsidRPr="00BA77CD">
        <w:rPr>
          <w:rFonts w:hint="cs"/>
          <w:rtl/>
          <w:lang w:bidi="ar-EG"/>
        </w:rPr>
        <w:t>إلى إجراء</w:t>
      </w:r>
      <w:r w:rsidRPr="00BA77CD">
        <w:rPr>
          <w:rtl/>
          <w:lang w:bidi="ar-EG"/>
        </w:rPr>
        <w:t xml:space="preserve"> دراسات </w:t>
      </w:r>
      <w:r w:rsidRPr="00BA77CD">
        <w:rPr>
          <w:rFonts w:hint="cs"/>
          <w:rtl/>
          <w:lang w:bidi="ar-EG"/>
        </w:rPr>
        <w:t xml:space="preserve">لبحث مدى </w:t>
      </w:r>
      <w:r w:rsidRPr="00BA77CD">
        <w:rPr>
          <w:rtl/>
          <w:lang w:bidi="ar-EG"/>
        </w:rPr>
        <w:t xml:space="preserve">فعالية </w:t>
      </w:r>
      <w:r w:rsidRPr="00BA77CD">
        <w:rPr>
          <w:rFonts w:hint="cs"/>
          <w:rtl/>
          <w:lang w:bidi="ar-EG"/>
        </w:rPr>
        <w:t xml:space="preserve">وملاءمة </w:t>
      </w:r>
      <w:r w:rsidRPr="00BA77CD">
        <w:rPr>
          <w:rtl/>
          <w:lang w:bidi="ar-EG"/>
        </w:rPr>
        <w:t>المع</w:t>
      </w:r>
      <w:r>
        <w:rPr>
          <w:rFonts w:hint="cs"/>
          <w:rtl/>
          <w:lang w:bidi="ar-EG"/>
        </w:rPr>
        <w:t>ي</w:t>
      </w:r>
      <w:r w:rsidRPr="00BA77CD">
        <w:rPr>
          <w:rtl/>
          <w:lang w:bidi="ar-EG"/>
        </w:rPr>
        <w:t>ار الحالي</w:t>
      </w:r>
      <w:r w:rsidRPr="00BA77CD">
        <w:rPr>
          <w:rFonts w:hint="cs"/>
          <w:rtl/>
          <w:lang w:bidi="ar-EG"/>
        </w:rPr>
        <w:t xml:space="preserve"> </w:t>
      </w:r>
      <w:r w:rsidRPr="00BA77CD">
        <w:rPr>
          <w:lang w:bidi="ar-EG"/>
        </w:rPr>
        <w:t>(</w:t>
      </w:r>
      <w:r w:rsidRPr="00421913">
        <w:rPr>
          <w:lang w:bidi="ar-EG"/>
        </w:rPr>
        <w:t>Δ</w:t>
      </w:r>
      <w:r w:rsidRPr="00BA77CD">
        <w:rPr>
          <w:i/>
          <w:iCs/>
          <w:lang w:bidi="ar-EG"/>
        </w:rPr>
        <w:t>T/T</w:t>
      </w:r>
      <w:r w:rsidRPr="00BA77CD">
        <w:rPr>
          <w:lang w:bidi="ar-EG"/>
        </w:rPr>
        <w:t xml:space="preserve"> &gt; </w:t>
      </w:r>
      <w:r w:rsidR="00B24A5D" w:rsidRPr="007B75BE">
        <w:t>%</w:t>
      </w:r>
      <w:r w:rsidRPr="00BA77CD">
        <w:rPr>
          <w:lang w:bidi="ar-EG"/>
        </w:rPr>
        <w:t>6)</w:t>
      </w:r>
      <w:r w:rsidRPr="00BA77CD">
        <w:rPr>
          <w:rFonts w:hint="cs"/>
          <w:rtl/>
        </w:rPr>
        <w:t xml:space="preserve"> </w:t>
      </w:r>
      <w:r w:rsidRPr="00BA77CD">
        <w:rPr>
          <w:rtl/>
          <w:lang w:bidi="ar-EG"/>
        </w:rPr>
        <w:t>المستخدم</w:t>
      </w:r>
      <w:r>
        <w:rPr>
          <w:rtl/>
          <w:lang w:bidi="ar-EG"/>
        </w:rPr>
        <w:t xml:space="preserve"> في </w:t>
      </w:r>
      <w:r w:rsidRPr="00BA77CD">
        <w:rPr>
          <w:rtl/>
          <w:lang w:bidi="ar-EG"/>
        </w:rPr>
        <w:t xml:space="preserve">تطبيق </w:t>
      </w:r>
      <w:r w:rsidRPr="00BA77CD">
        <w:rPr>
          <w:rFonts w:hint="cs"/>
          <w:rtl/>
          <w:lang w:bidi="ar-EG"/>
        </w:rPr>
        <w:t>ال</w:t>
      </w:r>
      <w:r w:rsidRPr="00BA77CD">
        <w:rPr>
          <w:rtl/>
          <w:lang w:bidi="ar-EG"/>
        </w:rPr>
        <w:t>رقم</w:t>
      </w:r>
      <w:r w:rsidRPr="00BA77CD">
        <w:rPr>
          <w:rFonts w:hint="cs"/>
          <w:rtl/>
          <w:lang w:bidi="ar-EG"/>
        </w:rPr>
        <w:t> </w:t>
      </w:r>
      <w:r w:rsidRPr="00BA77CD">
        <w:rPr>
          <w:b/>
          <w:bCs/>
          <w:lang w:bidi="ar-EG"/>
        </w:rPr>
        <w:t>41.9</w:t>
      </w:r>
      <w:r w:rsidRPr="00BA77CD">
        <w:rPr>
          <w:rtl/>
          <w:lang w:bidi="ar-EG"/>
        </w:rPr>
        <w:t xml:space="preserve"> والنظر</w:t>
      </w:r>
      <w:r>
        <w:rPr>
          <w:rtl/>
          <w:lang w:bidi="ar-EG"/>
        </w:rPr>
        <w:t xml:space="preserve"> في </w:t>
      </w:r>
      <w:r w:rsidRPr="00BA77CD">
        <w:rPr>
          <w:rtl/>
          <w:lang w:bidi="ar-EG"/>
        </w:rPr>
        <w:t xml:space="preserve">أي بدائل </w:t>
      </w:r>
      <w:r>
        <w:rPr>
          <w:rFonts w:hint="cs"/>
          <w:rtl/>
          <w:lang w:bidi="ar-EG"/>
        </w:rPr>
        <w:t xml:space="preserve">ممكنة </w:t>
      </w:r>
      <w:r w:rsidRPr="00BA77CD">
        <w:rPr>
          <w:rtl/>
          <w:lang w:bidi="ar-EG"/>
        </w:rPr>
        <w:t>أخرى</w:t>
      </w:r>
      <w:r w:rsidRPr="00BA77CD">
        <w:rPr>
          <w:rFonts w:hint="cs"/>
          <w:rtl/>
          <w:lang w:bidi="ar-EG"/>
        </w:rPr>
        <w:t xml:space="preserve"> (بما</w:t>
      </w:r>
      <w:r>
        <w:rPr>
          <w:rFonts w:hint="cs"/>
          <w:rtl/>
          <w:lang w:bidi="ar-EG"/>
        </w:rPr>
        <w:t xml:space="preserve"> في </w:t>
      </w:r>
      <w:r w:rsidRPr="00BA77CD">
        <w:rPr>
          <w:rFonts w:hint="cs"/>
          <w:rtl/>
          <w:lang w:bidi="ar-EG"/>
        </w:rPr>
        <w:t>ذلك البدائل الواردة</w:t>
      </w:r>
      <w:r>
        <w:rPr>
          <w:rFonts w:hint="cs"/>
          <w:rtl/>
          <w:lang w:bidi="ar-EG"/>
        </w:rPr>
        <w:t xml:space="preserve"> في </w:t>
      </w:r>
      <w:r w:rsidRPr="00BA77CD">
        <w:rPr>
          <w:rFonts w:hint="cs"/>
          <w:rtl/>
          <w:lang w:bidi="ar-EG"/>
        </w:rPr>
        <w:t xml:space="preserve">الملحقين </w:t>
      </w:r>
      <w:r w:rsidRPr="00BA77CD">
        <w:rPr>
          <w:lang w:bidi="ar-EG"/>
        </w:rPr>
        <w:t>1</w:t>
      </w:r>
      <w:r w:rsidRPr="00BA77CD">
        <w:rPr>
          <w:rFonts w:hint="cs"/>
          <w:rtl/>
          <w:lang w:bidi="ar-EG"/>
        </w:rPr>
        <w:t xml:space="preserve"> و</w:t>
      </w:r>
      <w:r w:rsidRPr="00BA77CD">
        <w:rPr>
          <w:lang w:bidi="ar-EG"/>
        </w:rPr>
        <w:t>2</w:t>
      </w:r>
      <w:r w:rsidRPr="00BA77CD">
        <w:rPr>
          <w:rFonts w:hint="cs"/>
          <w:rtl/>
          <w:lang w:bidi="ar-EG"/>
        </w:rPr>
        <w:t xml:space="preserve"> بهذا القرار)، حسب الاقتضاء، </w:t>
      </w:r>
      <w:r>
        <w:rPr>
          <w:rFonts w:hint="cs"/>
          <w:rtl/>
          <w:lang w:bidi="ar-EG"/>
        </w:rPr>
        <w:t>فيما يتعلق بالنطاقات</w:t>
      </w:r>
      <w:r w:rsidRPr="00BA77CD">
        <w:rPr>
          <w:rFonts w:hint="cs"/>
          <w:rtl/>
          <w:lang w:bidi="ar-EG"/>
        </w:rPr>
        <w:t xml:space="preserve"> </w:t>
      </w:r>
      <w:r w:rsidRPr="00BA77CD">
        <w:rPr>
          <w:rtl/>
          <w:lang w:bidi="ar-EG"/>
        </w:rPr>
        <w:t>المشار إليها</w:t>
      </w:r>
      <w:r>
        <w:rPr>
          <w:rtl/>
          <w:lang w:bidi="ar-EG"/>
        </w:rPr>
        <w:t xml:space="preserve"> في </w:t>
      </w:r>
      <w:r w:rsidRPr="00BA77CD">
        <w:rPr>
          <w:rFonts w:hint="cs"/>
          <w:rtl/>
          <w:lang w:bidi="ar-EG"/>
        </w:rPr>
        <w:t xml:space="preserve">الفقرة </w:t>
      </w:r>
      <w:r w:rsidRPr="00BA77CD">
        <w:rPr>
          <w:i/>
          <w:iCs/>
          <w:rtl/>
          <w:lang w:bidi="ar-EG"/>
        </w:rPr>
        <w:t>وإذ يدرك</w:t>
      </w:r>
      <w:r w:rsidRPr="00BA77CD">
        <w:rPr>
          <w:rtl/>
          <w:lang w:bidi="ar-EG"/>
        </w:rPr>
        <w:t xml:space="preserve"> </w:t>
      </w:r>
      <w:r w:rsidRPr="00BA77CD">
        <w:rPr>
          <w:rFonts w:hint="cs"/>
          <w:i/>
          <w:iCs/>
          <w:rtl/>
          <w:lang w:bidi="ar-EG"/>
        </w:rPr>
        <w:t>ه‍</w:t>
      </w:r>
      <w:r w:rsidRPr="00BA77CD">
        <w:rPr>
          <w:i/>
          <w:iCs/>
          <w:rtl/>
          <w:lang w:bidi="ar-EG"/>
        </w:rPr>
        <w:t>)</w:t>
      </w:r>
      <w:r w:rsidRPr="00BA77CD">
        <w:rPr>
          <w:rFonts w:hint="cs"/>
          <w:rtl/>
          <w:lang w:bidi="ar-EG"/>
        </w:rPr>
        <w:t>؛</w:t>
      </w:r>
    </w:p>
    <w:p w:rsidR="004E41A3" w:rsidRDefault="004E41A3">
      <w:pPr>
        <w:pStyle w:val="Reasons"/>
        <w:rPr>
          <w:lang w:bidi="ar-EG"/>
        </w:rPr>
      </w:pPr>
    </w:p>
    <w:p w:rsidR="004E41A3" w:rsidRDefault="00790825">
      <w:pPr>
        <w:pStyle w:val="Proposal"/>
      </w:pPr>
      <w:r>
        <w:rPr>
          <w:u w:val="single"/>
        </w:rPr>
        <w:t>NOC</w:t>
      </w:r>
      <w:r>
        <w:tab/>
        <w:t>SDN/86A23A2A1/2</w:t>
      </w:r>
    </w:p>
    <w:p w:rsidR="00D053B6" w:rsidRPr="00576775" w:rsidRDefault="00790825" w:rsidP="00D053B6">
      <w:pPr>
        <w:pStyle w:val="Call"/>
        <w:rPr>
          <w:rtl/>
          <w:lang w:bidi="ar-EG"/>
        </w:rPr>
      </w:pPr>
      <w:r w:rsidRPr="00576775">
        <w:rPr>
          <w:rFonts w:hint="cs"/>
          <w:rtl/>
          <w:lang w:bidi="ar-EG"/>
        </w:rPr>
        <w:t>يقرر دعوة قطاع الاتصالات الراديوية</w:t>
      </w:r>
    </w:p>
    <w:p w:rsidR="00D053B6" w:rsidRPr="00BA58DD" w:rsidRDefault="00790825" w:rsidP="004954E5">
      <w:pPr>
        <w:rPr>
          <w:spacing w:val="-6"/>
          <w:rtl/>
        </w:rPr>
      </w:pPr>
      <w:r w:rsidRPr="00BA58DD">
        <w:rPr>
          <w:spacing w:val="-6"/>
          <w:lang w:bidi="ar-EG"/>
        </w:rPr>
        <w:t>2</w:t>
      </w:r>
      <w:r w:rsidRPr="00BA58DD">
        <w:rPr>
          <w:spacing w:val="-6"/>
          <w:lang w:bidi="ar-EG"/>
        </w:rPr>
        <w:tab/>
      </w:r>
      <w:r w:rsidRPr="00BA58DD">
        <w:rPr>
          <w:rFonts w:hint="cs"/>
          <w:spacing w:val="-6"/>
          <w:rtl/>
          <w:lang w:bidi="ar-EG"/>
        </w:rPr>
        <w:t>دراسة ما إذا كان من الملائم إجراء خفض إضافي في أقواس التنسيق الواردة في التذييل</w:t>
      </w:r>
      <w:r w:rsidRPr="00BA58DD">
        <w:rPr>
          <w:rFonts w:hint="eastAsia"/>
          <w:spacing w:val="-6"/>
          <w:rtl/>
          <w:lang w:bidi="ar-EG"/>
        </w:rPr>
        <w:t> </w:t>
      </w:r>
      <w:r w:rsidRPr="00BA58DD">
        <w:rPr>
          <w:b/>
          <w:bCs/>
          <w:spacing w:val="-6"/>
          <w:lang w:bidi="ar-EG"/>
        </w:rPr>
        <w:t>5 (</w:t>
      </w:r>
      <w:r>
        <w:rPr>
          <w:b/>
          <w:bCs/>
          <w:spacing w:val="-6"/>
          <w:lang w:bidi="ar-EG"/>
        </w:rPr>
        <w:t>Rev.</w:t>
      </w:r>
      <w:r w:rsidRPr="00BA58DD">
        <w:rPr>
          <w:b/>
          <w:bCs/>
          <w:spacing w:val="-6"/>
          <w:lang w:bidi="ar-EG"/>
        </w:rPr>
        <w:t>WRC</w:t>
      </w:r>
      <w:r w:rsidRPr="00BA58DD">
        <w:rPr>
          <w:b/>
          <w:bCs/>
          <w:spacing w:val="-6"/>
          <w:lang w:bidi="ar-EG"/>
        </w:rPr>
        <w:noBreakHyphen/>
        <w:t>12)</w:t>
      </w:r>
      <w:r w:rsidRPr="00BA58DD">
        <w:rPr>
          <w:rFonts w:hint="cs"/>
          <w:spacing w:val="-6"/>
          <w:rtl/>
          <w:lang w:bidi="ar-EG"/>
        </w:rPr>
        <w:t xml:space="preserve"> من لوائح الراديو </w:t>
      </w:r>
      <w:r>
        <w:rPr>
          <w:rFonts w:hint="cs"/>
          <w:spacing w:val="-6"/>
          <w:rtl/>
          <w:lang w:bidi="ar-EG"/>
        </w:rPr>
        <w:t>فيما يتعلق بنطاقات التردد</w:t>
      </w:r>
      <w:r w:rsidRPr="00BA58DD">
        <w:rPr>
          <w:rFonts w:hint="cs"/>
          <w:spacing w:val="-6"/>
          <w:rtl/>
          <w:lang w:bidi="ar-EG"/>
        </w:rPr>
        <w:t xml:space="preserve"> </w:t>
      </w:r>
      <w:r w:rsidRPr="00BA58DD">
        <w:rPr>
          <w:spacing w:val="-6"/>
          <w:lang w:bidi="ar-EG"/>
        </w:rPr>
        <w:t>GHz 4/6</w:t>
      </w:r>
      <w:r w:rsidRPr="00BA58DD">
        <w:rPr>
          <w:rFonts w:hint="cs"/>
          <w:spacing w:val="-6"/>
          <w:rtl/>
          <w:lang w:bidi="ar-EG"/>
        </w:rPr>
        <w:t xml:space="preserve"> و</w:t>
      </w:r>
      <w:r w:rsidRPr="00BA58DD">
        <w:rPr>
          <w:spacing w:val="-6"/>
          <w:lang w:bidi="ar-EG"/>
        </w:rPr>
        <w:t>GHz 12/11/10/14</w:t>
      </w:r>
      <w:r w:rsidRPr="00BA58DD">
        <w:rPr>
          <w:rFonts w:hint="cs"/>
          <w:spacing w:val="-6"/>
          <w:rtl/>
          <w:lang w:bidi="ar-EG"/>
        </w:rPr>
        <w:t xml:space="preserve"> وما إذا كان من الملائم خفض قوس التنسيق في </w:t>
      </w:r>
      <w:r>
        <w:rPr>
          <w:rFonts w:hint="cs"/>
          <w:spacing w:val="-6"/>
          <w:rtl/>
          <w:lang w:bidi="ar-EG"/>
        </w:rPr>
        <w:t>النطاقات</w:t>
      </w:r>
      <w:r w:rsidRPr="00BA58DD">
        <w:rPr>
          <w:rFonts w:hint="cs"/>
          <w:spacing w:val="-6"/>
          <w:rtl/>
          <w:lang w:bidi="ar-EG"/>
        </w:rPr>
        <w:t xml:space="preserve"> </w:t>
      </w:r>
      <w:r w:rsidRPr="00BA58DD">
        <w:rPr>
          <w:spacing w:val="-6"/>
          <w:lang w:bidi="ar-EG"/>
        </w:rPr>
        <w:t>GHz 20/30</w:t>
      </w:r>
      <w:r w:rsidRPr="00BA58DD">
        <w:rPr>
          <w:rFonts w:hint="cs"/>
          <w:spacing w:val="-6"/>
          <w:rtl/>
          <w:lang w:bidi="ar-EG"/>
        </w:rPr>
        <w:t>،</w:t>
      </w:r>
    </w:p>
    <w:p w:rsidR="004E41A3" w:rsidRDefault="004E41A3">
      <w:pPr>
        <w:pStyle w:val="Reasons"/>
        <w:rPr>
          <w:rtl/>
        </w:rPr>
      </w:pPr>
    </w:p>
    <w:p w:rsidR="008F27A2" w:rsidRPr="008F27A2" w:rsidRDefault="008F27A2" w:rsidP="008A7039">
      <w:pPr>
        <w:jc w:val="center"/>
      </w:pPr>
      <w:r>
        <w:rPr>
          <w:rtl/>
        </w:rPr>
        <w:t>___________</w:t>
      </w:r>
    </w:p>
    <w:sectPr w:rsidR="008F27A2" w:rsidRPr="008F27A2">
      <w:headerReference w:type="even" r:id="rId13"/>
      <w:headerReference w:type="default" r:id="rId14"/>
      <w:footerReference w:type="default" r:id="rId15"/>
      <w:footerReference w:type="first" r:id="rId16"/>
      <w:type w:val="oddPage"/>
      <w:pgSz w:w="11907" w:h="16834" w:code="9"/>
      <w:pgMar w:top="1418"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DC24CA" w:rsidRDefault="00281F5F" w:rsidP="00BD0C64">
    <w:pPr>
      <w:pStyle w:val="Footer"/>
      <w:tabs>
        <w:tab w:val="clear" w:pos="5812"/>
        <w:tab w:val="left" w:pos="6379"/>
      </w:tabs>
    </w:pPr>
    <w:r w:rsidRPr="00CB4300">
      <w:fldChar w:fldCharType="begin"/>
    </w:r>
    <w:r w:rsidRPr="00DC24CA">
      <w:instrText xml:space="preserve"> FILENAME \p \* MERGEFORMAT </w:instrText>
    </w:r>
    <w:r w:rsidRPr="00CB4300">
      <w:fldChar w:fldCharType="separate"/>
    </w:r>
    <w:r w:rsidR="007E1097">
      <w:rPr>
        <w:noProof/>
      </w:rPr>
      <w:t>P:\ARA\ITU-R\CONF-R\CMR15\000\086ADD23ADD01ADD02A.docx</w:t>
    </w:r>
    <w:r w:rsidRPr="00CB4300">
      <w:fldChar w:fldCharType="end"/>
    </w:r>
    <w:r w:rsidRPr="00DC24CA">
      <w:t xml:space="preserve">  (</w:t>
    </w:r>
    <w:r w:rsidR="00BD0C64">
      <w:rPr>
        <w:rFonts w:hint="cs"/>
        <w:rtl/>
      </w:rPr>
      <w:t>389370</w:t>
    </w:r>
    <w:r w:rsidRPr="00DC24CA">
      <w:t>)</w:t>
    </w:r>
    <w:r w:rsidRPr="00DC24CA">
      <w:tab/>
    </w:r>
    <w:r w:rsidRPr="00CB4300">
      <w:fldChar w:fldCharType="begin"/>
    </w:r>
    <w:r w:rsidRPr="00CB4300">
      <w:instrText xml:space="preserve"> savedate \@ dd.MM.yy </w:instrText>
    </w:r>
    <w:r w:rsidRPr="00CB4300">
      <w:fldChar w:fldCharType="separate"/>
    </w:r>
    <w:r w:rsidR="007E1097">
      <w:rPr>
        <w:noProof/>
      </w:rPr>
      <w:t>28.10.15</w:t>
    </w:r>
    <w:r w:rsidRPr="00CB4300">
      <w:fldChar w:fldCharType="end"/>
    </w:r>
    <w:r w:rsidRPr="00DC24CA">
      <w:tab/>
    </w:r>
    <w:r w:rsidRPr="00CB4300">
      <w:fldChar w:fldCharType="begin"/>
    </w:r>
    <w:r w:rsidRPr="00CB4300">
      <w:instrText xml:space="preserve"> printdate \@ dd.MM.yy </w:instrText>
    </w:r>
    <w:r w:rsidRPr="00CB4300">
      <w:fldChar w:fldCharType="separate"/>
    </w:r>
    <w:r w:rsidR="007E1097">
      <w:rPr>
        <w:noProof/>
      </w:rPr>
      <w:t>07.11.11</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DC24CA" w:rsidRDefault="00281F5F" w:rsidP="00BD0C64">
    <w:pPr>
      <w:pStyle w:val="Footer"/>
      <w:tabs>
        <w:tab w:val="clear" w:pos="5812"/>
        <w:tab w:val="left" w:pos="6379"/>
      </w:tabs>
    </w:pPr>
    <w:r>
      <w:fldChar w:fldCharType="begin"/>
    </w:r>
    <w:r w:rsidRPr="00DC24CA">
      <w:instrText xml:space="preserve"> FILENAME \p \* MERGEFORMAT </w:instrText>
    </w:r>
    <w:r>
      <w:fldChar w:fldCharType="separate"/>
    </w:r>
    <w:r w:rsidR="007E1097">
      <w:rPr>
        <w:noProof/>
      </w:rPr>
      <w:t>P:\ARA\ITU-R\CONF-R\CMR15\000\086ADD23ADD01ADD02A.docx</w:t>
    </w:r>
    <w:r>
      <w:fldChar w:fldCharType="end"/>
    </w:r>
    <w:r w:rsidRPr="00DC24CA">
      <w:t xml:space="preserve">   (</w:t>
    </w:r>
    <w:r w:rsidR="00BD0C64">
      <w:rPr>
        <w:rFonts w:hint="cs"/>
        <w:rtl/>
      </w:rPr>
      <w:t>389370</w:t>
    </w:r>
    <w:r w:rsidRPr="00DC24CA">
      <w:t>)</w:t>
    </w:r>
    <w:r w:rsidRPr="00DC24CA">
      <w:tab/>
    </w:r>
    <w:r w:rsidRPr="00B12661">
      <w:fldChar w:fldCharType="begin"/>
    </w:r>
    <w:r w:rsidRPr="00B12661">
      <w:instrText xml:space="preserve"> savedate \@ dd.MM.yy </w:instrText>
    </w:r>
    <w:r w:rsidRPr="00B12661">
      <w:fldChar w:fldCharType="separate"/>
    </w:r>
    <w:r w:rsidR="007E1097">
      <w:rPr>
        <w:noProof/>
      </w:rPr>
      <w:t>28.10.15</w:t>
    </w:r>
    <w:r w:rsidRPr="00B12661">
      <w:fldChar w:fldCharType="end"/>
    </w:r>
    <w:r w:rsidRPr="00DC24CA">
      <w:tab/>
    </w:r>
    <w:r w:rsidRPr="00B12661">
      <w:fldChar w:fldCharType="begin"/>
    </w:r>
    <w:r w:rsidRPr="00B12661">
      <w:instrText xml:space="preserve"> printdate \@ dd.MM.yy </w:instrText>
    </w:r>
    <w:r w:rsidRPr="00B12661">
      <w:fldChar w:fldCharType="separate"/>
    </w:r>
    <w:r w:rsidR="007E1097">
      <w:rPr>
        <w:noProof/>
      </w:rPr>
      <w:t>07.11.11</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7E109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7E1097">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86(Add.23)(Add.</w:t>
    </w:r>
    <w:r w:rsidR="007E1097">
      <w:rPr>
        <w:rStyle w:val="PageNumber"/>
      </w:rPr>
      <w:t>1</w:t>
    </w:r>
    <w:r w:rsidR="00554AE7">
      <w:rPr>
        <w:rStyle w:val="PageNumber"/>
      </w:rPr>
      <w:t>)(Add.</w:t>
    </w:r>
    <w:r w:rsidR="007E1097">
      <w:rPr>
        <w:rStyle w:val="PageNumber"/>
      </w:rPr>
      <w:t>2</w:t>
    </w:r>
    <w:r w:rsidR="00554AE7">
      <w:rPr>
        <w:rStyle w:val="PageNumber"/>
      </w:rPr>
      <w:t>)-</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903B2"/>
    <w:rsid w:val="001C7A39"/>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194"/>
    <w:rsid w:val="002919E1"/>
    <w:rsid w:val="00295917"/>
    <w:rsid w:val="00296071"/>
    <w:rsid w:val="002A4572"/>
    <w:rsid w:val="002A7E2E"/>
    <w:rsid w:val="002B16D8"/>
    <w:rsid w:val="002D5F64"/>
    <w:rsid w:val="002D6FBF"/>
    <w:rsid w:val="002E48BF"/>
    <w:rsid w:val="002E61C2"/>
    <w:rsid w:val="0033737F"/>
    <w:rsid w:val="00353652"/>
    <w:rsid w:val="003569E1"/>
    <w:rsid w:val="003815E2"/>
    <w:rsid w:val="00381FAD"/>
    <w:rsid w:val="00382A66"/>
    <w:rsid w:val="003923B1"/>
    <w:rsid w:val="003965FE"/>
    <w:rsid w:val="003A6AB4"/>
    <w:rsid w:val="003B27AD"/>
    <w:rsid w:val="003B4F23"/>
    <w:rsid w:val="003C12F6"/>
    <w:rsid w:val="003C3A13"/>
    <w:rsid w:val="003E02EF"/>
    <w:rsid w:val="003E1608"/>
    <w:rsid w:val="003E1D90"/>
    <w:rsid w:val="00400CD4"/>
    <w:rsid w:val="004147B9"/>
    <w:rsid w:val="00422C04"/>
    <w:rsid w:val="00426144"/>
    <w:rsid w:val="00461FA7"/>
    <w:rsid w:val="00470CBD"/>
    <w:rsid w:val="0047407D"/>
    <w:rsid w:val="004909DD"/>
    <w:rsid w:val="00497285"/>
    <w:rsid w:val="004A05E6"/>
    <w:rsid w:val="004A6C66"/>
    <w:rsid w:val="004A7AA0"/>
    <w:rsid w:val="004C11BC"/>
    <w:rsid w:val="004D4AE6"/>
    <w:rsid w:val="004E34FA"/>
    <w:rsid w:val="004E41A3"/>
    <w:rsid w:val="004F2662"/>
    <w:rsid w:val="00505FCA"/>
    <w:rsid w:val="00510C2D"/>
    <w:rsid w:val="005169F4"/>
    <w:rsid w:val="005210D1"/>
    <w:rsid w:val="00523146"/>
    <w:rsid w:val="00523275"/>
    <w:rsid w:val="00531DC7"/>
    <w:rsid w:val="005350B0"/>
    <w:rsid w:val="00545C2B"/>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315B5"/>
    <w:rsid w:val="00651343"/>
    <w:rsid w:val="0065562F"/>
    <w:rsid w:val="00680A66"/>
    <w:rsid w:val="00681391"/>
    <w:rsid w:val="006A12AC"/>
    <w:rsid w:val="006A2162"/>
    <w:rsid w:val="006B0D94"/>
    <w:rsid w:val="006B4B90"/>
    <w:rsid w:val="006B658C"/>
    <w:rsid w:val="006D2674"/>
    <w:rsid w:val="006E38D0"/>
    <w:rsid w:val="006E465B"/>
    <w:rsid w:val="006F70BF"/>
    <w:rsid w:val="00716B1D"/>
    <w:rsid w:val="00724238"/>
    <w:rsid w:val="007248EC"/>
    <w:rsid w:val="00731150"/>
    <w:rsid w:val="00736DCC"/>
    <w:rsid w:val="00741855"/>
    <w:rsid w:val="00742B73"/>
    <w:rsid w:val="00751251"/>
    <w:rsid w:val="007610E7"/>
    <w:rsid w:val="00764079"/>
    <w:rsid w:val="00770AA0"/>
    <w:rsid w:val="00771F7E"/>
    <w:rsid w:val="00773E9C"/>
    <w:rsid w:val="00775ABE"/>
    <w:rsid w:val="00776F6B"/>
    <w:rsid w:val="00777694"/>
    <w:rsid w:val="00786A7E"/>
    <w:rsid w:val="00790825"/>
    <w:rsid w:val="007A0802"/>
    <w:rsid w:val="007B1FCA"/>
    <w:rsid w:val="007B75BE"/>
    <w:rsid w:val="007C2C12"/>
    <w:rsid w:val="007C3CFA"/>
    <w:rsid w:val="007E0E8B"/>
    <w:rsid w:val="007E1097"/>
    <w:rsid w:val="007F08CA"/>
    <w:rsid w:val="007F7FC3"/>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015B"/>
    <w:rsid w:val="008A1137"/>
    <w:rsid w:val="008A1788"/>
    <w:rsid w:val="008A4185"/>
    <w:rsid w:val="008A6552"/>
    <w:rsid w:val="008A7039"/>
    <w:rsid w:val="008B4E93"/>
    <w:rsid w:val="008D4F14"/>
    <w:rsid w:val="008D6ACC"/>
    <w:rsid w:val="008D7AF0"/>
    <w:rsid w:val="008E32DD"/>
    <w:rsid w:val="008F27A2"/>
    <w:rsid w:val="008F4626"/>
    <w:rsid w:val="009004DF"/>
    <w:rsid w:val="00904AA5"/>
    <w:rsid w:val="00905D21"/>
    <w:rsid w:val="00951718"/>
    <w:rsid w:val="00954CCB"/>
    <w:rsid w:val="00960962"/>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66D2B"/>
    <w:rsid w:val="00A83981"/>
    <w:rsid w:val="00A85B97"/>
    <w:rsid w:val="00A870AD"/>
    <w:rsid w:val="00A90843"/>
    <w:rsid w:val="00A9645C"/>
    <w:rsid w:val="00AB2A33"/>
    <w:rsid w:val="00AC1275"/>
    <w:rsid w:val="00AC7395"/>
    <w:rsid w:val="00AD690F"/>
    <w:rsid w:val="00AD69DD"/>
    <w:rsid w:val="00AD706D"/>
    <w:rsid w:val="00AF41D1"/>
    <w:rsid w:val="00B01623"/>
    <w:rsid w:val="00B033DF"/>
    <w:rsid w:val="00B07CEE"/>
    <w:rsid w:val="00B12661"/>
    <w:rsid w:val="00B1714C"/>
    <w:rsid w:val="00B24A5D"/>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0C6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4CA"/>
    <w:rsid w:val="00DC29DD"/>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F055F8"/>
    <w:rsid w:val="00F10CB4"/>
    <w:rsid w:val="00F11B3D"/>
    <w:rsid w:val="00F14763"/>
    <w:rsid w:val="00F16212"/>
    <w:rsid w:val="00F16602"/>
    <w:rsid w:val="00F25B80"/>
    <w:rsid w:val="00F2685F"/>
    <w:rsid w:val="00F350C8"/>
    <w:rsid w:val="00F74CC3"/>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1577EAA-CF3F-4DAF-84B3-FAE7AA3A3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R15-WRC15-C-0086!A23-A2-A1!MSW-A</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CCF2B4D1-2F1C-45E9-9F1D-C59BA00BAAEA}">
  <ds:schemaRefs>
    <ds:schemaRef ds:uri="http://schemas.microsoft.com/office/infopath/2007/PartnerControls"/>
    <ds:schemaRef ds:uri="http://schemas.microsoft.com/office/2006/metadata/properties"/>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 ds:uri="32a1a8c5-2265-4ebc-b7a0-2071e2c5c9bb"/>
    <ds:schemaRef ds:uri="996b2e75-67fd-4955-a3b0-5ab9934cb50b"/>
    <ds:schemaRef ds:uri="http://purl.org/dc/terms/"/>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4024079-B85E-4137-B2DC-19FAD861C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455</Words>
  <Characters>2425</Characters>
  <Application>Microsoft Office Word</Application>
  <DocSecurity>0</DocSecurity>
  <Lines>83</Lines>
  <Paragraphs>65</Paragraphs>
  <ScaleCrop>false</ScaleCrop>
  <HeadingPairs>
    <vt:vector size="2" baseType="variant">
      <vt:variant>
        <vt:lpstr>Title</vt:lpstr>
      </vt:variant>
      <vt:variant>
        <vt:i4>1</vt:i4>
      </vt:variant>
    </vt:vector>
  </HeadingPairs>
  <TitlesOfParts>
    <vt:vector size="1" baseType="lpstr">
      <vt:lpstr>R15-WRC15-C-0086!A23-A2-A1!MSW-A</vt:lpstr>
    </vt:vector>
  </TitlesOfParts>
  <Manager>General Secretariat - Pool</Manager>
  <Company>International Telecommunication Union (ITU)</Company>
  <LinksUpToDate>false</LinksUpToDate>
  <CharactersWithSpaces>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R15-WRC15-C-0086!A23-A2-A1!MSW-A</dc:title>
  <dc:creator>Documents Proposals Manager (DPM)</dc:creator>
  <cp:keywords>DPM_v5.2015.10.15_prod</cp:keywords>
  <cp:lastModifiedBy>Awad, Samy</cp:lastModifiedBy>
  <cp:revision>16</cp:revision>
  <cp:lastPrinted>2011-11-07T13:53:00Z</cp:lastPrinted>
  <dcterms:created xsi:type="dcterms:W3CDTF">2015-10-21T14:29:00Z</dcterms:created>
  <dcterms:modified xsi:type="dcterms:W3CDTF">2015-10-29T17:06:00Z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