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4511A0" w:rsidRDefault="006D4724" w:rsidP="00BA5BD0">
            <w:pPr>
              <w:spacing w:before="0"/>
              <w:rPr>
                <w:rFonts w:ascii="Verdana" w:hAnsi="Verdana"/>
                <w:sz w:val="20"/>
                <w:lang w:val="fr-CH"/>
              </w:rPr>
            </w:pPr>
            <w:r w:rsidRPr="004511A0">
              <w:rPr>
                <w:rFonts w:ascii="Verdana" w:eastAsia="SimSun" w:hAnsi="Verdana" w:cs="Traditional Arabic"/>
                <w:b/>
                <w:sz w:val="20"/>
                <w:lang w:val="fr-CH"/>
              </w:rPr>
              <w:t>Addendum 11 au</w:t>
            </w:r>
            <w:r w:rsidRPr="004511A0">
              <w:rPr>
                <w:rFonts w:ascii="Verdana" w:eastAsia="SimSun" w:hAnsi="Verdana" w:cs="Traditional Arabic"/>
                <w:b/>
                <w:sz w:val="20"/>
                <w:lang w:val="fr-CH"/>
              </w:rPr>
              <w:br/>
              <w:t>Document 86(Add.21)</w:t>
            </w:r>
            <w:r w:rsidR="00BB1D82" w:rsidRPr="004511A0">
              <w:rPr>
                <w:rFonts w:ascii="Verdana" w:hAnsi="Verdana"/>
                <w:b/>
                <w:sz w:val="20"/>
                <w:lang w:val="fr-CH"/>
              </w:rPr>
              <w:t>-</w:t>
            </w:r>
            <w:r w:rsidRPr="004511A0">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4511A0"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Soudan (République du)</w:t>
            </w:r>
          </w:p>
        </w:tc>
      </w:tr>
      <w:tr w:rsidR="00690C7B" w:rsidRPr="002A6F8F" w:rsidTr="0050008E">
        <w:trPr>
          <w:cantSplit/>
        </w:trPr>
        <w:tc>
          <w:tcPr>
            <w:tcW w:w="10031" w:type="dxa"/>
            <w:gridSpan w:val="2"/>
          </w:tcPr>
          <w:p w:rsidR="00690C7B" w:rsidRPr="004511A0" w:rsidRDefault="004511A0" w:rsidP="00690C7B">
            <w:pPr>
              <w:pStyle w:val="Title1"/>
              <w:rPr>
                <w:lang w:val="fr-CH"/>
              </w:rPr>
            </w:pPr>
            <w:bookmarkStart w:id="4" w:name="dtitle1" w:colFirst="0" w:colLast="0"/>
            <w:bookmarkEnd w:id="3"/>
            <w:r w:rsidRPr="004511A0">
              <w:rPr>
                <w:lang w:val="fr-CH"/>
              </w:rPr>
              <w:t>Propositions pour les travaux de la conférence</w:t>
            </w:r>
          </w:p>
        </w:tc>
      </w:tr>
      <w:tr w:rsidR="00690C7B" w:rsidRPr="002A6F8F" w:rsidTr="0050008E">
        <w:trPr>
          <w:cantSplit/>
        </w:trPr>
        <w:tc>
          <w:tcPr>
            <w:tcW w:w="10031" w:type="dxa"/>
            <w:gridSpan w:val="2"/>
          </w:tcPr>
          <w:p w:rsidR="00690C7B" w:rsidRPr="004511A0"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7(K) de l'ordre du jour</w:t>
            </w:r>
          </w:p>
        </w:tc>
      </w:tr>
    </w:tbl>
    <w:bookmarkEnd w:id="6"/>
    <w:p w:rsidR="001C0E40" w:rsidRPr="00EC691D" w:rsidRDefault="009E758E"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44947" w:rsidRDefault="009E758E" w:rsidP="000C3CB0">
      <w:pPr>
        <w:rPr>
          <w:lang w:val="fr-CH"/>
        </w:rPr>
      </w:pPr>
      <w:r>
        <w:rPr>
          <w:lang w:val="fr-CH"/>
        </w:rPr>
        <w:t xml:space="preserve">7(K) </w:t>
      </w:r>
      <w:r>
        <w:rPr>
          <w:lang w:val="fr-CH"/>
        </w:rPr>
        <w:tab/>
      </w:r>
      <w:r w:rsidRPr="000C3CB0">
        <w:rPr>
          <w:lang w:val="fr-CH"/>
        </w:rPr>
        <w:t>Question K – Adjonction d'une disposition réglementaire dans l'Article </w:t>
      </w:r>
      <w:r w:rsidRPr="00A57B3B">
        <w:rPr>
          <w:b/>
          <w:bCs/>
          <w:lang w:val="fr-CH"/>
        </w:rPr>
        <w:t>11</w:t>
      </w:r>
      <w:r w:rsidRPr="000C3CB0">
        <w:rPr>
          <w:lang w:val="fr-CH"/>
        </w:rPr>
        <w:t xml:space="preserve"> du RR concernant les cas d'échec de lancement</w:t>
      </w:r>
    </w:p>
    <w:p w:rsidR="003A583E" w:rsidRDefault="004511A0" w:rsidP="004511A0">
      <w:pPr>
        <w:pStyle w:val="Headingb"/>
      </w:pPr>
      <w:r>
        <w:t>Introduction</w:t>
      </w:r>
    </w:p>
    <w:p w:rsidR="004511A0" w:rsidRPr="00216D54" w:rsidRDefault="004511A0" w:rsidP="00216D54">
      <w:pPr>
        <w:spacing w:before="80"/>
        <w:rPr>
          <w:noProof/>
          <w:spacing w:val="-3"/>
          <w:lang w:val="fr-CH"/>
        </w:rPr>
      </w:pPr>
      <w:r w:rsidRPr="00216D54">
        <w:rPr>
          <w:noProof/>
          <w:spacing w:val="-3"/>
          <w:lang w:val="fr-CH"/>
        </w:rPr>
        <w:t xml:space="preserve">Pour respecter les numéros </w:t>
      </w:r>
      <w:r w:rsidRPr="00216D54">
        <w:rPr>
          <w:b/>
          <w:bCs/>
          <w:noProof/>
          <w:spacing w:val="-3"/>
          <w:lang w:val="fr-CH"/>
        </w:rPr>
        <w:t>11.44B</w:t>
      </w:r>
      <w:r w:rsidRPr="00216D54">
        <w:rPr>
          <w:noProof/>
          <w:spacing w:val="-3"/>
          <w:lang w:val="fr-CH"/>
        </w:rPr>
        <w:t xml:space="preserve"> et </w:t>
      </w:r>
      <w:r w:rsidRPr="00216D54">
        <w:rPr>
          <w:b/>
          <w:bCs/>
          <w:noProof/>
          <w:spacing w:val="-3"/>
          <w:lang w:val="fr-CH"/>
        </w:rPr>
        <w:t>11.49</w:t>
      </w:r>
      <w:r w:rsidRPr="00216D54">
        <w:rPr>
          <w:noProof/>
          <w:spacing w:val="-3"/>
          <w:lang w:val="fr-CH"/>
        </w:rPr>
        <w:t xml:space="preserve"> du RR, l'assignation de fréquence sera mise en service (et remise en service) avant la fin du délai réglementaire applicable. Pour le Bureau et les administrations, la mise en service et la remise en service signifient qu'une station spatiale sur l'orbite des satellites géostationnaires a été déployée à la position orbitale notifiée pendant une période continue de 90 jours.</w:t>
      </w:r>
    </w:p>
    <w:p w:rsidR="004511A0" w:rsidRDefault="004511A0" w:rsidP="00216D54">
      <w:pPr>
        <w:spacing w:before="80"/>
        <w:rPr>
          <w:noProof/>
          <w:lang w:val="fr-CH"/>
        </w:rPr>
      </w:pPr>
      <w:r w:rsidRPr="00AD1860">
        <w:rPr>
          <w:noProof/>
          <w:lang w:val="fr-CH"/>
        </w:rPr>
        <w:t>Le cas d</w:t>
      </w:r>
      <w:r>
        <w:rPr>
          <w:noProof/>
          <w:lang w:val="fr-CH"/>
        </w:rPr>
        <w:t xml:space="preserve">'un </w:t>
      </w:r>
      <w:r w:rsidRPr="00AD1860">
        <w:rPr>
          <w:noProof/>
          <w:lang w:val="fr-CH"/>
        </w:rPr>
        <w:t xml:space="preserve">échec de lancement se produisant avant le début de la période prévue pour la mise en service ou la </w:t>
      </w:r>
      <w:r>
        <w:rPr>
          <w:noProof/>
          <w:lang w:val="fr-CH"/>
        </w:rPr>
        <w:t>remise en service qui entraîne</w:t>
      </w:r>
      <w:r w:rsidRPr="00AD1860">
        <w:rPr>
          <w:noProof/>
          <w:lang w:val="fr-CH"/>
        </w:rPr>
        <w:t xml:space="preserve"> pour un satellite l</w:t>
      </w:r>
      <w:r>
        <w:rPr>
          <w:noProof/>
          <w:lang w:val="fr-CH"/>
        </w:rPr>
        <w:t>'</w:t>
      </w:r>
      <w:r w:rsidRPr="00AD1860">
        <w:rPr>
          <w:noProof/>
          <w:lang w:val="fr-CH"/>
        </w:rPr>
        <w:t>incapacité technique d</w:t>
      </w:r>
      <w:r>
        <w:rPr>
          <w:noProof/>
          <w:lang w:val="fr-CH"/>
        </w:rPr>
        <w:t>'</w:t>
      </w:r>
      <w:r w:rsidRPr="00AD1860">
        <w:rPr>
          <w:noProof/>
          <w:lang w:val="fr-CH"/>
        </w:rPr>
        <w:t>émettre ou de recevoir sur une bande de fréquences donnée</w:t>
      </w:r>
      <w:r>
        <w:rPr>
          <w:noProof/>
          <w:lang w:val="fr-CH"/>
        </w:rPr>
        <w:t xml:space="preserve"> à la position orbitale voulue</w:t>
      </w:r>
      <w:r w:rsidRPr="00AD1860">
        <w:rPr>
          <w:noProof/>
          <w:lang w:val="fr-CH"/>
        </w:rPr>
        <w:t xml:space="preserve">, </w:t>
      </w:r>
      <w:r>
        <w:rPr>
          <w:noProof/>
          <w:lang w:val="fr-CH"/>
        </w:rPr>
        <w:t>est considéré</w:t>
      </w:r>
      <w:r w:rsidRPr="00AD1860">
        <w:rPr>
          <w:noProof/>
          <w:lang w:val="fr-CH"/>
        </w:rPr>
        <w:t xml:space="preserve"> comme </w:t>
      </w:r>
      <w:r>
        <w:rPr>
          <w:noProof/>
          <w:lang w:val="fr-CH"/>
        </w:rPr>
        <w:t>un cas exeptionnel, car cette</w:t>
      </w:r>
      <w:r w:rsidRPr="00AD1860">
        <w:rPr>
          <w:noProof/>
          <w:lang w:val="fr-CH"/>
        </w:rPr>
        <w:t xml:space="preserve"> situatio</w:t>
      </w:r>
      <w:r>
        <w:rPr>
          <w:noProof/>
          <w:lang w:val="fr-CH"/>
        </w:rPr>
        <w:t>n survien</w:t>
      </w:r>
      <w:r w:rsidRPr="00AD1860">
        <w:rPr>
          <w:noProof/>
          <w:lang w:val="fr-CH"/>
        </w:rPr>
        <w:t>t par accident. Quand c</w:t>
      </w:r>
      <w:r>
        <w:rPr>
          <w:noProof/>
          <w:lang w:val="fr-CH"/>
        </w:rPr>
        <w:t>ette situation survient avant le début de la période de</w:t>
      </w:r>
      <w:r w:rsidRPr="00AD1860">
        <w:rPr>
          <w:noProof/>
          <w:lang w:val="fr-CH"/>
        </w:rPr>
        <w:t xml:space="preserve"> mise en service ou </w:t>
      </w:r>
      <w:r>
        <w:rPr>
          <w:noProof/>
          <w:lang w:val="fr-CH"/>
        </w:rPr>
        <w:t xml:space="preserve">de </w:t>
      </w:r>
      <w:r w:rsidRPr="00AD1860">
        <w:rPr>
          <w:noProof/>
          <w:lang w:val="fr-CH"/>
        </w:rPr>
        <w:t>remise en service</w:t>
      </w:r>
      <w:r>
        <w:rPr>
          <w:noProof/>
          <w:lang w:val="fr-CH"/>
        </w:rPr>
        <w:t>, le</w:t>
      </w:r>
      <w:r w:rsidRPr="00AD1860">
        <w:rPr>
          <w:noProof/>
          <w:lang w:val="fr-CH"/>
        </w:rPr>
        <w:t xml:space="preserve"> </w:t>
      </w:r>
      <w:r>
        <w:rPr>
          <w:noProof/>
          <w:lang w:val="fr-CH"/>
        </w:rPr>
        <w:t>temps restant</w:t>
      </w:r>
      <w:r w:rsidRPr="00AD1860">
        <w:rPr>
          <w:noProof/>
          <w:lang w:val="fr-CH"/>
        </w:rPr>
        <w:t xml:space="preserve"> </w:t>
      </w:r>
      <w:r>
        <w:rPr>
          <w:noProof/>
          <w:lang w:val="fr-CH"/>
        </w:rPr>
        <w:t xml:space="preserve">avant la fin de la période </w:t>
      </w:r>
      <w:r w:rsidRPr="00AD1860">
        <w:rPr>
          <w:noProof/>
          <w:lang w:val="fr-CH"/>
        </w:rPr>
        <w:t xml:space="preserve">réglementaire de </w:t>
      </w:r>
      <w:r>
        <w:rPr>
          <w:noProof/>
          <w:lang w:val="fr-CH"/>
        </w:rPr>
        <w:t xml:space="preserve">sept ans ou avant la fin de la période de suspension peut ne pas être suffisant pour l'acquisition d'un satellite en orbite ayant les caractéristiques appropriées ou la </w:t>
      </w:r>
      <w:r w:rsidRPr="00AD1860">
        <w:rPr>
          <w:noProof/>
          <w:lang w:val="fr-CH"/>
        </w:rPr>
        <w:t>constr</w:t>
      </w:r>
      <w:r>
        <w:rPr>
          <w:noProof/>
          <w:lang w:val="fr-CH"/>
        </w:rPr>
        <w:t>uction d'</w:t>
      </w:r>
      <w:r w:rsidRPr="00AD1860">
        <w:rPr>
          <w:noProof/>
          <w:lang w:val="fr-CH"/>
        </w:rPr>
        <w:t>un </w:t>
      </w:r>
      <w:r>
        <w:rPr>
          <w:noProof/>
          <w:lang w:val="fr-CH"/>
        </w:rPr>
        <w:t xml:space="preserve">nouveau </w:t>
      </w:r>
      <w:r w:rsidRPr="00AD1860">
        <w:rPr>
          <w:noProof/>
          <w:lang w:val="fr-CH"/>
        </w:rPr>
        <w:t>satellite</w:t>
      </w:r>
      <w:r>
        <w:rPr>
          <w:noProof/>
          <w:lang w:val="fr-CH"/>
        </w:rPr>
        <w:t xml:space="preserve"> utilisé pour la mise en service ou la remise en service de l'assignation de fréquence</w:t>
      </w:r>
      <w:r w:rsidRPr="00AD1860">
        <w:rPr>
          <w:noProof/>
          <w:lang w:val="fr-CH"/>
        </w:rPr>
        <w:t>.</w:t>
      </w:r>
    </w:p>
    <w:p w:rsidR="004511A0" w:rsidRPr="00F35863" w:rsidRDefault="004511A0" w:rsidP="00216D54">
      <w:pPr>
        <w:spacing w:before="80"/>
        <w:rPr>
          <w:lang w:val="fr-CH"/>
        </w:rPr>
      </w:pPr>
      <w:r w:rsidRPr="00F35863">
        <w:rPr>
          <w:lang w:val="fr-CH"/>
        </w:rPr>
        <w:t>Il convient de noter qu</w:t>
      </w:r>
      <w:r>
        <w:rPr>
          <w:lang w:val="fr-CH"/>
        </w:rPr>
        <w:t>'</w:t>
      </w:r>
      <w:r w:rsidRPr="00F35863">
        <w:rPr>
          <w:lang w:val="fr-CH"/>
        </w:rPr>
        <w:t>avant la CMR</w:t>
      </w:r>
      <w:r>
        <w:rPr>
          <w:lang w:val="fr-CH"/>
        </w:rPr>
        <w:t>-</w:t>
      </w:r>
      <w:r w:rsidRPr="00F35863">
        <w:rPr>
          <w:lang w:val="fr-CH"/>
        </w:rPr>
        <w:t xml:space="preserve">03, </w:t>
      </w:r>
      <w:r>
        <w:rPr>
          <w:lang w:val="fr-CH"/>
        </w:rPr>
        <w:t xml:space="preserve">le règlement comportait </w:t>
      </w:r>
      <w:r w:rsidRPr="00F35863">
        <w:rPr>
          <w:lang w:val="fr-CH"/>
        </w:rPr>
        <w:t xml:space="preserve">certaines dispositions concernant une possible </w:t>
      </w:r>
      <w:r>
        <w:rPr>
          <w:lang w:val="fr-CH"/>
        </w:rPr>
        <w:t>prorogation</w:t>
      </w:r>
      <w:r w:rsidRPr="00F35863">
        <w:rPr>
          <w:lang w:val="fr-CH"/>
        </w:rPr>
        <w:t xml:space="preserve"> de 2 ans </w:t>
      </w:r>
      <w:r>
        <w:rPr>
          <w:lang w:val="fr-CH"/>
        </w:rPr>
        <w:t>du délai réglementaire de 5 </w:t>
      </w:r>
      <w:r w:rsidRPr="00F35863">
        <w:rPr>
          <w:lang w:val="fr-CH"/>
        </w:rPr>
        <w:t xml:space="preserve">ans dans certains cas de figures, </w:t>
      </w:r>
      <w:r>
        <w:rPr>
          <w:lang w:val="fr-CH"/>
        </w:rPr>
        <w:t>parmi lesquels</w:t>
      </w:r>
      <w:r w:rsidRPr="00F35863">
        <w:rPr>
          <w:lang w:val="fr-CH"/>
        </w:rPr>
        <w:t xml:space="preserve">, </w:t>
      </w:r>
      <w:r>
        <w:rPr>
          <w:lang w:val="fr-CH"/>
        </w:rPr>
        <w:t>le cas d'un échec de lancement. Ces dispositions ont été supprimées à la CMR</w:t>
      </w:r>
      <w:r>
        <w:rPr>
          <w:lang w:val="fr-CH"/>
        </w:rPr>
        <w:noBreakHyphen/>
        <w:t xml:space="preserve">03 et </w:t>
      </w:r>
      <w:r>
        <w:rPr>
          <w:lang w:val="fr-CH"/>
        </w:rPr>
        <w:lastRenderedPageBreak/>
        <w:t>remplacées par une période réglementaire unique de 7 ans, qui était censée fournir davantage de souplesse en cas de défaillance d'un satellite.</w:t>
      </w:r>
    </w:p>
    <w:p w:rsidR="004511A0" w:rsidRPr="00431DAB" w:rsidRDefault="004511A0" w:rsidP="00216D54">
      <w:pPr>
        <w:spacing w:before="80"/>
        <w:rPr>
          <w:lang w:val="fr-CH"/>
        </w:rPr>
      </w:pPr>
      <w:r w:rsidRPr="00CD25EC">
        <w:rPr>
          <w:lang w:val="fr-CH"/>
        </w:rPr>
        <w:t xml:space="preserve">Il convient de prendre en considération </w:t>
      </w:r>
      <w:r>
        <w:rPr>
          <w:lang w:val="fr-CH"/>
        </w:rPr>
        <w:t>que le Comité du Règlement des radiocommunications a élaboré un projet de Rapport (Document RRB14-3/INFO/1(Ré</w:t>
      </w:r>
      <w:r w:rsidRPr="00CD25EC">
        <w:rPr>
          <w:lang w:val="fr-CH"/>
        </w:rPr>
        <w:t xml:space="preserve">v.1) </w:t>
      </w:r>
      <w:r>
        <w:rPr>
          <w:lang w:val="fr-CH"/>
        </w:rPr>
        <w:t>et</w:t>
      </w:r>
      <w:r w:rsidRPr="00CD25EC">
        <w:rPr>
          <w:lang w:val="fr-CH"/>
        </w:rPr>
        <w:t xml:space="preserve"> Document RRB15-1/1</w:t>
      </w:r>
      <w:r>
        <w:rPr>
          <w:lang w:val="fr-CH"/>
        </w:rPr>
        <w:t xml:space="preserve">) sur </w:t>
      </w:r>
      <w:r w:rsidRPr="00431DAB">
        <w:rPr>
          <w:lang w:val="fr-CH"/>
        </w:rPr>
        <w:t xml:space="preserve">la Résolution </w:t>
      </w:r>
      <w:r w:rsidRPr="00216D54">
        <w:rPr>
          <w:b/>
          <w:bCs/>
          <w:lang w:val="fr-CH"/>
        </w:rPr>
        <w:t>80 (Rév.CMR-07)</w:t>
      </w:r>
      <w:r w:rsidRPr="00431DAB">
        <w:rPr>
          <w:lang w:val="fr-CH"/>
        </w:rPr>
        <w:t xml:space="preserve"> en vue de la CMR-15, qu'il a soumis aux administrations pour qu'elles l'examinent et formulent des commentaires, y compris sur les cas de «force majeure». Ce document fait état des demandes que les administrations envoient périodiquement au Comité afin d'obtenir une prorogation du délai réglementaire de mise en service d'assignations de fréquence</w:t>
      </w:r>
      <w:r w:rsidRPr="00431DAB">
        <w:t xml:space="preserve"> </w:t>
      </w:r>
      <w:r w:rsidRPr="00431DAB">
        <w:rPr>
          <w:lang w:val="fr-CH"/>
        </w:rPr>
        <w:t>associées à un réseau à satellite pour des raisons de force majeure. La CMR-03 et la CMR</w:t>
      </w:r>
      <w:r w:rsidRPr="00431DAB">
        <w:rPr>
          <w:lang w:val="fr-CH"/>
        </w:rPr>
        <w:noBreakHyphen/>
        <w:t>12 ont étudié la question de la force majeure dans les bandes planifiées en adoptant des modifications apportées aux Appendices </w:t>
      </w:r>
      <w:r w:rsidRPr="00216D54">
        <w:rPr>
          <w:b/>
          <w:bCs/>
          <w:lang w:val="fr-CH"/>
        </w:rPr>
        <w:t>30</w:t>
      </w:r>
      <w:r w:rsidRPr="00431DAB">
        <w:rPr>
          <w:lang w:val="fr-CH"/>
        </w:rPr>
        <w:t xml:space="preserve">, </w:t>
      </w:r>
      <w:r w:rsidRPr="00216D54">
        <w:rPr>
          <w:b/>
          <w:bCs/>
          <w:lang w:val="fr-CH"/>
        </w:rPr>
        <w:t>30A</w:t>
      </w:r>
      <w:r w:rsidRPr="00431DAB">
        <w:rPr>
          <w:lang w:val="fr-CH"/>
        </w:rPr>
        <w:t xml:space="preserve"> et </w:t>
      </w:r>
      <w:r w:rsidRPr="00216D54">
        <w:rPr>
          <w:b/>
          <w:bCs/>
          <w:lang w:val="fr-CH"/>
        </w:rPr>
        <w:t>30B</w:t>
      </w:r>
      <w:r w:rsidRPr="00431DAB">
        <w:rPr>
          <w:lang w:val="fr-CH"/>
        </w:rPr>
        <w:t xml:space="preserve"> qui définissent les circonstances qui doivent exister, les mesures devant être prises par l'administration, ainsi que les délais. La CMR</w:t>
      </w:r>
      <w:r w:rsidRPr="00431DAB">
        <w:rPr>
          <w:lang w:val="fr-CH"/>
        </w:rPr>
        <w:noBreakHyphen/>
        <w:t>15 voudra peut</w:t>
      </w:r>
      <w:r w:rsidRPr="00431DAB">
        <w:rPr>
          <w:lang w:val="fr-CH"/>
        </w:rPr>
        <w:noBreakHyphen/>
        <w:t>être envisager d'adopter des conditions analogues pour les bandes non planifiées.</w:t>
      </w:r>
    </w:p>
    <w:p w:rsidR="004511A0" w:rsidRPr="00AD1860" w:rsidRDefault="0036029E" w:rsidP="00216D54">
      <w:pPr>
        <w:spacing w:before="100"/>
        <w:rPr>
          <w:lang w:val="fr-CH"/>
        </w:rPr>
      </w:pPr>
      <w:r w:rsidRPr="00431DAB">
        <w:rPr>
          <w:lang w:val="fr-CH"/>
        </w:rPr>
        <w:t xml:space="preserve">L'Administration du Soudan est favorable à </w:t>
      </w:r>
      <w:r w:rsidR="005E5B5C" w:rsidRPr="00431DAB">
        <w:rPr>
          <w:lang w:val="fr-CH"/>
        </w:rPr>
        <w:t>la</w:t>
      </w:r>
      <w:r w:rsidRPr="00431DAB">
        <w:rPr>
          <w:lang w:val="fr-CH"/>
        </w:rPr>
        <w:t xml:space="preserve"> méthode qui </w:t>
      </w:r>
      <w:r w:rsidR="00415765" w:rsidRPr="00431DAB">
        <w:rPr>
          <w:lang w:val="fr-CH"/>
        </w:rPr>
        <w:t>consiste</w:t>
      </w:r>
      <w:r w:rsidR="004511A0" w:rsidRPr="00431DAB">
        <w:rPr>
          <w:lang w:val="fr-CH"/>
        </w:rPr>
        <w:t xml:space="preserve"> à ajouter une disposition réglementaire numéro </w:t>
      </w:r>
      <w:r w:rsidR="004511A0" w:rsidRPr="00216D54">
        <w:rPr>
          <w:b/>
          <w:bCs/>
          <w:lang w:val="fr-CH"/>
        </w:rPr>
        <w:t>11.XX</w:t>
      </w:r>
      <w:r w:rsidR="004511A0" w:rsidRPr="00431DAB">
        <w:rPr>
          <w:lang w:val="fr-CH"/>
        </w:rPr>
        <w:t xml:space="preserve"> dans le RR concernant le cas de l'échec de lancement d'un satellite</w:t>
      </w:r>
      <w:r w:rsidR="004511A0" w:rsidRPr="00AD1860">
        <w:rPr>
          <w:lang w:val="fr-CH"/>
        </w:rPr>
        <w:t xml:space="preserve"> ayant pour conséquence d</w:t>
      </w:r>
      <w:r w:rsidR="004511A0">
        <w:rPr>
          <w:lang w:val="fr-CH"/>
        </w:rPr>
        <w:t>'</w:t>
      </w:r>
      <w:r w:rsidR="004511A0" w:rsidRPr="00AD1860">
        <w:rPr>
          <w:lang w:val="fr-CH"/>
        </w:rPr>
        <w:t>empêcher la mise en service ou la remise en service de l</w:t>
      </w:r>
      <w:r w:rsidR="004511A0">
        <w:rPr>
          <w:lang w:val="fr-CH"/>
        </w:rPr>
        <w:t>'</w:t>
      </w:r>
      <w:r w:rsidR="004511A0" w:rsidRPr="00AD1860">
        <w:rPr>
          <w:lang w:val="fr-CH"/>
        </w:rPr>
        <w:t>assignation de fréquence notifiée pour ce satellite.</w:t>
      </w:r>
    </w:p>
    <w:p w:rsidR="004511A0" w:rsidRPr="00161702" w:rsidRDefault="004511A0" w:rsidP="00216D54">
      <w:pPr>
        <w:spacing w:before="80"/>
        <w:rPr>
          <w:rFonts w:ascii="Times New Roman Bold" w:hAnsi="Times New Roman Bold" w:cs="Times New Roman Bold"/>
          <w:b/>
          <w:lang w:val="fr-CH"/>
        </w:rPr>
      </w:pPr>
      <w:r w:rsidRPr="00161702">
        <w:rPr>
          <w:rFonts w:ascii="Times New Roman Bold" w:hAnsi="Times New Roman Bold" w:cs="Times New Roman Bold"/>
          <w:b/>
          <w:lang w:val="fr-CH"/>
        </w:rPr>
        <w:t>Propositions</w:t>
      </w:r>
    </w:p>
    <w:p w:rsidR="004A6A8C" w:rsidRPr="001F58CF" w:rsidRDefault="009E758E" w:rsidP="00501CC0">
      <w:pPr>
        <w:pStyle w:val="ArtNo"/>
      </w:pPr>
      <w:r w:rsidRPr="00501CC0">
        <w:t>ARTICLE</w:t>
      </w:r>
      <w:r w:rsidRPr="001F58CF">
        <w:t xml:space="preserve"> </w:t>
      </w:r>
      <w:r w:rsidRPr="001F58CF">
        <w:rPr>
          <w:rStyle w:val="href"/>
        </w:rPr>
        <w:t>11</w:t>
      </w:r>
    </w:p>
    <w:p w:rsidR="004A6A8C" w:rsidRPr="000C4F5E" w:rsidRDefault="009E758E" w:rsidP="00DC7B57">
      <w:pPr>
        <w:pStyle w:val="Arttitle"/>
      </w:pPr>
      <w:r w:rsidRPr="00E82312">
        <w:t>Notification et inscription des assignations</w:t>
      </w:r>
      <w:r w:rsidRPr="00E82312">
        <w:br/>
        <w:t xml:space="preserve">de </w:t>
      </w:r>
      <w:r w:rsidRPr="00463598">
        <w:t>fréquence</w:t>
      </w:r>
      <w:r w:rsidRPr="00F81E5E">
        <w:rPr>
          <w:rStyle w:val="FootnoteReference"/>
          <w:b w:val="0"/>
          <w:bCs/>
        </w:rPr>
        <w:t>1, 2, 3, 4, 5, 6, 7, 7</w:t>
      </w:r>
      <w:r w:rsidRPr="00F81E5E">
        <w:rPr>
          <w:rStyle w:val="FootnoteReference"/>
          <w:b w:val="0"/>
          <w:bCs/>
          <w:i/>
          <w:iCs/>
        </w:rPr>
        <w:t>bis</w:t>
      </w:r>
      <w:r w:rsidRPr="00466ED8">
        <w:rPr>
          <w:b w:val="0"/>
          <w:bCs/>
          <w:sz w:val="16"/>
          <w:szCs w:val="16"/>
        </w:rPr>
        <w:t>  </w:t>
      </w:r>
      <w:r w:rsidR="00431DAB">
        <w:rPr>
          <w:b w:val="0"/>
          <w:bCs/>
          <w:sz w:val="16"/>
          <w:szCs w:val="16"/>
        </w:rPr>
        <w:t>   </w:t>
      </w:r>
      <w:r w:rsidRPr="00466ED8">
        <w:rPr>
          <w:b w:val="0"/>
          <w:bCs/>
          <w:sz w:val="16"/>
          <w:szCs w:val="16"/>
        </w:rPr>
        <w:t>(CMR-12)</w:t>
      </w:r>
    </w:p>
    <w:p w:rsidR="00B47000" w:rsidRDefault="00B47000">
      <w:pPr>
        <w:pStyle w:val="Reasons"/>
      </w:pPr>
    </w:p>
    <w:p w:rsidR="00B47000" w:rsidRPr="00161702" w:rsidRDefault="009E758E">
      <w:pPr>
        <w:pStyle w:val="Proposal"/>
        <w:rPr>
          <w:lang w:val="fr-CH"/>
        </w:rPr>
      </w:pPr>
      <w:r w:rsidRPr="00161702">
        <w:rPr>
          <w:lang w:val="fr-CH"/>
        </w:rPr>
        <w:t>ADD</w:t>
      </w:r>
      <w:r w:rsidRPr="00161702">
        <w:rPr>
          <w:lang w:val="fr-CH"/>
        </w:rPr>
        <w:tab/>
        <w:t>SDN/86A21A11/1</w:t>
      </w:r>
    </w:p>
    <w:p w:rsidR="004511A0" w:rsidRPr="00AD1860" w:rsidRDefault="004511A0" w:rsidP="004511A0">
      <w:pPr>
        <w:pStyle w:val="Note"/>
        <w:rPr>
          <w:noProof/>
          <w:lang w:val="fr-CH"/>
        </w:rPr>
      </w:pPr>
      <w:r w:rsidRPr="00AD1860">
        <w:rPr>
          <w:rStyle w:val="Artdef"/>
          <w:lang w:val="fr-CH"/>
        </w:rPr>
        <w:t>11.XX</w:t>
      </w:r>
      <w:r w:rsidRPr="00AD1860">
        <w:rPr>
          <w:lang w:val="id-ID"/>
        </w:rPr>
        <w:tab/>
      </w:r>
      <w:r w:rsidRPr="00AD1860">
        <w:rPr>
          <w:lang w:val="fr-CH"/>
        </w:rPr>
        <w:t>Lorsqu</w:t>
      </w:r>
      <w:r>
        <w:rPr>
          <w:lang w:val="fr-CH"/>
        </w:rPr>
        <w:t>'</w:t>
      </w:r>
      <w:r w:rsidRPr="00AD1860">
        <w:rPr>
          <w:lang w:val="fr-CH"/>
        </w:rPr>
        <w:t>un satellite qui vient d</w:t>
      </w:r>
      <w:r>
        <w:rPr>
          <w:lang w:val="fr-CH"/>
        </w:rPr>
        <w:t>'</w:t>
      </w:r>
      <w:r w:rsidRPr="00AD1860">
        <w:rPr>
          <w:lang w:val="fr-CH"/>
        </w:rPr>
        <w:t>être lancé connaît une défaillance</w:t>
      </w:r>
      <w:r w:rsidRPr="00AD1860">
        <w:rPr>
          <w:noProof/>
          <w:lang w:val="id-ID"/>
        </w:rPr>
        <w:t xml:space="preserve"> </w:t>
      </w:r>
      <w:r w:rsidRPr="00AD1860">
        <w:rPr>
          <w:noProof/>
          <w:lang w:val="fr-CH"/>
        </w:rPr>
        <w:t>avant le début de la période de quatre-vingt-dix jours prévue pour la mise en service ou</w:t>
      </w:r>
      <w:r>
        <w:rPr>
          <w:noProof/>
          <w:lang w:val="fr-CH"/>
        </w:rPr>
        <w:t xml:space="preserve"> la remise en service, dans les </w:t>
      </w:r>
      <w:r w:rsidRPr="00AD1860">
        <w:rPr>
          <w:noProof/>
          <w:lang w:val="fr-CH"/>
        </w:rPr>
        <w:t>cas suivants:</w:t>
      </w:r>
    </w:p>
    <w:p w:rsidR="004511A0" w:rsidRPr="00AD1860" w:rsidRDefault="004511A0" w:rsidP="004511A0">
      <w:pPr>
        <w:pStyle w:val="enumlev1"/>
        <w:rPr>
          <w:noProof/>
          <w:lang w:val="fr-CH"/>
        </w:rPr>
      </w:pPr>
      <w:r w:rsidRPr="00AD1860">
        <w:rPr>
          <w:noProof/>
          <w:lang w:val="fr-CH"/>
        </w:rPr>
        <w:t>–</w:t>
      </w:r>
      <w:r w:rsidRPr="00AD1860">
        <w:rPr>
          <w:noProof/>
          <w:lang w:val="fr-CH"/>
        </w:rPr>
        <w:tab/>
      </w:r>
      <w:r w:rsidRPr="0058203D">
        <w:rPr>
          <w:noProof/>
          <w:lang w:val="fr-CH"/>
        </w:rPr>
        <w:t xml:space="preserve">la destruction du satellite destiné à mettre en service </w:t>
      </w:r>
      <w:r>
        <w:rPr>
          <w:noProof/>
          <w:lang w:val="fr-CH"/>
        </w:rPr>
        <w:t>ou à remettre en service de </w:t>
      </w:r>
      <w:r w:rsidRPr="0058203D">
        <w:rPr>
          <w:noProof/>
          <w:lang w:val="fr-CH"/>
        </w:rPr>
        <w:t>l</w:t>
      </w:r>
      <w:r>
        <w:rPr>
          <w:noProof/>
          <w:lang w:val="fr-CH"/>
        </w:rPr>
        <w:t>'</w:t>
      </w:r>
      <w:r w:rsidRPr="0058203D">
        <w:rPr>
          <w:noProof/>
          <w:lang w:val="fr-CH"/>
        </w:rPr>
        <w:t>assignation</w:t>
      </w:r>
      <w:r>
        <w:rPr>
          <w:noProof/>
          <w:lang w:val="fr-CH"/>
        </w:rPr>
        <w:t>.</w:t>
      </w:r>
    </w:p>
    <w:p w:rsidR="004511A0" w:rsidRDefault="004511A0">
      <w:pPr>
        <w:rPr>
          <w:lang w:val="fr-CH"/>
        </w:rPr>
        <w:pPrChange w:id="7" w:author="Bachler, Mathilde" w:date="2015-03-19T10:25:00Z">
          <w:pPr>
            <w:spacing w:line="480" w:lineRule="auto"/>
          </w:pPr>
        </w:pPrChange>
      </w:pPr>
      <w:r>
        <w:rPr>
          <w:lang w:val="fr-CH"/>
        </w:rPr>
        <w:t>L'</w:t>
      </w:r>
      <w:r w:rsidRPr="00AD1860">
        <w:rPr>
          <w:lang w:val="fr-CH"/>
        </w:rPr>
        <w:t>administration notificatrice peut</w:t>
      </w:r>
      <w:r>
        <w:rPr>
          <w:lang w:val="fr-CH"/>
        </w:rPr>
        <w:t>, dans le mois suivant l'échec de lancement, soumettre le cas au </w:t>
      </w:r>
      <w:r w:rsidRPr="00AD1860">
        <w:rPr>
          <w:lang w:val="fr-CH"/>
        </w:rPr>
        <w:t>Comité, pour que celui-ci l</w:t>
      </w:r>
      <w:r>
        <w:rPr>
          <w:lang w:val="fr-CH"/>
        </w:rPr>
        <w:t>'</w:t>
      </w:r>
      <w:r w:rsidRPr="00AD1860">
        <w:rPr>
          <w:lang w:val="fr-CH"/>
        </w:rPr>
        <w:t>examine et l</w:t>
      </w:r>
      <w:r>
        <w:rPr>
          <w:lang w:val="fr-CH"/>
        </w:rPr>
        <w:t>'</w:t>
      </w:r>
      <w:r w:rsidRPr="00AD1860">
        <w:rPr>
          <w:lang w:val="fr-CH"/>
        </w:rPr>
        <w:t>étudie de manière approfondie, en tenant compte de toutes les pièces justificatives, y compris des données détaillées concer</w:t>
      </w:r>
      <w:r>
        <w:rPr>
          <w:lang w:val="fr-CH"/>
        </w:rPr>
        <w:t>nant le satellite ayant subi la </w:t>
      </w:r>
      <w:r w:rsidRPr="00AD1860">
        <w:rPr>
          <w:lang w:val="fr-CH"/>
        </w:rPr>
        <w:t>défaillance, afin de permettre au Comité de se prononcer sur la q</w:t>
      </w:r>
      <w:r>
        <w:rPr>
          <w:lang w:val="fr-CH"/>
        </w:rPr>
        <w:t>uestion selon qu'il conviendra.</w:t>
      </w:r>
    </w:p>
    <w:p w:rsidR="004511A0" w:rsidRPr="008E2687" w:rsidRDefault="004511A0" w:rsidP="004511A0">
      <w:pPr>
        <w:rPr>
          <w:lang w:val="fr-CH"/>
        </w:rPr>
      </w:pPr>
      <w:r w:rsidRPr="005A7365">
        <w:rPr>
          <w:noProof/>
          <w:lang w:val="fr-CH"/>
        </w:rPr>
        <w:t xml:space="preserve">Pour que </w:t>
      </w:r>
      <w:r>
        <w:rPr>
          <w:noProof/>
          <w:lang w:val="fr-CH"/>
        </w:rPr>
        <w:t>le BR accorde une</w:t>
      </w:r>
      <w:r w:rsidRPr="005A7365">
        <w:rPr>
          <w:noProof/>
          <w:lang w:val="fr-CH"/>
        </w:rPr>
        <w:t xml:space="preserve"> prolongation, l</w:t>
      </w:r>
      <w:r>
        <w:rPr>
          <w:noProof/>
          <w:lang w:val="fr-CH"/>
        </w:rPr>
        <w:t>'</w:t>
      </w:r>
      <w:r w:rsidRPr="005A7365">
        <w:rPr>
          <w:noProof/>
          <w:lang w:val="fr-CH"/>
        </w:rPr>
        <w:t>échec de lancement doit s</w:t>
      </w:r>
      <w:r>
        <w:rPr>
          <w:noProof/>
          <w:lang w:val="fr-CH"/>
        </w:rPr>
        <w:t>'</w:t>
      </w:r>
      <w:r w:rsidRPr="005A7365">
        <w:rPr>
          <w:noProof/>
          <w:lang w:val="fr-CH"/>
        </w:rPr>
        <w:t xml:space="preserve">être produit au moins </w:t>
      </w:r>
      <w:r>
        <w:rPr>
          <w:noProof/>
          <w:lang w:val="fr-CH"/>
        </w:rPr>
        <w:t>quatre</w:t>
      </w:r>
      <w:r w:rsidR="00216D54">
        <w:rPr>
          <w:noProof/>
          <w:lang w:val="fr-CH"/>
        </w:rPr>
        <w:t> </w:t>
      </w:r>
      <w:r w:rsidRPr="005A7365">
        <w:rPr>
          <w:noProof/>
          <w:lang w:val="fr-CH"/>
        </w:rPr>
        <w:t xml:space="preserve">ans après la date de réception des </w:t>
      </w:r>
      <w:r>
        <w:rPr>
          <w:noProof/>
          <w:lang w:val="fr-CH"/>
        </w:rPr>
        <w:t>renseignements complets</w:t>
      </w:r>
      <w:r w:rsidRPr="005A7365">
        <w:rPr>
          <w:noProof/>
          <w:lang w:val="fr-CH"/>
        </w:rPr>
        <w:t xml:space="preserve"> au titre</w:t>
      </w:r>
      <w:r>
        <w:rPr>
          <w:noProof/>
          <w:lang w:val="fr-CH"/>
        </w:rPr>
        <w:t xml:space="preserve"> du numéro </w:t>
      </w:r>
      <w:r>
        <w:rPr>
          <w:b/>
          <w:bCs/>
          <w:noProof/>
          <w:lang w:val="fr-CH"/>
        </w:rPr>
        <w:t>9.1</w:t>
      </w:r>
      <w:r>
        <w:rPr>
          <w:noProof/>
          <w:lang w:val="fr-CH"/>
        </w:rPr>
        <w:t xml:space="preserve"> ou au cours de la période de suspension visée au numéro </w:t>
      </w:r>
      <w:r>
        <w:rPr>
          <w:b/>
          <w:bCs/>
          <w:noProof/>
          <w:lang w:val="fr-CH"/>
        </w:rPr>
        <w:t>11.49</w:t>
      </w:r>
      <w:r>
        <w:rPr>
          <w:noProof/>
          <w:lang w:val="fr-CH"/>
        </w:rPr>
        <w:t xml:space="preserve">, selon le cas. </w:t>
      </w:r>
      <w:r w:rsidRPr="005A7365">
        <w:rPr>
          <w:noProof/>
          <w:lang w:val="fr-CH"/>
        </w:rPr>
        <w:t xml:space="preserve">En aucun cas, la période de prolongation du délai réglementaire ne doit être supérieure à </w:t>
      </w:r>
      <w:r>
        <w:rPr>
          <w:noProof/>
          <w:lang w:val="fr-CH"/>
        </w:rPr>
        <w:t xml:space="preserve">trois ans ou à </w:t>
      </w:r>
      <w:r w:rsidRPr="005A7365">
        <w:rPr>
          <w:noProof/>
          <w:lang w:val="fr-CH"/>
        </w:rPr>
        <w:t>la différence entre la période de trois ans et la période restante entre la date de l</w:t>
      </w:r>
      <w:r>
        <w:rPr>
          <w:noProof/>
          <w:lang w:val="fr-CH"/>
        </w:rPr>
        <w:t>'</w:t>
      </w:r>
      <w:r w:rsidRPr="005A7365">
        <w:rPr>
          <w:noProof/>
          <w:lang w:val="fr-CH"/>
        </w:rPr>
        <w:t>échec du lancement et la fin du délai réglementaire.</w:t>
      </w:r>
    </w:p>
    <w:p w:rsidR="004511A0" w:rsidRDefault="004511A0" w:rsidP="004511A0">
      <w:pPr>
        <w:rPr>
          <w:noProof/>
          <w:sz w:val="16"/>
          <w:szCs w:val="16"/>
          <w:lang w:val="fr-CH"/>
        </w:rPr>
      </w:pPr>
      <w:r w:rsidRPr="00AD1860">
        <w:rPr>
          <w:lang w:val="fr-CH"/>
        </w:rPr>
        <w:t>Lorsqu</w:t>
      </w:r>
      <w:r>
        <w:rPr>
          <w:lang w:val="fr-CH"/>
        </w:rPr>
        <w:t>'</w:t>
      </w:r>
      <w:r w:rsidRPr="00AD1860">
        <w:rPr>
          <w:lang w:val="fr-CH"/>
        </w:rPr>
        <w:t>il examine cette question, le Comité peut déterminer au cas par cas s</w:t>
      </w:r>
      <w:r>
        <w:rPr>
          <w:lang w:val="fr-CH"/>
        </w:rPr>
        <w:t>'</w:t>
      </w:r>
      <w:r w:rsidRPr="00AD1860">
        <w:rPr>
          <w:lang w:val="fr-CH"/>
        </w:rPr>
        <w:t>il convient d</w:t>
      </w:r>
      <w:r>
        <w:rPr>
          <w:lang w:val="fr-CH"/>
        </w:rPr>
        <w:t>'</w:t>
      </w:r>
      <w:r w:rsidRPr="00AD1860">
        <w:rPr>
          <w:lang w:val="fr-CH"/>
        </w:rPr>
        <w:t xml:space="preserve">appliquer les dispositions des numéros </w:t>
      </w:r>
      <w:r w:rsidRPr="00AD1860">
        <w:rPr>
          <w:b/>
          <w:bCs/>
          <w:lang w:val="fr-CH"/>
        </w:rPr>
        <w:t>11.44B</w:t>
      </w:r>
      <w:r w:rsidRPr="00AD1860">
        <w:rPr>
          <w:lang w:val="fr-CH"/>
        </w:rPr>
        <w:t xml:space="preserve"> et </w:t>
      </w:r>
      <w:r w:rsidRPr="00AD1860">
        <w:rPr>
          <w:b/>
          <w:bCs/>
          <w:lang w:val="fr-CH"/>
        </w:rPr>
        <w:t>11.49</w:t>
      </w:r>
      <w:r w:rsidRPr="00AD1860">
        <w:rPr>
          <w:lang w:val="fr-CH"/>
        </w:rPr>
        <w:t xml:space="preserve"> aux assignat</w:t>
      </w:r>
      <w:r>
        <w:rPr>
          <w:lang w:val="fr-CH"/>
        </w:rPr>
        <w:t>ions de fréquence concernées en </w:t>
      </w:r>
      <w:r w:rsidRPr="00AD1860">
        <w:rPr>
          <w:lang w:val="fr-CH"/>
        </w:rPr>
        <w:t>l</w:t>
      </w:r>
      <w:r>
        <w:rPr>
          <w:lang w:val="fr-CH"/>
        </w:rPr>
        <w:t>'</w:t>
      </w:r>
      <w:r w:rsidRPr="00AD1860">
        <w:rPr>
          <w:lang w:val="fr-CH"/>
        </w:rPr>
        <w:t>espèce.</w:t>
      </w:r>
      <w:r w:rsidRPr="00431DAB">
        <w:rPr>
          <w:noProof/>
          <w:sz w:val="16"/>
          <w:szCs w:val="16"/>
          <w:lang w:val="fr-CH"/>
        </w:rPr>
        <w:t>     (CMR-15)</w:t>
      </w:r>
    </w:p>
    <w:p w:rsidR="00216D54" w:rsidRDefault="00216D54" w:rsidP="00216D54">
      <w:pPr>
        <w:pStyle w:val="Reasons"/>
        <w:rPr>
          <w:lang w:val="fr-CH"/>
        </w:rPr>
      </w:pPr>
    </w:p>
    <w:p w:rsidR="00B47000" w:rsidRPr="00216D54" w:rsidRDefault="009E758E" w:rsidP="00216D54">
      <w:pPr>
        <w:spacing w:before="0"/>
        <w:jc w:val="center"/>
        <w:rPr>
          <w:szCs w:val="24"/>
        </w:rPr>
      </w:pPr>
      <w:r w:rsidRPr="00216D54">
        <w:rPr>
          <w:szCs w:val="24"/>
        </w:rPr>
        <w:t>______________</w:t>
      </w:r>
    </w:p>
    <w:sectPr w:rsidR="00B47000" w:rsidRPr="00216D5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96FFB">
      <w:rPr>
        <w:noProof/>
        <w:lang w:val="en-US"/>
      </w:rPr>
      <w:t>P:\FRA\ITU-R\CONF-R\CMR15\000\086ADD21ADD11F.docx</w:t>
    </w:r>
    <w:r>
      <w:fldChar w:fldCharType="end"/>
    </w:r>
    <w:r>
      <w:rPr>
        <w:lang w:val="en-US"/>
      </w:rPr>
      <w:tab/>
    </w:r>
    <w:r>
      <w:fldChar w:fldCharType="begin"/>
    </w:r>
    <w:r>
      <w:instrText xml:space="preserve"> SAVEDATE \@ DD.MM.YY </w:instrText>
    </w:r>
    <w:r>
      <w:fldChar w:fldCharType="separate"/>
    </w:r>
    <w:r w:rsidR="00696FFB">
      <w:rPr>
        <w:noProof/>
      </w:rPr>
      <w:t>29.10.15</w:t>
    </w:r>
    <w:r>
      <w:fldChar w:fldCharType="end"/>
    </w:r>
    <w:r>
      <w:rPr>
        <w:lang w:val="en-US"/>
      </w:rPr>
      <w:tab/>
    </w:r>
    <w:r>
      <w:fldChar w:fldCharType="begin"/>
    </w:r>
    <w:r>
      <w:instrText xml:space="preserve"> PRINTDATE \@ DD.MM.YY </w:instrText>
    </w:r>
    <w:r>
      <w:fldChar w:fldCharType="separate"/>
    </w:r>
    <w:r w:rsidR="00696FFB">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96FFB">
      <w:rPr>
        <w:lang w:val="en-US"/>
      </w:rPr>
      <w:t>P:\FRA\ITU-R\CONF-R\CMR15\000\086ADD21ADD11F.docx</w:t>
    </w:r>
    <w:r>
      <w:fldChar w:fldCharType="end"/>
    </w:r>
    <w:r w:rsidR="00431DAB">
      <w:t xml:space="preserve"> (388655)</w:t>
    </w:r>
    <w:r>
      <w:rPr>
        <w:lang w:val="en-US"/>
      </w:rPr>
      <w:tab/>
    </w:r>
    <w:r>
      <w:fldChar w:fldCharType="begin"/>
    </w:r>
    <w:r>
      <w:instrText xml:space="preserve"> SAVEDATE \@ DD.MM.YY </w:instrText>
    </w:r>
    <w:r>
      <w:fldChar w:fldCharType="separate"/>
    </w:r>
    <w:r w:rsidR="00696FFB">
      <w:t>29.10.15</w:t>
    </w:r>
    <w:r>
      <w:fldChar w:fldCharType="end"/>
    </w:r>
    <w:r>
      <w:rPr>
        <w:lang w:val="en-US"/>
      </w:rPr>
      <w:tab/>
    </w:r>
    <w:r>
      <w:fldChar w:fldCharType="begin"/>
    </w:r>
    <w:r>
      <w:instrText xml:space="preserve"> PRINTDATE \@ DD.MM.YY </w:instrText>
    </w:r>
    <w:r>
      <w:fldChar w:fldCharType="separate"/>
    </w:r>
    <w:r w:rsidR="00696FFB">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96FFB">
      <w:rPr>
        <w:lang w:val="en-US"/>
      </w:rPr>
      <w:t>P:\FRA\ITU-R\CONF-R\CMR15\000\086ADD21ADD11F.docx</w:t>
    </w:r>
    <w:r>
      <w:fldChar w:fldCharType="end"/>
    </w:r>
    <w:r w:rsidR="00431DAB">
      <w:t xml:space="preserve"> (388655)</w:t>
    </w:r>
    <w:r>
      <w:rPr>
        <w:lang w:val="en-US"/>
      </w:rPr>
      <w:tab/>
    </w:r>
    <w:r>
      <w:fldChar w:fldCharType="begin"/>
    </w:r>
    <w:r>
      <w:instrText xml:space="preserve"> SAVEDATE \@ DD.MM.YY </w:instrText>
    </w:r>
    <w:r>
      <w:fldChar w:fldCharType="separate"/>
    </w:r>
    <w:r w:rsidR="00696FFB">
      <w:t>29.10.15</w:t>
    </w:r>
    <w:r>
      <w:fldChar w:fldCharType="end"/>
    </w:r>
    <w:r>
      <w:rPr>
        <w:lang w:val="en-US"/>
      </w:rPr>
      <w:tab/>
    </w:r>
    <w:r>
      <w:fldChar w:fldCharType="begin"/>
    </w:r>
    <w:r>
      <w:instrText xml:space="preserve"> PRINTDATE \@ DD.MM.YY </w:instrText>
    </w:r>
    <w:r>
      <w:fldChar w:fldCharType="separate"/>
    </w:r>
    <w:r w:rsidR="00696FFB">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96FFB">
      <w:rPr>
        <w:noProof/>
      </w:rPr>
      <w:t>2</w:t>
    </w:r>
    <w:r>
      <w:fldChar w:fldCharType="end"/>
    </w:r>
  </w:p>
  <w:p w:rsidR="004F1F8E" w:rsidRDefault="004F1F8E" w:rsidP="002C28A4">
    <w:pPr>
      <w:pStyle w:val="Header"/>
    </w:pPr>
    <w:r>
      <w:t>CMR1</w:t>
    </w:r>
    <w:r w:rsidR="002C28A4">
      <w:t>5</w:t>
    </w:r>
    <w:r>
      <w:t>/</w:t>
    </w:r>
    <w:r w:rsidR="006A4B45">
      <w:t>86(Add.21)(Add.11)-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61702"/>
    <w:rsid w:val="0018169B"/>
    <w:rsid w:val="0019352B"/>
    <w:rsid w:val="001960D0"/>
    <w:rsid w:val="001E7880"/>
    <w:rsid w:val="001F17E8"/>
    <w:rsid w:val="00204306"/>
    <w:rsid w:val="00216D54"/>
    <w:rsid w:val="00232FD2"/>
    <w:rsid w:val="0026554E"/>
    <w:rsid w:val="002A4622"/>
    <w:rsid w:val="002A6F8F"/>
    <w:rsid w:val="002B17E5"/>
    <w:rsid w:val="002C0EBF"/>
    <w:rsid w:val="002C28A4"/>
    <w:rsid w:val="00315AFE"/>
    <w:rsid w:val="0036029E"/>
    <w:rsid w:val="003606A6"/>
    <w:rsid w:val="003627FE"/>
    <w:rsid w:val="0036650C"/>
    <w:rsid w:val="00393ACD"/>
    <w:rsid w:val="003A583E"/>
    <w:rsid w:val="003E112B"/>
    <w:rsid w:val="003E1D1C"/>
    <w:rsid w:val="003E7B05"/>
    <w:rsid w:val="00415765"/>
    <w:rsid w:val="00431DAB"/>
    <w:rsid w:val="004511A0"/>
    <w:rsid w:val="00466211"/>
    <w:rsid w:val="004834A9"/>
    <w:rsid w:val="00493E63"/>
    <w:rsid w:val="004D01FC"/>
    <w:rsid w:val="004E28C3"/>
    <w:rsid w:val="004F1F8E"/>
    <w:rsid w:val="00512A32"/>
    <w:rsid w:val="00586CF2"/>
    <w:rsid w:val="005C3768"/>
    <w:rsid w:val="005C6C3F"/>
    <w:rsid w:val="005E5B5C"/>
    <w:rsid w:val="00613635"/>
    <w:rsid w:val="0062093D"/>
    <w:rsid w:val="00637ECF"/>
    <w:rsid w:val="00647B59"/>
    <w:rsid w:val="00690C7B"/>
    <w:rsid w:val="00696FF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66FE6"/>
    <w:rsid w:val="0098732F"/>
    <w:rsid w:val="009A045F"/>
    <w:rsid w:val="009C7E7C"/>
    <w:rsid w:val="009D7FC9"/>
    <w:rsid w:val="009E758E"/>
    <w:rsid w:val="00A00473"/>
    <w:rsid w:val="00A03C9B"/>
    <w:rsid w:val="00A37105"/>
    <w:rsid w:val="00A606C3"/>
    <w:rsid w:val="00A83B09"/>
    <w:rsid w:val="00A84541"/>
    <w:rsid w:val="00AE36A0"/>
    <w:rsid w:val="00B00294"/>
    <w:rsid w:val="00B47000"/>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32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81E5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EB370A4-5178-4E26-9C2B-4B6C9B13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rsid w:val="004511A0"/>
    <w:rPr>
      <w:rFonts w:ascii="Times New Roman" w:hAnsi="Times New Roman"/>
      <w:sz w:val="24"/>
      <w:lang w:val="fr-FR" w:eastAsia="en-US"/>
    </w:rPr>
  </w:style>
  <w:style w:type="character" w:customStyle="1" w:styleId="NoteChar">
    <w:name w:val="Note Char"/>
    <w:basedOn w:val="DefaultParagraphFont"/>
    <w:link w:val="Note"/>
    <w:locked/>
    <w:rsid w:val="004511A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DA951-528A-413B-8349-1F6E6B91C0B2}">
  <ds:schemaRefs>
    <ds:schemaRef ds:uri="http://purl.org/dc/elements/1.1/"/>
    <ds:schemaRef ds:uri="http://www.w3.org/XML/1998/namespace"/>
    <ds:schemaRef ds:uri="32a1a8c5-2265-4ebc-b7a0-2071e2c5c9bb"/>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857</Words>
  <Characters>4745</Characters>
  <Application>Microsoft Office Word</Application>
  <DocSecurity>0</DocSecurity>
  <Lines>88</Lines>
  <Paragraphs>27</Paragraphs>
  <ScaleCrop>false</ScaleCrop>
  <HeadingPairs>
    <vt:vector size="2" baseType="variant">
      <vt:variant>
        <vt:lpstr>Title</vt:lpstr>
      </vt:variant>
      <vt:variant>
        <vt:i4>1</vt:i4>
      </vt:variant>
    </vt:vector>
  </HeadingPairs>
  <TitlesOfParts>
    <vt:vector size="1" baseType="lpstr">
      <vt:lpstr>R15-WRC15-C-0086!A21-A11!MSW-F</vt:lpstr>
    </vt:vector>
  </TitlesOfParts>
  <Manager>Secrétariat général - Pool</Manager>
  <Company>Union internationale des télécommunications (UIT)</Company>
  <LinksUpToDate>false</LinksUpToDate>
  <CharactersWithSpaces>5586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R15-WRC15-C-0086!A21-A11!MSW-F</dc:title>
  <dc:subject>Conférence mondiale des radiocommunications - 2015</dc:subject>
  <dc:creator>Documents Proposals Manager (DPM)</dc:creator>
  <cp:keywords>DPM_v5.2015.10.8_prod</cp:keywords>
  <dc:description/>
  <cp:lastModifiedBy>Germain, Catherine</cp:lastModifiedBy>
  <cp:revision>10</cp:revision>
  <cp:lastPrinted>2015-10-29T16:05:00Z</cp:lastPrinted>
  <dcterms:created xsi:type="dcterms:W3CDTF">2015-10-29T10:43:00Z</dcterms:created>
  <dcterms:modified xsi:type="dcterms:W3CDTF">2015-10-29T16:05:00Z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