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239E5">
        <w:trPr>
          <w:cantSplit/>
          <w:trHeight w:val="20"/>
        </w:trPr>
        <w:tc>
          <w:tcPr>
            <w:tcW w:w="642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2966"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239E5">
        <w:trPr>
          <w:cantSplit/>
          <w:trHeight w:val="20"/>
        </w:trPr>
        <w:tc>
          <w:tcPr>
            <w:tcW w:w="642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2966" w:type="dxa"/>
            <w:tcBorders>
              <w:bottom w:val="single" w:sz="12" w:space="0" w:color="auto"/>
            </w:tcBorders>
          </w:tcPr>
          <w:p w:rsidR="00280E04" w:rsidRPr="00A9645C" w:rsidRDefault="00280E04" w:rsidP="00D44350">
            <w:pPr>
              <w:rPr>
                <w:lang w:bidi="ar-EG"/>
              </w:rPr>
            </w:pPr>
          </w:p>
        </w:tc>
      </w:tr>
      <w:tr w:rsidR="00280E04" w:rsidTr="003239E5">
        <w:trPr>
          <w:cantSplit/>
          <w:trHeight w:val="20"/>
        </w:trPr>
        <w:tc>
          <w:tcPr>
            <w:tcW w:w="6423" w:type="dxa"/>
            <w:tcBorders>
              <w:top w:val="single" w:sz="12" w:space="0" w:color="auto"/>
            </w:tcBorders>
          </w:tcPr>
          <w:p w:rsidR="00280E04" w:rsidRPr="00BD6EF3" w:rsidRDefault="00280E04" w:rsidP="00D44350">
            <w:pPr>
              <w:pStyle w:val="Adress"/>
              <w:framePr w:hSpace="0" w:wrap="auto" w:xAlign="left" w:yAlign="inline"/>
              <w:rPr>
                <w:rtl/>
              </w:rPr>
            </w:pPr>
          </w:p>
        </w:tc>
        <w:tc>
          <w:tcPr>
            <w:tcW w:w="2966" w:type="dxa"/>
            <w:tcBorders>
              <w:top w:val="single" w:sz="12" w:space="0" w:color="auto"/>
            </w:tcBorders>
          </w:tcPr>
          <w:p w:rsidR="00280E04" w:rsidRPr="00BD6EF3" w:rsidRDefault="00280E04" w:rsidP="00D44350">
            <w:pPr>
              <w:pStyle w:val="Adress"/>
              <w:framePr w:hSpace="0" w:wrap="auto" w:xAlign="left" w:yAlign="inline"/>
            </w:pPr>
          </w:p>
        </w:tc>
      </w:tr>
      <w:tr w:rsidR="003E1608" w:rsidTr="003239E5">
        <w:trPr>
          <w:cantSplit/>
        </w:trPr>
        <w:tc>
          <w:tcPr>
            <w:tcW w:w="6423" w:type="dxa"/>
            <w:shd w:val="clear" w:color="auto" w:fill="auto"/>
          </w:tcPr>
          <w:p w:rsidR="003E1608" w:rsidRPr="00A460A4"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A460A4">
              <w:rPr>
                <w:rFonts w:ascii="Verdana" w:hAnsi="Verdana" w:cs="Traditional Arabic"/>
                <w:bCs/>
                <w:sz w:val="19"/>
                <w:szCs w:val="30"/>
                <w:rtl/>
                <w:lang w:val="en-US" w:bidi="ar-EG"/>
              </w:rPr>
              <w:t>الجلسة العامة</w:t>
            </w:r>
          </w:p>
        </w:tc>
        <w:tc>
          <w:tcPr>
            <w:tcW w:w="2966" w:type="dxa"/>
            <w:shd w:val="clear" w:color="auto" w:fill="auto"/>
            <w:vAlign w:val="center"/>
          </w:tcPr>
          <w:p w:rsidR="00DF016E" w:rsidRPr="00A460A4" w:rsidRDefault="003E1608" w:rsidP="00DF016E">
            <w:pPr>
              <w:pStyle w:val="Adress"/>
              <w:framePr w:hSpace="0" w:wrap="auto" w:xAlign="left" w:yAlign="inline"/>
              <w:rPr>
                <w:rFonts w:ascii="Verdana" w:hAnsi="Verdana"/>
              </w:rPr>
            </w:pPr>
            <w:r w:rsidRPr="00A460A4">
              <w:rPr>
                <w:rFonts w:ascii="Verdana" w:hAnsi="Verdana"/>
                <w:rtl/>
              </w:rPr>
              <w:t xml:space="preserve">الإضافة </w:t>
            </w:r>
            <w:r w:rsidRPr="00A460A4">
              <w:rPr>
                <w:rFonts w:ascii="Verdana" w:hAnsi="Verdana"/>
              </w:rPr>
              <w:t>11</w:t>
            </w:r>
          </w:p>
          <w:p w:rsidR="003E1608" w:rsidRPr="00A460A4" w:rsidRDefault="003E1608" w:rsidP="002A1640">
            <w:pPr>
              <w:pStyle w:val="Adress"/>
              <w:framePr w:hSpace="0" w:wrap="auto" w:xAlign="left" w:yAlign="inline"/>
              <w:rPr>
                <w:rFonts w:ascii="Verdana" w:hAnsi="Verdana"/>
                <w:rtl/>
              </w:rPr>
            </w:pPr>
            <w:r w:rsidRPr="00A460A4">
              <w:rPr>
                <w:rFonts w:ascii="Verdana" w:hAnsi="Verdana"/>
                <w:rtl/>
              </w:rPr>
              <w:t xml:space="preserve">للوثيقة </w:t>
            </w:r>
            <w:r w:rsidR="002A1640" w:rsidRPr="00A460A4">
              <w:rPr>
                <w:rFonts w:ascii="Verdana" w:hAnsi="Verdana"/>
              </w:rPr>
              <w:t>86(</w:t>
            </w:r>
            <w:proofErr w:type="gramStart"/>
            <w:r w:rsidR="002A1640" w:rsidRPr="00A460A4">
              <w:rPr>
                <w:rFonts w:ascii="Verdana" w:hAnsi="Verdana"/>
              </w:rPr>
              <w:t>Add.21)-</w:t>
            </w:r>
            <w:proofErr w:type="gramEnd"/>
            <w:r w:rsidR="002A1640" w:rsidRPr="00A460A4">
              <w:rPr>
                <w:rFonts w:ascii="Verdana" w:hAnsi="Verdana"/>
              </w:rPr>
              <w:t>A</w:t>
            </w:r>
            <w:r w:rsidRPr="00A460A4">
              <w:rPr>
                <w:rFonts w:ascii="Verdana" w:hAnsi="Verdana" w:hint="cs"/>
                <w:rtl/>
              </w:rPr>
              <w:t xml:space="preserve"> </w:t>
            </w:r>
          </w:p>
        </w:tc>
      </w:tr>
      <w:tr w:rsidR="00764079" w:rsidTr="003239E5">
        <w:trPr>
          <w:cantSplit/>
        </w:trPr>
        <w:tc>
          <w:tcPr>
            <w:tcW w:w="6423" w:type="dxa"/>
            <w:shd w:val="clear" w:color="auto" w:fill="auto"/>
          </w:tcPr>
          <w:p w:rsidR="00764079" w:rsidRPr="00A460A4" w:rsidRDefault="00764079" w:rsidP="00D44350">
            <w:pPr>
              <w:pStyle w:val="Adress"/>
              <w:framePr w:hSpace="0" w:wrap="auto" w:xAlign="left" w:yAlign="inline"/>
              <w:rPr>
                <w:rFonts w:ascii="Verdana" w:hAnsi="Verdana"/>
                <w:rtl/>
              </w:rPr>
            </w:pPr>
          </w:p>
        </w:tc>
        <w:tc>
          <w:tcPr>
            <w:tcW w:w="2966" w:type="dxa"/>
            <w:shd w:val="clear" w:color="auto" w:fill="auto"/>
            <w:vAlign w:val="center"/>
          </w:tcPr>
          <w:p w:rsidR="00764079" w:rsidRPr="00A460A4" w:rsidRDefault="00764079" w:rsidP="00C11F02">
            <w:pPr>
              <w:pStyle w:val="Adress"/>
              <w:framePr w:hSpace="0" w:wrap="auto" w:xAlign="left" w:yAlign="inline"/>
              <w:rPr>
                <w:rFonts w:ascii="Verdana" w:hAnsi="Verdana"/>
                <w:rtl/>
              </w:rPr>
            </w:pPr>
            <w:r w:rsidRPr="00A460A4">
              <w:rPr>
                <w:rFonts w:ascii="Verdana" w:eastAsia="SimSun" w:hAnsi="Verdana"/>
              </w:rPr>
              <w:t>1</w:t>
            </w:r>
            <w:r w:rsidR="00C11F02" w:rsidRPr="00A460A4">
              <w:rPr>
                <w:rFonts w:ascii="Verdana" w:eastAsia="SimSun" w:hAnsi="Verdana"/>
              </w:rPr>
              <w:t>9</w:t>
            </w:r>
            <w:r w:rsidRPr="00A460A4">
              <w:rPr>
                <w:rFonts w:ascii="Verdana" w:eastAsia="SimSun" w:hAnsi="Verdana"/>
                <w:rtl/>
              </w:rPr>
              <w:t xml:space="preserve"> أكتوبر </w:t>
            </w:r>
            <w:r w:rsidRPr="00A460A4">
              <w:rPr>
                <w:rFonts w:ascii="Verdana" w:eastAsia="SimSun" w:hAnsi="Verdana"/>
              </w:rPr>
              <w:t>2015</w:t>
            </w:r>
          </w:p>
        </w:tc>
      </w:tr>
      <w:tr w:rsidR="00764079" w:rsidTr="003239E5">
        <w:trPr>
          <w:cantSplit/>
        </w:trPr>
        <w:tc>
          <w:tcPr>
            <w:tcW w:w="6423" w:type="dxa"/>
          </w:tcPr>
          <w:p w:rsidR="00764079" w:rsidRPr="00A460A4" w:rsidRDefault="00764079" w:rsidP="00D44350">
            <w:pPr>
              <w:pStyle w:val="Adress"/>
              <w:framePr w:hSpace="0" w:wrap="auto" w:xAlign="left" w:yAlign="inline"/>
              <w:rPr>
                <w:rFonts w:ascii="Verdana" w:eastAsia="SimSun" w:hAnsi="Verdana"/>
                <w:rtl/>
              </w:rPr>
            </w:pPr>
          </w:p>
        </w:tc>
        <w:tc>
          <w:tcPr>
            <w:tcW w:w="2966" w:type="dxa"/>
            <w:vAlign w:val="center"/>
          </w:tcPr>
          <w:p w:rsidR="00764079" w:rsidRPr="00A460A4" w:rsidRDefault="00764079" w:rsidP="00D44350">
            <w:pPr>
              <w:pStyle w:val="Adress"/>
              <w:framePr w:hSpace="0" w:wrap="auto" w:xAlign="left" w:yAlign="inline"/>
              <w:rPr>
                <w:rFonts w:ascii="Verdana" w:eastAsia="SimSun" w:hAnsi="Verdana"/>
              </w:rPr>
            </w:pPr>
            <w:r w:rsidRPr="00A460A4">
              <w:rPr>
                <w:rFonts w:ascii="Verdana" w:eastAsia="SimSun" w:hAnsi="Verdana"/>
                <w:rtl/>
              </w:rPr>
              <w:t>الأصل: بالعربية</w:t>
            </w:r>
          </w:p>
        </w:tc>
      </w:tr>
      <w:tr w:rsidR="00764079" w:rsidTr="003239E5">
        <w:trPr>
          <w:cantSplit/>
        </w:trPr>
        <w:tc>
          <w:tcPr>
            <w:tcW w:w="9389" w:type="dxa"/>
            <w:gridSpan w:val="2"/>
          </w:tcPr>
          <w:p w:rsidR="00764079" w:rsidRDefault="00764079" w:rsidP="00D44350">
            <w:pPr>
              <w:pStyle w:val="Adress"/>
              <w:framePr w:hSpace="0" w:wrap="auto" w:xAlign="left" w:yAlign="inline"/>
              <w:rPr>
                <w:rFonts w:eastAsia="SimSun" w:hint="eastAsia"/>
              </w:rPr>
            </w:pPr>
          </w:p>
        </w:tc>
      </w:tr>
      <w:tr w:rsidR="00764079" w:rsidTr="003239E5">
        <w:trPr>
          <w:cantSplit/>
        </w:trPr>
        <w:tc>
          <w:tcPr>
            <w:tcW w:w="9389" w:type="dxa"/>
            <w:gridSpan w:val="2"/>
          </w:tcPr>
          <w:p w:rsidR="00764079" w:rsidRPr="00E621A3" w:rsidRDefault="00764079" w:rsidP="00D44350">
            <w:pPr>
              <w:pStyle w:val="Source"/>
              <w:rPr>
                <w:rtl/>
              </w:rPr>
            </w:pPr>
            <w:r w:rsidRPr="008204AC">
              <w:rPr>
                <w:rtl/>
              </w:rPr>
              <w:t>جمهورية السودان</w:t>
            </w:r>
          </w:p>
        </w:tc>
      </w:tr>
      <w:tr w:rsidR="003239E5" w:rsidTr="003239E5">
        <w:trPr>
          <w:cantSplit/>
        </w:trPr>
        <w:tc>
          <w:tcPr>
            <w:tcW w:w="9389" w:type="dxa"/>
            <w:gridSpan w:val="2"/>
          </w:tcPr>
          <w:p w:rsidR="003239E5" w:rsidRPr="00BD6EF3" w:rsidRDefault="003239E5" w:rsidP="003239E5">
            <w:pPr>
              <w:pStyle w:val="Title1"/>
              <w:spacing w:before="240"/>
              <w:rPr>
                <w:rtl/>
              </w:rPr>
            </w:pPr>
            <w:r w:rsidRPr="008204AC">
              <w:rPr>
                <w:rFonts w:ascii="Calibri" w:eastAsia="SimSun" w:hAnsi="Calibri"/>
                <w:rtl/>
              </w:rPr>
              <w:t>مقترحات بشأن أعمال ال</w:t>
            </w:r>
            <w:r>
              <w:rPr>
                <w:rFonts w:ascii="Calibri" w:eastAsia="SimSun" w:hAnsi="Calibri" w:hint="cs"/>
                <w:rtl/>
              </w:rPr>
              <w:t>‍</w:t>
            </w:r>
            <w:r w:rsidRPr="008204AC">
              <w:rPr>
                <w:rFonts w:ascii="Calibri" w:eastAsia="SimSun" w:hAnsi="Calibri"/>
                <w:rtl/>
              </w:rPr>
              <w:t>مؤت</w:t>
            </w:r>
            <w:r w:rsidR="00C11F02">
              <w:rPr>
                <w:rFonts w:ascii="Calibri" w:eastAsia="SimSun" w:hAnsi="Calibri" w:hint="cs"/>
                <w:rtl/>
              </w:rPr>
              <w:t>‍</w:t>
            </w:r>
            <w:r w:rsidRPr="008204AC">
              <w:rPr>
                <w:rFonts w:ascii="Calibri" w:eastAsia="SimSun" w:hAnsi="Calibri"/>
                <w:rtl/>
              </w:rPr>
              <w:t>مر</w:t>
            </w:r>
          </w:p>
        </w:tc>
      </w:tr>
      <w:tr w:rsidR="00764079" w:rsidTr="003239E5">
        <w:trPr>
          <w:cantSplit/>
        </w:trPr>
        <w:tc>
          <w:tcPr>
            <w:tcW w:w="9389" w:type="dxa"/>
            <w:gridSpan w:val="2"/>
          </w:tcPr>
          <w:p w:rsidR="00764079" w:rsidRPr="00BD6EF3" w:rsidRDefault="00764079" w:rsidP="00D44350">
            <w:pPr>
              <w:pStyle w:val="Title2"/>
              <w:rPr>
                <w:rtl/>
              </w:rPr>
            </w:pPr>
          </w:p>
        </w:tc>
      </w:tr>
      <w:tr w:rsidR="00764079" w:rsidTr="003239E5">
        <w:trPr>
          <w:cantSplit/>
        </w:trPr>
        <w:tc>
          <w:tcPr>
            <w:tcW w:w="9389" w:type="dxa"/>
            <w:gridSpan w:val="2"/>
          </w:tcPr>
          <w:p w:rsidR="00764079" w:rsidRPr="002919E1" w:rsidRDefault="00764079" w:rsidP="003239E5">
            <w:pPr>
              <w:pStyle w:val="Agendaitem"/>
              <w:spacing w:before="240" w:line="192" w:lineRule="auto"/>
            </w:pPr>
            <w:r w:rsidRPr="008204AC">
              <w:rPr>
                <w:rtl/>
              </w:rPr>
              <w:t xml:space="preserve">البنـد </w:t>
            </w:r>
            <w:r w:rsidR="003239E5">
              <w:t>(k)7</w:t>
            </w:r>
            <w:r w:rsidRPr="008204AC">
              <w:rPr>
                <w:rtl/>
              </w:rPr>
              <w:t xml:space="preserve"> من جدول الأعمال</w:t>
            </w:r>
          </w:p>
        </w:tc>
      </w:tr>
    </w:tbl>
    <w:p w:rsidR="001D597A" w:rsidRPr="00431196" w:rsidRDefault="00397A3C" w:rsidP="003239E5">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rsidR="00534840" w:rsidRPr="00431196" w:rsidRDefault="00397A3C" w:rsidP="00C2775E">
      <w:pPr>
        <w:rPr>
          <w:rFonts w:eastAsia="SimSun"/>
          <w:spacing w:val="2"/>
          <w:lang w:bidi="ar-EG"/>
        </w:rPr>
      </w:pPr>
      <w:r w:rsidRPr="00431196">
        <w:rPr>
          <w:rFonts w:eastAsia="SimSun"/>
        </w:rPr>
        <w:t>(K</w:t>
      </w:r>
      <w:proofErr w:type="gramStart"/>
      <w:r w:rsidRPr="00431196">
        <w:rPr>
          <w:rFonts w:eastAsia="SimSun"/>
        </w:rPr>
        <w:t>)7</w:t>
      </w:r>
      <w:proofErr w:type="gramEnd"/>
      <w:r w:rsidRPr="00431196">
        <w:rPr>
          <w:rFonts w:eastAsia="SimSun"/>
          <w:lang w:bidi="ar-EG"/>
        </w:rPr>
        <w:tab/>
      </w:r>
      <w:r w:rsidRPr="00431196">
        <w:rPr>
          <w:rFonts w:eastAsia="SimSun" w:hint="cs"/>
          <w:spacing w:val="2"/>
          <w:rtl/>
          <w:lang w:bidi="ar-EG"/>
        </w:rPr>
        <w:t>المسألة</w:t>
      </w:r>
      <w:r w:rsidRPr="00431196">
        <w:rPr>
          <w:rFonts w:eastAsia="SimSun"/>
          <w:spacing w:val="2"/>
          <w:rtl/>
          <w:lang w:bidi="ar-EG"/>
        </w:rPr>
        <w:t xml:space="preserve"> </w:t>
      </w:r>
      <w:r w:rsidRPr="00431196">
        <w:rPr>
          <w:rFonts w:eastAsia="SimSun"/>
          <w:spacing w:val="2"/>
          <w:lang w:bidi="ar-SY"/>
        </w:rPr>
        <w:t>K</w:t>
      </w:r>
      <w:r w:rsidRPr="00431196">
        <w:rPr>
          <w:rFonts w:eastAsia="SimSun"/>
          <w:spacing w:val="2"/>
          <w:rtl/>
          <w:lang w:bidi="ar-EG"/>
        </w:rPr>
        <w:t xml:space="preserve"> </w:t>
      </w:r>
      <w:r w:rsidRPr="00431196">
        <w:rPr>
          <w:rFonts w:eastAsia="SimSun" w:hint="cs"/>
          <w:spacing w:val="2"/>
          <w:rtl/>
          <w:lang w:bidi="ar-EG"/>
        </w:rPr>
        <w:t>-</w:t>
      </w:r>
      <w:r w:rsidRPr="00431196">
        <w:rPr>
          <w:rFonts w:eastAsia="SimSun"/>
          <w:spacing w:val="2"/>
          <w:rtl/>
          <w:lang w:bidi="ar-EG"/>
        </w:rPr>
        <w:t xml:space="preserve"> </w:t>
      </w:r>
      <w:r w:rsidRPr="00431196">
        <w:rPr>
          <w:rFonts w:eastAsia="SimSun" w:hint="cs"/>
          <w:spacing w:val="2"/>
          <w:rtl/>
          <w:lang w:bidi="ar-EG"/>
        </w:rPr>
        <w:t xml:space="preserve">إضافة حكم تنظيمي إلى المادة من لوائح الراديو </w:t>
      </w:r>
      <w:r w:rsidRPr="00431196">
        <w:rPr>
          <w:rFonts w:eastAsia="SimSun"/>
          <w:b/>
          <w:bCs/>
          <w:spacing w:val="2"/>
          <w:lang w:bidi="ar-EG"/>
        </w:rPr>
        <w:t>11</w:t>
      </w:r>
      <w:r w:rsidRPr="00431196">
        <w:rPr>
          <w:rFonts w:eastAsia="SimSun"/>
          <w:spacing w:val="2"/>
          <w:rtl/>
          <w:lang w:bidi="ar-EG"/>
        </w:rPr>
        <w:t xml:space="preserve"> </w:t>
      </w:r>
      <w:r w:rsidRPr="00431196">
        <w:rPr>
          <w:rFonts w:eastAsia="SimSun" w:hint="cs"/>
          <w:spacing w:val="2"/>
          <w:rtl/>
          <w:lang w:bidi="ar-EG"/>
        </w:rPr>
        <w:t>فيما يتعلق بحالة فشل الإطلاق</w:t>
      </w:r>
    </w:p>
    <w:p w:rsidR="003239E5" w:rsidRPr="00AB3B99" w:rsidRDefault="003239E5" w:rsidP="003239E5">
      <w:pPr>
        <w:pStyle w:val="Headingb"/>
        <w:rPr>
          <w:rFonts w:eastAsia="SimSun"/>
          <w:b/>
          <w:rtl/>
        </w:rPr>
      </w:pPr>
      <w:r w:rsidRPr="00AB3B99">
        <w:rPr>
          <w:rFonts w:eastAsia="SimSun" w:hint="cs"/>
          <w:rtl/>
        </w:rPr>
        <w:t>مقدم</w:t>
      </w:r>
      <w:r>
        <w:rPr>
          <w:rFonts w:eastAsia="SimSun" w:hint="cs"/>
          <w:rtl/>
        </w:rPr>
        <w:t>ة</w:t>
      </w:r>
    </w:p>
    <w:p w:rsidR="003239E5" w:rsidRPr="00AB3B99" w:rsidRDefault="003239E5" w:rsidP="003239E5">
      <w:pPr>
        <w:rPr>
          <w:rFonts w:eastAsia="SimSun"/>
          <w:spacing w:val="-2"/>
          <w:rtl/>
        </w:rPr>
      </w:pPr>
      <w:r w:rsidRPr="00AB3B99">
        <w:rPr>
          <w:rFonts w:eastAsia="SimSun" w:hint="cs"/>
          <w:spacing w:val="-2"/>
          <w:rtl/>
        </w:rPr>
        <w:t>بُغية الامتثال لأحكام الرقمين</w:t>
      </w:r>
      <w:r w:rsidRPr="00AB3B99">
        <w:rPr>
          <w:rFonts w:eastAsia="SimSun" w:hint="eastAsia"/>
          <w:spacing w:val="-2"/>
          <w:rtl/>
        </w:rPr>
        <w:t> </w:t>
      </w:r>
      <w:r w:rsidRPr="00A460A4">
        <w:rPr>
          <w:rFonts w:eastAsia="SimSun"/>
          <w:b/>
          <w:bCs/>
          <w:spacing w:val="-2"/>
        </w:rPr>
        <w:t>44B.11</w:t>
      </w:r>
      <w:r w:rsidRPr="00A460A4">
        <w:rPr>
          <w:rFonts w:eastAsia="SimSun" w:hint="cs"/>
          <w:b/>
          <w:bCs/>
          <w:spacing w:val="-2"/>
          <w:rtl/>
        </w:rPr>
        <w:t xml:space="preserve"> </w:t>
      </w:r>
      <w:r w:rsidRPr="00AB3B99">
        <w:rPr>
          <w:rFonts w:eastAsia="SimSun" w:hint="cs"/>
          <w:spacing w:val="-2"/>
          <w:rtl/>
        </w:rPr>
        <w:t>و</w:t>
      </w:r>
      <w:r w:rsidRPr="00A460A4">
        <w:rPr>
          <w:rFonts w:eastAsia="SimSun"/>
          <w:b/>
          <w:bCs/>
          <w:spacing w:val="-2"/>
        </w:rPr>
        <w:t>49.11</w:t>
      </w:r>
      <w:r w:rsidRPr="00AB3B99">
        <w:rPr>
          <w:rFonts w:eastAsia="SimSun" w:hint="cs"/>
          <w:spacing w:val="-2"/>
          <w:rtl/>
        </w:rPr>
        <w:t xml:space="preserve"> من لوائح الراديو، يجب أن يوضع تخصيص التردد في الخدمة أو</w:t>
      </w:r>
      <w:r w:rsidRPr="00AB3B99">
        <w:rPr>
          <w:rFonts w:eastAsia="SimSun" w:hint="eastAsia"/>
          <w:spacing w:val="-2"/>
          <w:rtl/>
        </w:rPr>
        <w:t> </w:t>
      </w:r>
      <w:r w:rsidRPr="00AB3B99">
        <w:rPr>
          <w:rFonts w:eastAsia="SimSun" w:hint="cs"/>
          <w:spacing w:val="-2"/>
          <w:rtl/>
        </w:rPr>
        <w:t>يعاد وضعه في</w:t>
      </w:r>
      <w:r w:rsidRPr="00AB3B99">
        <w:rPr>
          <w:rFonts w:eastAsia="SimSun" w:hint="eastAsia"/>
          <w:spacing w:val="-2"/>
          <w:rtl/>
        </w:rPr>
        <w:t> </w:t>
      </w:r>
      <w:r w:rsidRPr="00AB3B99">
        <w:rPr>
          <w:rFonts w:eastAsia="SimSun" w:hint="cs"/>
          <w:spacing w:val="-2"/>
          <w:rtl/>
        </w:rPr>
        <w:t>الخدمة في موعد لا</w:t>
      </w:r>
      <w:r w:rsidRPr="00AB3B99">
        <w:rPr>
          <w:rFonts w:eastAsia="SimSun" w:hint="eastAsia"/>
          <w:spacing w:val="-2"/>
          <w:rtl/>
        </w:rPr>
        <w:t> </w:t>
      </w:r>
      <w:r w:rsidRPr="00AB3B99">
        <w:rPr>
          <w:rFonts w:eastAsia="SimSun" w:hint="cs"/>
          <w:spacing w:val="-2"/>
          <w:rtl/>
        </w:rPr>
        <w:t>يتجاوز مهلته الزمنية التنظيمية. وبالنسبة للمكتب والإدارات، يعني الوضع في الخدمة وإعادة الوضع في</w:t>
      </w:r>
      <w:r w:rsidRPr="00AB3B99">
        <w:rPr>
          <w:rFonts w:eastAsia="SimSun" w:hint="eastAsia"/>
          <w:spacing w:val="-2"/>
          <w:rtl/>
        </w:rPr>
        <w:t> </w:t>
      </w:r>
      <w:r w:rsidRPr="00AB3B99">
        <w:rPr>
          <w:rFonts w:eastAsia="SimSun" w:hint="cs"/>
          <w:spacing w:val="-2"/>
          <w:rtl/>
        </w:rPr>
        <w:t>الخدمة نشر محطة فضائية في المدار الساتلي المستقر بالنسبة إلى الأرض في الموقع المداري المبلغ عنه لمدة متواصلة تبلغ تسعين يوماً.</w:t>
      </w:r>
    </w:p>
    <w:p w:rsidR="003239E5" w:rsidRPr="00AB3B99" w:rsidRDefault="003239E5" w:rsidP="003239E5">
      <w:pPr>
        <w:rPr>
          <w:rFonts w:eastAsia="SimSun"/>
          <w:spacing w:val="-2"/>
          <w:rtl/>
        </w:rPr>
      </w:pPr>
      <w:r w:rsidRPr="00AB3B99">
        <w:rPr>
          <w:rFonts w:eastAsia="SimSun" w:hint="cs"/>
          <w:spacing w:val="-2"/>
          <w:rtl/>
        </w:rPr>
        <w:t xml:space="preserve">إنّ حالة فشل الإطلاق قبل بدء سريان فترة الوضع في الخدمة أو إعادة الوضع في الخدمة، بحيث </w:t>
      </w:r>
      <w:r w:rsidRPr="00AB3B99">
        <w:rPr>
          <w:rFonts w:eastAsia="SimSun"/>
          <w:spacing w:val="-2"/>
          <w:rtl/>
        </w:rPr>
        <w:t xml:space="preserve">يجعل </w:t>
      </w:r>
      <w:r w:rsidRPr="00AB3B99">
        <w:rPr>
          <w:rFonts w:eastAsia="SimSun" w:hint="cs"/>
          <w:spacing w:val="-2"/>
          <w:rtl/>
        </w:rPr>
        <w:t>هذا الفشل الساتل غير</w:t>
      </w:r>
      <w:r w:rsidRPr="00AB3B99">
        <w:rPr>
          <w:rFonts w:eastAsia="SimSun" w:hint="eastAsia"/>
          <w:spacing w:val="-2"/>
          <w:rtl/>
        </w:rPr>
        <w:t> </w:t>
      </w:r>
      <w:r w:rsidRPr="00AB3B99">
        <w:rPr>
          <w:rFonts w:eastAsia="SimSun" w:hint="cs"/>
          <w:spacing w:val="-2"/>
          <w:rtl/>
        </w:rPr>
        <w:t xml:space="preserve">قادر تقنياً على الإرسال أو الاستقبال في نطاق تردد معين في الموقع المداري المتوخى، تصنَّف حدثاً استثنائياً نظراً لحدوث هذه الحالات بصورة عرضية. وإذا طرأت هذه الحالة قبل بدء سريان فترة الوضع في الخدمة أو إعادة الوضع في الخدمة، فإن المدة المتبقية من مهلة </w:t>
      </w:r>
      <w:r w:rsidRPr="00AB3B99">
        <w:rPr>
          <w:rFonts w:eastAsia="SimSun"/>
          <w:spacing w:val="-2"/>
        </w:rPr>
        <w:t>7</w:t>
      </w:r>
      <w:r>
        <w:rPr>
          <w:rFonts w:eastAsia="SimSun" w:hint="eastAsia"/>
          <w:spacing w:val="-2"/>
          <w:rtl/>
          <w:lang w:bidi="ar-EG"/>
        </w:rPr>
        <w:t> </w:t>
      </w:r>
      <w:r w:rsidRPr="00AB3B99">
        <w:rPr>
          <w:rFonts w:eastAsia="SimSun" w:hint="cs"/>
          <w:spacing w:val="-2"/>
          <w:rtl/>
        </w:rPr>
        <w:t>سنوات التنظيمية قد لا</w:t>
      </w:r>
      <w:r w:rsidRPr="00AB3B99">
        <w:rPr>
          <w:rFonts w:eastAsia="SimSun" w:hint="eastAsia"/>
          <w:spacing w:val="-2"/>
          <w:rtl/>
        </w:rPr>
        <w:t> </w:t>
      </w:r>
      <w:r w:rsidRPr="00AB3B99">
        <w:rPr>
          <w:rFonts w:eastAsia="SimSun" w:hint="cs"/>
          <w:spacing w:val="-2"/>
          <w:rtl/>
        </w:rPr>
        <w:t xml:space="preserve">تكون كافية للحصول على </w:t>
      </w:r>
      <w:r w:rsidRPr="00AB3B99">
        <w:rPr>
          <w:rFonts w:eastAsia="SimSun"/>
          <w:spacing w:val="-2"/>
          <w:rtl/>
        </w:rPr>
        <w:t>ساتل موجود في المدار</w:t>
      </w:r>
      <w:r w:rsidRPr="00AB3B99">
        <w:rPr>
          <w:rFonts w:eastAsia="SimSun" w:hint="cs"/>
          <w:spacing w:val="-2"/>
          <w:rtl/>
        </w:rPr>
        <w:t xml:space="preserve"> وله خصائص مناسبة أو بناء ساتل جديد لوضع تخصيص التردد في الخدمة أو إعادة وضعه في الخدمة.</w:t>
      </w:r>
    </w:p>
    <w:p w:rsidR="003239E5" w:rsidRPr="00AB3B99" w:rsidRDefault="003239E5" w:rsidP="003239E5">
      <w:pPr>
        <w:rPr>
          <w:rFonts w:eastAsia="SimSun"/>
          <w:spacing w:val="-2"/>
          <w:rtl/>
        </w:rPr>
      </w:pPr>
      <w:r w:rsidRPr="00AB3B99">
        <w:rPr>
          <w:rFonts w:eastAsia="SimSun" w:hint="cs"/>
          <w:spacing w:val="-2"/>
          <w:rtl/>
        </w:rPr>
        <w:lastRenderedPageBreak/>
        <w:t xml:space="preserve">وتنبغي الإشارة إلى أن اللوائح، قبل المؤتمر </w:t>
      </w:r>
      <w:r w:rsidRPr="00AB3B99">
        <w:rPr>
          <w:rFonts w:eastAsia="SimSun"/>
          <w:spacing w:val="-2"/>
        </w:rPr>
        <w:t>WRC-03</w:t>
      </w:r>
      <w:r w:rsidRPr="00AB3B99">
        <w:rPr>
          <w:rFonts w:eastAsia="SimSun" w:hint="cs"/>
          <w:spacing w:val="-2"/>
          <w:rtl/>
        </w:rPr>
        <w:t>، كانت تتضمن أحكاماً تقضي بإمكانية تمديد الفترة</w:t>
      </w:r>
      <w:r w:rsidRPr="00AB3B99">
        <w:rPr>
          <w:rFonts w:eastAsia="SimSun"/>
          <w:spacing w:val="-2"/>
          <w:rtl/>
        </w:rPr>
        <w:t xml:space="preserve"> التنظيمية</w:t>
      </w:r>
      <w:r w:rsidRPr="00AB3B99">
        <w:rPr>
          <w:rFonts w:eastAsia="SimSun" w:hint="cs"/>
          <w:spacing w:val="-2"/>
          <w:rtl/>
        </w:rPr>
        <w:t xml:space="preserve"> البالغة </w:t>
      </w:r>
      <w:r w:rsidRPr="00AB3B99">
        <w:rPr>
          <w:rFonts w:eastAsia="SimSun"/>
          <w:spacing w:val="-2"/>
        </w:rPr>
        <w:t>5</w:t>
      </w:r>
      <w:r w:rsidRPr="00AB3B99">
        <w:rPr>
          <w:rFonts w:eastAsia="SimSun" w:hint="eastAsia"/>
          <w:spacing w:val="-2"/>
          <w:rtl/>
        </w:rPr>
        <w:t> </w:t>
      </w:r>
      <w:r w:rsidRPr="00AB3B99">
        <w:rPr>
          <w:rFonts w:eastAsia="SimSun" w:hint="cs"/>
          <w:spacing w:val="-2"/>
          <w:rtl/>
        </w:rPr>
        <w:t>سنوات</w:t>
      </w:r>
      <w:r w:rsidRPr="00AB3B99">
        <w:rPr>
          <w:rFonts w:eastAsia="SimSun"/>
          <w:spacing w:val="-2"/>
        </w:rPr>
        <w:t> </w:t>
      </w:r>
      <w:r w:rsidRPr="00AB3B99">
        <w:rPr>
          <w:rFonts w:eastAsia="SimSun" w:hint="cs"/>
          <w:spacing w:val="-2"/>
          <w:rtl/>
        </w:rPr>
        <w:t>بعامين في ظل بعض ظروف معينة، منها على سبيل الذكر لا الحصر الفشل في الإطلاق. وقد ألغى المؤتمر</w:t>
      </w:r>
      <w:r w:rsidRPr="00AB3B99">
        <w:rPr>
          <w:rFonts w:eastAsia="SimSun" w:hint="eastAsia"/>
          <w:spacing w:val="-2"/>
          <w:rtl/>
        </w:rPr>
        <w:t> </w:t>
      </w:r>
      <w:r w:rsidRPr="00AB3B99">
        <w:rPr>
          <w:rFonts w:eastAsia="SimSun"/>
          <w:spacing w:val="-2"/>
        </w:rPr>
        <w:t>WRC-03</w:t>
      </w:r>
      <w:r w:rsidRPr="00AB3B99">
        <w:rPr>
          <w:rFonts w:eastAsia="SimSun" w:hint="cs"/>
          <w:spacing w:val="-2"/>
          <w:rtl/>
        </w:rPr>
        <w:t xml:space="preserve"> هذه الأحكام واستبدلها بفترة تنظيمية مدتها </w:t>
      </w:r>
      <w:r w:rsidRPr="00AB3B99">
        <w:rPr>
          <w:rFonts w:eastAsia="SimSun"/>
          <w:spacing w:val="-2"/>
        </w:rPr>
        <w:t>7</w:t>
      </w:r>
      <w:r>
        <w:rPr>
          <w:rFonts w:eastAsia="SimSun" w:hint="eastAsia"/>
          <w:spacing w:val="-2"/>
          <w:rtl/>
        </w:rPr>
        <w:t> </w:t>
      </w:r>
      <w:r w:rsidRPr="00AB3B99">
        <w:rPr>
          <w:rFonts w:eastAsia="SimSun" w:hint="cs"/>
          <w:spacing w:val="-2"/>
          <w:rtl/>
        </w:rPr>
        <w:t>سنوات كاملة كان يفترض أن تتيح بعض الهامش لفشل الساتل.</w:t>
      </w:r>
    </w:p>
    <w:p w:rsidR="003239E5" w:rsidRPr="00AB3B99" w:rsidRDefault="003239E5" w:rsidP="003239E5">
      <w:pPr>
        <w:rPr>
          <w:rFonts w:eastAsia="SimSun"/>
          <w:spacing w:val="-2"/>
          <w:rtl/>
        </w:rPr>
      </w:pPr>
      <w:r w:rsidRPr="00AB3B99">
        <w:rPr>
          <w:rFonts w:eastAsia="SimSun" w:hint="cs"/>
          <w:spacing w:val="-2"/>
          <w:rtl/>
        </w:rPr>
        <w:t xml:space="preserve">وينبغي أن يراعى أن لجنة لوائح الراديو </w:t>
      </w:r>
      <w:r w:rsidRPr="00AB3B99">
        <w:rPr>
          <w:rFonts w:eastAsia="SimSun"/>
          <w:spacing w:val="-2"/>
          <w:rtl/>
        </w:rPr>
        <w:t>قدم</w:t>
      </w:r>
      <w:r w:rsidRPr="00AB3B99">
        <w:rPr>
          <w:rFonts w:eastAsia="SimSun" w:hint="cs"/>
          <w:spacing w:val="-2"/>
          <w:rtl/>
        </w:rPr>
        <w:t>ت</w:t>
      </w:r>
      <w:r>
        <w:rPr>
          <w:rFonts w:eastAsia="SimSun" w:hint="cs"/>
          <w:spacing w:val="-2"/>
          <w:rtl/>
        </w:rPr>
        <w:t xml:space="preserve"> </w:t>
      </w:r>
      <w:r w:rsidRPr="00AB3B99">
        <w:rPr>
          <w:rFonts w:eastAsia="SimSun" w:hint="cs"/>
          <w:spacing w:val="-2"/>
          <w:rtl/>
        </w:rPr>
        <w:t xml:space="preserve">مشروع تقرير (الوثيقة </w:t>
      </w:r>
      <w:r w:rsidRPr="00AB3B99">
        <w:rPr>
          <w:rFonts w:eastAsia="SimSun"/>
          <w:spacing w:val="-2"/>
        </w:rPr>
        <w:t>RRB14-3/INFO/1(Rev.1)</w:t>
      </w:r>
      <w:r w:rsidRPr="00AB3B99">
        <w:rPr>
          <w:rFonts w:eastAsia="SimSun" w:hint="cs"/>
          <w:spacing w:val="-2"/>
          <w:rtl/>
        </w:rPr>
        <w:t xml:space="preserve"> والوثيقة</w:t>
      </w:r>
      <w:r w:rsidRPr="00AB3B99">
        <w:rPr>
          <w:rFonts w:eastAsia="SimSun" w:hint="eastAsia"/>
          <w:spacing w:val="-2"/>
          <w:rtl/>
        </w:rPr>
        <w:t> </w:t>
      </w:r>
      <w:r w:rsidRPr="00AB3B99">
        <w:rPr>
          <w:rFonts w:eastAsia="SimSun"/>
          <w:spacing w:val="-2"/>
        </w:rPr>
        <w:t>RRB15-1/1</w:t>
      </w:r>
      <w:r w:rsidRPr="00AB3B99">
        <w:rPr>
          <w:rFonts w:eastAsia="SimSun" w:hint="cs"/>
          <w:spacing w:val="-2"/>
          <w:rtl/>
        </w:rPr>
        <w:t>) إلى</w:t>
      </w:r>
      <w:r w:rsidRPr="00AB3B99">
        <w:rPr>
          <w:rFonts w:eastAsia="SimSun" w:hint="eastAsia"/>
          <w:spacing w:val="-2"/>
          <w:rtl/>
        </w:rPr>
        <w:t> </w:t>
      </w:r>
      <w:r w:rsidRPr="00AB3B99">
        <w:rPr>
          <w:rFonts w:eastAsia="SimSun" w:hint="cs"/>
          <w:spacing w:val="-2"/>
          <w:rtl/>
        </w:rPr>
        <w:t>المؤتمر</w:t>
      </w:r>
      <w:r w:rsidRPr="00AB3B99">
        <w:rPr>
          <w:rFonts w:eastAsia="SimSun" w:hint="eastAsia"/>
          <w:spacing w:val="-2"/>
          <w:rtl/>
        </w:rPr>
        <w:t> </w:t>
      </w:r>
      <w:r w:rsidRPr="00AB3B99">
        <w:rPr>
          <w:rFonts w:eastAsia="SimSun"/>
          <w:spacing w:val="-2"/>
        </w:rPr>
        <w:t>WRC-15</w:t>
      </w:r>
      <w:r w:rsidRPr="00AB3B99">
        <w:rPr>
          <w:rFonts w:eastAsia="SimSun" w:hint="cs"/>
          <w:spacing w:val="-2"/>
          <w:rtl/>
        </w:rPr>
        <w:t xml:space="preserve"> بشأن القرار </w:t>
      </w:r>
      <w:r w:rsidRPr="00A460A4">
        <w:rPr>
          <w:rFonts w:eastAsia="SimSun"/>
          <w:b/>
          <w:bCs/>
          <w:spacing w:val="-2"/>
        </w:rPr>
        <w:t>80(Rev.WRC</w:t>
      </w:r>
      <w:r w:rsidRPr="00A460A4">
        <w:rPr>
          <w:rFonts w:eastAsia="SimSun"/>
          <w:b/>
          <w:bCs/>
          <w:spacing w:val="-2"/>
        </w:rPr>
        <w:noBreakHyphen/>
        <w:t>07)</w:t>
      </w:r>
      <w:r w:rsidRPr="00AB3B99">
        <w:rPr>
          <w:rFonts w:eastAsia="SimSun" w:hint="cs"/>
          <w:spacing w:val="-2"/>
          <w:rtl/>
        </w:rPr>
        <w:t xml:space="preserve">، </w:t>
      </w:r>
      <w:r w:rsidRPr="00AB3B99">
        <w:rPr>
          <w:rFonts w:eastAsia="SimSun"/>
          <w:spacing w:val="-2"/>
          <w:rtl/>
        </w:rPr>
        <w:t>لكي تنظر فيه الإدارات وتُبدي تعليقاتها بشأنه</w:t>
      </w:r>
      <w:r w:rsidRPr="00AB3B99">
        <w:rPr>
          <w:rFonts w:eastAsia="SimSun" w:hint="cs"/>
          <w:spacing w:val="-2"/>
          <w:rtl/>
        </w:rPr>
        <w:t>، وشمل حالة "الظروف</w:t>
      </w:r>
      <w:r w:rsidRPr="00AB3B99">
        <w:rPr>
          <w:rFonts w:eastAsia="SimSun" w:hint="eastAsia"/>
          <w:spacing w:val="-2"/>
          <w:rtl/>
        </w:rPr>
        <w:t> </w:t>
      </w:r>
      <w:r w:rsidRPr="00AB3B99">
        <w:rPr>
          <w:rFonts w:eastAsia="SimSun" w:hint="cs"/>
          <w:spacing w:val="-2"/>
          <w:rtl/>
        </w:rPr>
        <w:t xml:space="preserve">القاهرة". وأفيد بأن اللجنة تتلقى </w:t>
      </w:r>
      <w:r w:rsidRPr="00AB3B99">
        <w:rPr>
          <w:rFonts w:eastAsia="SimSun"/>
          <w:spacing w:val="-2"/>
          <w:rtl/>
        </w:rPr>
        <w:t xml:space="preserve">من الإدارات </w:t>
      </w:r>
      <w:r w:rsidRPr="00AB3B99">
        <w:rPr>
          <w:rFonts w:eastAsia="SimSun" w:hint="cs"/>
          <w:spacing w:val="-2"/>
          <w:rtl/>
        </w:rPr>
        <w:t xml:space="preserve">دورياً طلبات </w:t>
      </w:r>
      <w:r w:rsidRPr="00AB3B99">
        <w:rPr>
          <w:rFonts w:eastAsia="SimSun"/>
          <w:spacing w:val="-2"/>
          <w:rtl/>
        </w:rPr>
        <w:t>لتمديد الموعد النهائي التنظيمي لوضع تخصيصات التردد المرتبطة بشبكات ساتلية في الخدمة</w:t>
      </w:r>
      <w:r w:rsidRPr="00AB3B99">
        <w:rPr>
          <w:rFonts w:eastAsia="SimSun" w:hint="cs"/>
          <w:spacing w:val="-2"/>
          <w:rtl/>
        </w:rPr>
        <w:t>،</w:t>
      </w:r>
      <w:r w:rsidRPr="00AB3B99">
        <w:rPr>
          <w:rFonts w:eastAsia="SimSun"/>
          <w:spacing w:val="-2"/>
          <w:rtl/>
        </w:rPr>
        <w:t xml:space="preserve"> بسبب ظروف قاهرة. و</w:t>
      </w:r>
      <w:r w:rsidRPr="00AB3B99">
        <w:rPr>
          <w:rFonts w:eastAsia="SimSun" w:hint="cs"/>
          <w:spacing w:val="-2"/>
          <w:rtl/>
        </w:rPr>
        <w:t xml:space="preserve">قد عالج المؤتمران </w:t>
      </w:r>
      <w:r w:rsidRPr="00AB3B99">
        <w:rPr>
          <w:rFonts w:eastAsia="SimSun"/>
          <w:spacing w:val="-2"/>
        </w:rPr>
        <w:t>WRC-03</w:t>
      </w:r>
      <w:r w:rsidRPr="00AB3B99">
        <w:rPr>
          <w:rFonts w:eastAsia="SimSun" w:hint="cs"/>
          <w:spacing w:val="-2"/>
          <w:rtl/>
        </w:rPr>
        <w:t xml:space="preserve"> و</w:t>
      </w:r>
      <w:r w:rsidRPr="00AB3B99">
        <w:rPr>
          <w:rFonts w:eastAsia="SimSun"/>
          <w:spacing w:val="-2"/>
        </w:rPr>
        <w:t>WRC-12</w:t>
      </w:r>
      <w:r w:rsidR="000D1289">
        <w:rPr>
          <w:rFonts w:eastAsia="SimSun" w:hint="cs"/>
          <w:spacing w:val="-2"/>
          <w:rtl/>
        </w:rPr>
        <w:t xml:space="preserve"> </w:t>
      </w:r>
      <w:r w:rsidRPr="00AB3B99">
        <w:rPr>
          <w:rFonts w:eastAsia="SimSun" w:hint="cs"/>
          <w:spacing w:val="-2"/>
          <w:rtl/>
        </w:rPr>
        <w:t xml:space="preserve">مسألة الظروف القاهرة </w:t>
      </w:r>
      <w:r w:rsidRPr="00AB3B99">
        <w:rPr>
          <w:rFonts w:eastAsia="SimSun"/>
          <w:spacing w:val="-2"/>
          <w:rtl/>
        </w:rPr>
        <w:t>في</w:t>
      </w:r>
      <w:r w:rsidRPr="00AB3B99">
        <w:rPr>
          <w:rFonts w:eastAsia="SimSun" w:hint="cs"/>
          <w:spacing w:val="-2"/>
          <w:rtl/>
        </w:rPr>
        <w:t> </w:t>
      </w:r>
      <w:r w:rsidRPr="00AB3B99">
        <w:rPr>
          <w:rFonts w:eastAsia="SimSun"/>
          <w:spacing w:val="-2"/>
          <w:rtl/>
        </w:rPr>
        <w:t xml:space="preserve">النطاقات المخططة من خلال اعتماد تغييرات في </w:t>
      </w:r>
      <w:proofErr w:type="spellStart"/>
      <w:r w:rsidRPr="00AB3B99">
        <w:rPr>
          <w:rFonts w:eastAsia="SimSun"/>
          <w:spacing w:val="-2"/>
          <w:rtl/>
        </w:rPr>
        <w:t>التذييلات</w:t>
      </w:r>
      <w:proofErr w:type="spellEnd"/>
      <w:r w:rsidRPr="00AB3B99">
        <w:rPr>
          <w:rFonts w:eastAsia="SimSun"/>
          <w:spacing w:val="-2"/>
          <w:rtl/>
        </w:rPr>
        <w:t xml:space="preserve"> </w:t>
      </w:r>
      <w:r w:rsidRPr="00756A07">
        <w:rPr>
          <w:rFonts w:eastAsia="SimSun"/>
          <w:b/>
          <w:bCs/>
          <w:spacing w:val="-2"/>
        </w:rPr>
        <w:t>30</w:t>
      </w:r>
      <w:r w:rsidRPr="00AB3B99">
        <w:rPr>
          <w:rFonts w:eastAsia="SimSun"/>
          <w:spacing w:val="-2"/>
          <w:rtl/>
        </w:rPr>
        <w:t xml:space="preserve"> و</w:t>
      </w:r>
      <w:r w:rsidRPr="00756A07">
        <w:rPr>
          <w:rFonts w:eastAsia="SimSun"/>
          <w:b/>
          <w:bCs/>
          <w:spacing w:val="-2"/>
        </w:rPr>
        <w:t>30A</w:t>
      </w:r>
      <w:r w:rsidR="000D1289">
        <w:rPr>
          <w:rFonts w:eastAsia="SimSun" w:hint="cs"/>
          <w:b/>
          <w:bCs/>
          <w:spacing w:val="-2"/>
          <w:rtl/>
        </w:rPr>
        <w:t xml:space="preserve"> </w:t>
      </w:r>
      <w:r w:rsidRPr="00AB3B99">
        <w:rPr>
          <w:rFonts w:eastAsia="SimSun"/>
          <w:spacing w:val="-2"/>
          <w:rtl/>
        </w:rPr>
        <w:t>و</w:t>
      </w:r>
      <w:r w:rsidRPr="00756A07">
        <w:rPr>
          <w:rFonts w:eastAsia="SimSun"/>
          <w:b/>
          <w:bCs/>
          <w:spacing w:val="-2"/>
        </w:rPr>
        <w:t>30B</w:t>
      </w:r>
      <w:r w:rsidRPr="00AB3B99">
        <w:rPr>
          <w:rFonts w:eastAsia="SimSun"/>
          <w:spacing w:val="-2"/>
          <w:rtl/>
        </w:rPr>
        <w:t>تحدد الظروف التي يجب توافرها</w:t>
      </w:r>
      <w:r w:rsidRPr="00AB3B99">
        <w:rPr>
          <w:rFonts w:eastAsia="SimSun" w:hint="cs"/>
          <w:spacing w:val="-2"/>
          <w:rtl/>
        </w:rPr>
        <w:t>،</w:t>
      </w:r>
      <w:r w:rsidRPr="00AB3B99">
        <w:rPr>
          <w:rFonts w:eastAsia="SimSun"/>
          <w:spacing w:val="-2"/>
          <w:rtl/>
        </w:rPr>
        <w:t xml:space="preserve"> والإجراء المطلوب من الإدارة والمواعيد النهائية</w:t>
      </w:r>
      <w:r w:rsidRPr="00AB3B99">
        <w:rPr>
          <w:rFonts w:eastAsia="SimSun" w:hint="cs"/>
          <w:spacing w:val="-2"/>
          <w:rtl/>
        </w:rPr>
        <w:t xml:space="preserve">. وحبذا لو نظر المؤتمر </w:t>
      </w:r>
      <w:r w:rsidRPr="00AB3B99">
        <w:rPr>
          <w:rFonts w:eastAsia="SimSun"/>
          <w:spacing w:val="-2"/>
        </w:rPr>
        <w:t>WRC-15</w:t>
      </w:r>
      <w:r w:rsidRPr="00AB3B99">
        <w:rPr>
          <w:rFonts w:eastAsia="SimSun" w:hint="cs"/>
          <w:spacing w:val="-2"/>
          <w:rtl/>
        </w:rPr>
        <w:t xml:space="preserve"> في اعتماد شروط مماثلة فيما يخص النطاقات غير المخططة.</w:t>
      </w:r>
    </w:p>
    <w:p w:rsidR="00F16602" w:rsidRDefault="003239E5" w:rsidP="000D1289">
      <w:pPr>
        <w:rPr>
          <w:rFonts w:eastAsia="SimSun"/>
          <w:spacing w:val="-2"/>
          <w:rtl/>
        </w:rPr>
      </w:pPr>
      <w:r w:rsidRPr="00AB3B99">
        <w:rPr>
          <w:rFonts w:eastAsia="SimSun" w:hint="cs"/>
          <w:spacing w:val="-2"/>
          <w:rtl/>
        </w:rPr>
        <w:t xml:space="preserve">تدعم الادارة السودانية هذا الأسلوب الذي يدعو الي إدخال حكم إضافي، الرقم </w:t>
      </w:r>
      <w:r w:rsidRPr="00756A07">
        <w:rPr>
          <w:rFonts w:eastAsia="SimSun"/>
          <w:b/>
          <w:bCs/>
          <w:spacing w:val="-2"/>
        </w:rPr>
        <w:t>XX.11</w:t>
      </w:r>
      <w:r w:rsidRPr="00AB3B99">
        <w:rPr>
          <w:rFonts w:eastAsia="SimSun" w:hint="cs"/>
          <w:spacing w:val="-2"/>
          <w:rtl/>
        </w:rPr>
        <w:t xml:space="preserve">، في لوائح الراديو لتنظيم </w:t>
      </w:r>
      <w:r w:rsidRPr="00AB3B99">
        <w:rPr>
          <w:rFonts w:eastAsia="SimSun"/>
          <w:spacing w:val="-2"/>
          <w:rtl/>
        </w:rPr>
        <w:t>أي فشل إطلاق</w:t>
      </w:r>
      <w:r w:rsidRPr="00AB3B99">
        <w:rPr>
          <w:rFonts w:eastAsia="SimSun" w:hint="cs"/>
          <w:spacing w:val="-2"/>
          <w:rtl/>
        </w:rPr>
        <w:t>، بحسب كل حالة على حدة، بحيث يجعل هذا الفشل الساتل غير قادر على بدء وضع تخصيص تردد مبلغ عنه في الخدمة أو إعادة وضعه في الخدمة.</w:t>
      </w:r>
    </w:p>
    <w:p w:rsidR="00943206" w:rsidRDefault="00943206" w:rsidP="000D1289">
      <w:pPr>
        <w:pStyle w:val="Headingb"/>
      </w:pPr>
      <w:r>
        <w:rPr>
          <w:rFonts w:hint="cs"/>
          <w:rtl/>
        </w:rPr>
        <w:t>المقترح</w:t>
      </w:r>
    </w:p>
    <w:p w:rsidR="009F37C9" w:rsidRPr="00756A07" w:rsidRDefault="00397A3C" w:rsidP="00756A07">
      <w:pPr>
        <w:pStyle w:val="ArtNo"/>
        <w:rPr>
          <w:rtl/>
        </w:rPr>
      </w:pPr>
      <w:r w:rsidRPr="00756A07">
        <w:rPr>
          <w:rtl/>
        </w:rPr>
        <w:t xml:space="preserve">المـادة </w:t>
      </w:r>
      <w:r w:rsidRPr="00756A07">
        <w:rPr>
          <w:rStyle w:val="href"/>
        </w:rPr>
        <w:t>11</w:t>
      </w:r>
    </w:p>
    <w:p w:rsidR="009F37C9" w:rsidRPr="00620278" w:rsidRDefault="00397A3C" w:rsidP="00D02A9E">
      <w:pPr>
        <w:pStyle w:val="Arttitle"/>
        <w:rPr>
          <w:rtl/>
          <w:lang w:bidi="ar-SY"/>
        </w:rPr>
      </w:pPr>
      <w:bookmarkStart w:id="1" w:name="_Toc331055745"/>
      <w:r w:rsidRPr="00620278">
        <w:rPr>
          <w:rtl/>
        </w:rPr>
        <w:t>التبليغ عن تخصيصات التردد وتسجيلها</w:t>
      </w:r>
      <w:r>
        <w:rPr>
          <w:rStyle w:val="FootnoteReference"/>
          <w:bCs w:val="0"/>
          <w:rtl/>
        </w:rPr>
        <w:t>1</w:t>
      </w:r>
      <w:proofErr w:type="gramStart"/>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proofErr w:type="gramEnd"/>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B34911">
        <w:rPr>
          <w:rStyle w:val="FootnoteReference"/>
          <w:rFonts w:ascii="Times New Roman Bold" w:hAnsi="Times New Roman Bold" w:cs="Traditional Arabic"/>
          <w:bCs w:val="0"/>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D32160" w:rsidRDefault="00397A3C">
      <w:pPr>
        <w:pStyle w:val="Proposal"/>
      </w:pPr>
      <w:r>
        <w:t>ADD</w:t>
      </w:r>
      <w:r>
        <w:tab/>
        <w:t>SDN/86A21A11/1</w:t>
      </w:r>
    </w:p>
    <w:p w:rsidR="003239E5" w:rsidRPr="006335D9" w:rsidRDefault="003239E5" w:rsidP="003239E5">
      <w:pPr>
        <w:rPr>
          <w:spacing w:val="-2"/>
          <w:rtl/>
          <w:lang w:bidi="ar-EG"/>
        </w:rPr>
      </w:pPr>
      <w:r>
        <w:rPr>
          <w:rStyle w:val="Artdef"/>
          <w:rFonts w:ascii="Times New Roman"/>
        </w:rPr>
        <w:t>11</w:t>
      </w:r>
      <w:proofErr w:type="gramStart"/>
      <w:r>
        <w:rPr>
          <w:rStyle w:val="Artdef"/>
          <w:rFonts w:ascii="Times New Roman"/>
        </w:rPr>
        <w:t>.XX</w:t>
      </w:r>
      <w:proofErr w:type="gramEnd"/>
      <w:r>
        <w:tab/>
      </w:r>
      <w:r w:rsidRPr="007261DA">
        <w:rPr>
          <w:rFonts w:hint="cs"/>
          <w:rtl/>
          <w:lang w:bidi="ar-EG"/>
        </w:rPr>
        <w:t>في حالة تعطل ساتل أُطلق حديثاً قبل الدخول في فترة الوضع في الخدمة أو إعادة الوضع، بسبب فشل الإطلاق في</w:t>
      </w:r>
      <w:r>
        <w:rPr>
          <w:rFonts w:hint="eastAsia"/>
          <w:rtl/>
          <w:lang w:bidi="ar-EG"/>
        </w:rPr>
        <w:t> </w:t>
      </w:r>
      <w:r w:rsidRPr="007261DA">
        <w:rPr>
          <w:rFonts w:hint="cs"/>
          <w:rtl/>
          <w:lang w:bidi="ar-EG"/>
        </w:rPr>
        <w:t>الحالة التالية:</w:t>
      </w:r>
    </w:p>
    <w:p w:rsidR="003239E5" w:rsidRPr="006335D9" w:rsidRDefault="003239E5" w:rsidP="003239E5">
      <w:pPr>
        <w:pStyle w:val="enumlev10"/>
        <w:rPr>
          <w:rtl/>
        </w:rPr>
      </w:pPr>
      <w:r w:rsidRPr="006335D9">
        <w:rPr>
          <w:rtl/>
        </w:rPr>
        <w:t>-</w:t>
      </w:r>
      <w:r w:rsidRPr="006335D9">
        <w:rPr>
          <w:rtl/>
        </w:rPr>
        <w:tab/>
      </w:r>
      <w:r>
        <w:rPr>
          <w:rFonts w:hint="cs"/>
          <w:rtl/>
        </w:rPr>
        <w:t>تعرض الساتل الذي أطلق وكان يتوخى منه وضع التخصيص في الخدمة أو إعادة وضعه في الخدمة للتدمير،</w:t>
      </w:r>
    </w:p>
    <w:p w:rsidR="003239E5" w:rsidRDefault="003239E5" w:rsidP="000D1289">
      <w:pPr>
        <w:rPr>
          <w:rtl/>
          <w:lang w:val="ar-SA"/>
        </w:rPr>
      </w:pPr>
      <w:r w:rsidRPr="006335D9">
        <w:rPr>
          <w:rtl/>
          <w:lang w:val="ar-SA"/>
        </w:rPr>
        <w:t>يجوز للإدارة المبلغة أن تعرض الحالة على اللجنة</w:t>
      </w:r>
      <w:r w:rsidRPr="006335D9">
        <w:rPr>
          <w:rFonts w:hint="cs"/>
          <w:spacing w:val="-2"/>
          <w:rtl/>
        </w:rPr>
        <w:t xml:space="preserve"> في غضون شهر واحد من فشل الإطلاق، </w:t>
      </w:r>
      <w:r w:rsidRPr="006335D9">
        <w:rPr>
          <w:rtl/>
          <w:lang w:val="ar-SA"/>
        </w:rPr>
        <w:t>للنظر فيها وبحثها بدقة</w:t>
      </w:r>
      <w:r>
        <w:rPr>
          <w:rFonts w:hint="cs"/>
          <w:rtl/>
          <w:lang w:val="ar-SA"/>
        </w:rPr>
        <w:t>، مع</w:t>
      </w:r>
      <w:r w:rsidR="000D1289">
        <w:rPr>
          <w:rFonts w:hint="eastAsia"/>
          <w:rtl/>
          <w:lang w:val="ar-SA"/>
        </w:rPr>
        <w:t> </w:t>
      </w:r>
      <w:r>
        <w:rPr>
          <w:rFonts w:hint="cs"/>
          <w:rtl/>
          <w:lang w:val="ar-SA"/>
        </w:rPr>
        <w:t xml:space="preserve">مراعاة </w:t>
      </w:r>
      <w:r w:rsidRPr="006335D9">
        <w:rPr>
          <w:rtl/>
          <w:lang w:val="ar-SA"/>
        </w:rPr>
        <w:t>جميع المواد الداعمة، بما فيها تفاصيل عن الساتل الذي تعطل، وذلك لتمكين اللجنة من اتخاذ قرار بشأن</w:t>
      </w:r>
      <w:r w:rsidR="000D1289">
        <w:rPr>
          <w:rFonts w:hint="cs"/>
          <w:rtl/>
          <w:lang w:val="ar-SA"/>
        </w:rPr>
        <w:t> </w:t>
      </w:r>
      <w:r w:rsidRPr="006335D9">
        <w:rPr>
          <w:rFonts w:hint="cs"/>
          <w:rtl/>
          <w:lang w:val="ar-SA"/>
        </w:rPr>
        <w:t>المسألة</w:t>
      </w:r>
      <w:r w:rsidRPr="006335D9">
        <w:rPr>
          <w:rtl/>
          <w:lang w:val="ar-SA"/>
        </w:rPr>
        <w:t xml:space="preserve"> حسب</w:t>
      </w:r>
      <w:r w:rsidR="000D1289">
        <w:rPr>
          <w:rFonts w:hint="cs"/>
          <w:rtl/>
          <w:lang w:val="ar-SA"/>
        </w:rPr>
        <w:t> </w:t>
      </w:r>
      <w:r w:rsidRPr="006335D9">
        <w:rPr>
          <w:rtl/>
          <w:lang w:val="ar-SA"/>
        </w:rPr>
        <w:t>الاقتضاء.</w:t>
      </w:r>
    </w:p>
    <w:p w:rsidR="003239E5" w:rsidRDefault="003239E5" w:rsidP="003239E5">
      <w:pPr>
        <w:rPr>
          <w:spacing w:val="-2"/>
          <w:rtl/>
        </w:rPr>
      </w:pPr>
      <w:r>
        <w:rPr>
          <w:rFonts w:hint="cs"/>
          <w:rtl/>
          <w:lang w:bidi="ar-SY"/>
        </w:rPr>
        <w:t>ول</w:t>
      </w:r>
      <w:r>
        <w:rPr>
          <w:rtl/>
          <w:lang w:bidi="ar-SY"/>
        </w:rPr>
        <w:t>كي</w:t>
      </w:r>
      <w:r>
        <w:rPr>
          <w:rFonts w:hint="cs"/>
          <w:rtl/>
          <w:lang w:bidi="ar-SY"/>
        </w:rPr>
        <w:t xml:space="preserve"> تم</w:t>
      </w:r>
      <w:r w:rsidRPr="00C13229">
        <w:rPr>
          <w:rtl/>
          <w:lang w:bidi="ar-SY"/>
        </w:rPr>
        <w:t xml:space="preserve">نح </w:t>
      </w:r>
      <w:r>
        <w:rPr>
          <w:rFonts w:hint="cs"/>
          <w:rtl/>
          <w:lang w:bidi="ar-SY"/>
        </w:rPr>
        <w:t xml:space="preserve">اللجنة أي </w:t>
      </w:r>
      <w:r w:rsidRPr="00C13229">
        <w:rPr>
          <w:rtl/>
          <w:lang w:bidi="ar-SY"/>
        </w:rPr>
        <w:t xml:space="preserve">تمديد، يجب أن يكون فشل الإطلاق قد حدث بعد </w:t>
      </w:r>
      <w:r>
        <w:rPr>
          <w:rFonts w:hint="cs"/>
          <w:rtl/>
          <w:lang w:bidi="ar-SY"/>
        </w:rPr>
        <w:t>أربع</w:t>
      </w:r>
      <w:r w:rsidRPr="00C13229">
        <w:rPr>
          <w:rtl/>
          <w:lang w:bidi="ar-SY"/>
        </w:rPr>
        <w:t xml:space="preserve"> سنوات على الأقل من تاريخ استلام </w:t>
      </w:r>
      <w:r>
        <w:rPr>
          <w:rFonts w:hint="cs"/>
          <w:rtl/>
          <w:lang w:bidi="ar-SY"/>
        </w:rPr>
        <w:t>المعلومات</w:t>
      </w:r>
      <w:r w:rsidRPr="00C13229">
        <w:rPr>
          <w:rtl/>
          <w:lang w:bidi="ar-SY"/>
        </w:rPr>
        <w:t xml:space="preserve"> الكاملة بموجب </w:t>
      </w:r>
      <w:r>
        <w:rPr>
          <w:rFonts w:hint="cs"/>
          <w:rtl/>
          <w:lang w:bidi="ar-SY"/>
        </w:rPr>
        <w:t xml:space="preserve">الرقم </w:t>
      </w:r>
      <w:r w:rsidRPr="00C13229">
        <w:rPr>
          <w:b/>
          <w:bCs/>
          <w:lang w:bidi="ar-SY"/>
        </w:rPr>
        <w:t>1.9</w:t>
      </w:r>
      <w:r>
        <w:rPr>
          <w:rFonts w:hint="cs"/>
          <w:rtl/>
          <w:lang w:bidi="ar-SY"/>
        </w:rPr>
        <w:t xml:space="preserve">، أو يكون قد حدث خلال فترة التعليق بموجب الرقم </w:t>
      </w:r>
      <w:r w:rsidRPr="00C13229">
        <w:rPr>
          <w:b/>
          <w:bCs/>
          <w:lang w:bidi="ar-SY"/>
        </w:rPr>
        <w:t>49.11</w:t>
      </w:r>
      <w:r>
        <w:rPr>
          <w:rFonts w:hint="cs"/>
          <w:rtl/>
          <w:lang w:bidi="ar-SY"/>
        </w:rPr>
        <w:t xml:space="preserve">، حسب الاقتضاء. ولا يجوز </w:t>
      </w:r>
      <w:r w:rsidRPr="00C13229">
        <w:rPr>
          <w:rtl/>
          <w:lang w:bidi="ar-SY"/>
        </w:rPr>
        <w:t>بأي حال أن</w:t>
      </w:r>
      <w:r>
        <w:rPr>
          <w:rFonts w:hint="cs"/>
          <w:rtl/>
          <w:lang w:bidi="ar-SY"/>
        </w:rPr>
        <w:t> </w:t>
      </w:r>
      <w:r w:rsidRPr="00C13229">
        <w:rPr>
          <w:rtl/>
          <w:lang w:bidi="ar-SY"/>
        </w:rPr>
        <w:t xml:space="preserve">تزيد فترة تمديد المهلة الزمنية التنظيمية عن الفارق الزمني بين فترة ثلاث سنوات والفترة المتبقية من تاريخ فشل الإطلاق حتى </w:t>
      </w:r>
      <w:r>
        <w:rPr>
          <w:rtl/>
          <w:lang w:bidi="ar-SY"/>
        </w:rPr>
        <w:t>نهاية المهلة الزمنية التنظيمية.</w:t>
      </w:r>
    </w:p>
    <w:p w:rsidR="00756A07" w:rsidRDefault="003239E5" w:rsidP="00756A07">
      <w:pPr>
        <w:rPr>
          <w:rFonts w:cs="Times New Roman"/>
          <w:sz w:val="16"/>
          <w:szCs w:val="16"/>
          <w:rtl/>
          <w:lang w:val="en-GB"/>
        </w:rPr>
      </w:pPr>
      <w:r w:rsidRPr="006335D9">
        <w:rPr>
          <w:rtl/>
          <w:lang w:val="ar-SA"/>
        </w:rPr>
        <w:t xml:space="preserve">وعند النظر في </w:t>
      </w:r>
      <w:r w:rsidRPr="006335D9">
        <w:rPr>
          <w:rFonts w:hint="cs"/>
          <w:rtl/>
          <w:lang w:val="ar-SA"/>
        </w:rPr>
        <w:t>هذه المسألة،</w:t>
      </w:r>
      <w:r w:rsidR="00397A3C">
        <w:rPr>
          <w:rFonts w:hint="cs"/>
          <w:rtl/>
          <w:lang w:val="ar-SA"/>
        </w:rPr>
        <w:t xml:space="preserve"> </w:t>
      </w:r>
      <w:r>
        <w:rPr>
          <w:rFonts w:hint="cs"/>
          <w:rtl/>
          <w:lang w:val="ar-SA"/>
        </w:rPr>
        <w:t>يجوز</w:t>
      </w:r>
      <w:r w:rsidRPr="006335D9">
        <w:rPr>
          <w:rtl/>
          <w:lang w:val="ar-SA"/>
        </w:rPr>
        <w:t xml:space="preserve"> للجنة أن تحدد </w:t>
      </w:r>
      <w:r w:rsidRPr="006335D9">
        <w:rPr>
          <w:rFonts w:hint="cs"/>
          <w:rtl/>
          <w:lang w:val="ar-SA"/>
        </w:rPr>
        <w:t>على أساس</w:t>
      </w:r>
      <w:r>
        <w:rPr>
          <w:rtl/>
          <w:lang w:val="ar-SA"/>
        </w:rPr>
        <w:t xml:space="preserve"> كل حالة على حدة </w:t>
      </w:r>
      <w:r>
        <w:rPr>
          <w:rFonts w:hint="cs"/>
          <w:rtl/>
          <w:lang w:val="ar-SA"/>
        </w:rPr>
        <w:t>إن</w:t>
      </w:r>
      <w:r w:rsidRPr="006335D9">
        <w:rPr>
          <w:rtl/>
          <w:lang w:val="ar-SA"/>
        </w:rPr>
        <w:t xml:space="preserve"> كان من الملائم تطبيق أحكام </w:t>
      </w:r>
      <w:proofErr w:type="gramStart"/>
      <w:r w:rsidRPr="006335D9">
        <w:rPr>
          <w:rtl/>
          <w:lang w:val="ar-SA"/>
        </w:rPr>
        <w:t>الرقم</w:t>
      </w:r>
      <w:r w:rsidRPr="006335D9">
        <w:rPr>
          <w:rFonts w:hint="eastAsia"/>
          <w:rtl/>
          <w:lang w:val="ar-SA"/>
        </w:rPr>
        <w:t> </w:t>
      </w:r>
      <w:r w:rsidR="00397A3C">
        <w:rPr>
          <w:rFonts w:hint="cs"/>
          <w:rtl/>
          <w:lang w:val="ar-SA"/>
        </w:rPr>
        <w:t xml:space="preserve"> </w:t>
      </w:r>
      <w:r w:rsidRPr="006335D9">
        <w:rPr>
          <w:b/>
          <w:bCs/>
        </w:rPr>
        <w:t>44</w:t>
      </w:r>
      <w:proofErr w:type="gramEnd"/>
      <w:r w:rsidRPr="006335D9">
        <w:rPr>
          <w:b/>
          <w:bCs/>
        </w:rPr>
        <w:t>B.11</w:t>
      </w:r>
      <w:r w:rsidR="000D1289">
        <w:rPr>
          <w:rFonts w:hint="cs"/>
          <w:b/>
          <w:bCs/>
          <w:rtl/>
        </w:rPr>
        <w:t xml:space="preserve"> </w:t>
      </w:r>
      <w:r w:rsidRPr="006335D9">
        <w:rPr>
          <w:rFonts w:hint="cs"/>
          <w:rtl/>
          <w:lang w:val="ar-SA"/>
        </w:rPr>
        <w:t>أو الرقم</w:t>
      </w:r>
      <w:r>
        <w:rPr>
          <w:rFonts w:hint="eastAsia"/>
          <w:rtl/>
          <w:lang w:val="ar-SA"/>
        </w:rPr>
        <w:t> </w:t>
      </w:r>
      <w:r w:rsidRPr="006335D9">
        <w:rPr>
          <w:b/>
          <w:bCs/>
        </w:rPr>
        <w:t>49.11</w:t>
      </w:r>
      <w:r w:rsidR="00397A3C">
        <w:rPr>
          <w:rFonts w:hint="cs"/>
          <w:b/>
          <w:bCs/>
          <w:rtl/>
        </w:rPr>
        <w:t xml:space="preserve"> </w:t>
      </w:r>
      <w:r w:rsidRPr="006335D9">
        <w:rPr>
          <w:rtl/>
          <w:lang w:val="ar-SA"/>
        </w:rPr>
        <w:t xml:space="preserve">على </w:t>
      </w:r>
      <w:r w:rsidRPr="006335D9">
        <w:rPr>
          <w:rFonts w:hint="cs"/>
          <w:rtl/>
          <w:lang w:val="ar-SA"/>
        </w:rPr>
        <w:t>تخصيصات</w:t>
      </w:r>
      <w:r w:rsidRPr="006335D9">
        <w:rPr>
          <w:rtl/>
          <w:lang w:val="ar-SA"/>
        </w:rPr>
        <w:t xml:space="preserve"> التردد المعنية في</w:t>
      </w:r>
      <w:r w:rsidRPr="006335D9">
        <w:rPr>
          <w:rFonts w:hint="cs"/>
          <w:rtl/>
          <w:lang w:val="ar-SA"/>
        </w:rPr>
        <w:t> </w:t>
      </w:r>
      <w:r w:rsidRPr="006335D9">
        <w:rPr>
          <w:rtl/>
          <w:lang w:val="ar-SA"/>
        </w:rPr>
        <w:t>هذه الحالة.</w:t>
      </w:r>
      <w:r>
        <w:rPr>
          <w:rFonts w:hint="eastAsia"/>
          <w:rtl/>
          <w:lang w:val="ar-SA" w:bidi="ar-EG"/>
        </w:rPr>
        <w:t> </w:t>
      </w:r>
      <w:r>
        <w:rPr>
          <w:rFonts w:hint="cs"/>
          <w:rtl/>
          <w:lang w:val="ar-SA" w:bidi="ar-EG"/>
        </w:rPr>
        <w:t>  </w:t>
      </w:r>
      <w:r>
        <w:rPr>
          <w:rFonts w:hint="eastAsia"/>
          <w:rtl/>
          <w:lang w:val="ar-SA" w:bidi="ar-EG"/>
        </w:rPr>
        <w:t>   </w:t>
      </w:r>
      <w:r w:rsidRPr="007261DA">
        <w:rPr>
          <w:rFonts w:cs="Times New Roman"/>
          <w:sz w:val="16"/>
          <w:szCs w:val="16"/>
          <w:lang w:val="en-GB"/>
        </w:rPr>
        <w:t>(WRC</w:t>
      </w:r>
      <w:r w:rsidRPr="007261DA">
        <w:rPr>
          <w:rFonts w:cs="Times New Roman"/>
          <w:sz w:val="16"/>
          <w:szCs w:val="16"/>
          <w:lang w:val="en-GB"/>
        </w:rPr>
        <w:noBreakHyphen/>
        <w:t>15)</w:t>
      </w:r>
    </w:p>
    <w:p w:rsidR="00756A07" w:rsidRPr="00756A07" w:rsidRDefault="00756A07" w:rsidP="000D1289">
      <w:pPr>
        <w:pStyle w:val="Reasons"/>
        <w:rPr>
          <w:rtl/>
          <w:lang w:val="en-GB"/>
        </w:rPr>
      </w:pPr>
    </w:p>
    <w:p w:rsidR="00397A3C" w:rsidRPr="00397A3C" w:rsidRDefault="00397A3C" w:rsidP="00397A3C">
      <w:pPr>
        <w:spacing w:before="600"/>
        <w:jc w:val="center"/>
        <w:rPr>
          <w:lang w:bidi="ar-EG"/>
        </w:rPr>
      </w:pPr>
      <w:bookmarkStart w:id="2" w:name="_GoBack"/>
      <w:bookmarkEnd w:id="2"/>
      <w:r>
        <w:rPr>
          <w:rtl/>
          <w:lang w:bidi="ar-EG"/>
        </w:rPr>
        <w:t>___________</w:t>
      </w:r>
    </w:p>
    <w:sectPr w:rsidR="00397A3C" w:rsidRPr="00397A3C">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239E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D1289">
      <w:rPr>
        <w:noProof/>
        <w:lang w:val="es-ES"/>
      </w:rPr>
      <w:t>P:\ARA\ITU-R\CONF-R\CMR15\000\086ADD21ADD11A.docx</w:t>
    </w:r>
    <w:r w:rsidRPr="00CB4300">
      <w:fldChar w:fldCharType="end"/>
    </w:r>
    <w:r w:rsidRPr="00CB4300">
      <w:rPr>
        <w:lang w:val="es-ES"/>
      </w:rPr>
      <w:t xml:space="preserve">  (</w:t>
    </w:r>
    <w:r w:rsidR="003239E5">
      <w:rPr>
        <w:rFonts w:hint="cs"/>
        <w:rtl/>
        <w:lang w:val="es-ES"/>
      </w:rPr>
      <w:t>388655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D1289">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D1289">
      <w:rPr>
        <w:noProof/>
      </w:rPr>
      <w:t>28.10.15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239E5">
    <w:pPr>
      <w:pStyle w:val="Footer"/>
      <w:rPr>
        <w:lang w:val="es-ES"/>
      </w:rPr>
    </w:pPr>
    <w:r>
      <w:fldChar w:fldCharType="begin"/>
    </w:r>
    <w:r w:rsidRPr="00CB4300">
      <w:rPr>
        <w:lang w:val="es-ES"/>
      </w:rPr>
      <w:instrText xml:space="preserve"> FILENAME \p \* MERGEFORMAT </w:instrText>
    </w:r>
    <w:r>
      <w:fldChar w:fldCharType="separate"/>
    </w:r>
    <w:r w:rsidR="000D1289">
      <w:rPr>
        <w:noProof/>
        <w:lang w:val="es-ES"/>
      </w:rPr>
      <w:t>P:\ARA\ITU-R\CONF-R\CMR15\000\086ADD21ADD11A.docx</w:t>
    </w:r>
    <w:r>
      <w:fldChar w:fldCharType="end"/>
    </w:r>
    <w:r w:rsidRPr="00CB4300">
      <w:rPr>
        <w:lang w:val="es-ES"/>
      </w:rPr>
      <w:t xml:space="preserve">   (</w:t>
    </w:r>
    <w:r w:rsidR="003239E5">
      <w:rPr>
        <w:rFonts w:hint="cs"/>
        <w:rtl/>
        <w:lang w:val="es-ES"/>
      </w:rPr>
      <w:t>388655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D1289">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D1289">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D1289">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86(Add.21</w:t>
    </w:r>
    <w:proofErr w:type="gramStart"/>
    <w:r w:rsidR="00554AE7">
      <w:rPr>
        <w:rStyle w:val="PageNumber"/>
      </w:rPr>
      <w:t>)(</w:t>
    </w:r>
    <w:proofErr w:type="gramEnd"/>
    <w:r w:rsidR="00554AE7">
      <w:rPr>
        <w:rStyle w:val="PageNumber"/>
      </w:rPr>
      <w:t>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289"/>
    <w:rsid w:val="000D1708"/>
    <w:rsid w:val="000E2AFC"/>
    <w:rsid w:val="000E6D30"/>
    <w:rsid w:val="000F05F5"/>
    <w:rsid w:val="000F28EA"/>
    <w:rsid w:val="000F518F"/>
    <w:rsid w:val="0010081C"/>
    <w:rsid w:val="001013E3"/>
    <w:rsid w:val="0010363F"/>
    <w:rsid w:val="001464F2"/>
    <w:rsid w:val="001629EC"/>
    <w:rsid w:val="00167364"/>
    <w:rsid w:val="001903B2"/>
    <w:rsid w:val="001C0F27"/>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1640"/>
    <w:rsid w:val="002A4572"/>
    <w:rsid w:val="002A7E2E"/>
    <w:rsid w:val="002B16D8"/>
    <w:rsid w:val="002D5F64"/>
    <w:rsid w:val="002D6FBF"/>
    <w:rsid w:val="002E48BF"/>
    <w:rsid w:val="002E61C2"/>
    <w:rsid w:val="003239E5"/>
    <w:rsid w:val="0033737F"/>
    <w:rsid w:val="00353652"/>
    <w:rsid w:val="003569E1"/>
    <w:rsid w:val="003815E2"/>
    <w:rsid w:val="00381FAD"/>
    <w:rsid w:val="00382A66"/>
    <w:rsid w:val="003923B1"/>
    <w:rsid w:val="003965FE"/>
    <w:rsid w:val="00397A3C"/>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6A07"/>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43206"/>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460A4"/>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11F02"/>
    <w:rsid w:val="00C22074"/>
    <w:rsid w:val="00C2377B"/>
    <w:rsid w:val="00C3693C"/>
    <w:rsid w:val="00C53F6F"/>
    <w:rsid w:val="00C5489D"/>
    <w:rsid w:val="00C7128E"/>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32160"/>
    <w:rsid w:val="00D419CB"/>
    <w:rsid w:val="00D44350"/>
    <w:rsid w:val="00D44E3F"/>
    <w:rsid w:val="00D525F5"/>
    <w:rsid w:val="00D535D0"/>
    <w:rsid w:val="00D62C78"/>
    <w:rsid w:val="00D81703"/>
    <w:rsid w:val="00D82929"/>
    <w:rsid w:val="00D84214"/>
    <w:rsid w:val="00D943E5"/>
    <w:rsid w:val="00DA1AE0"/>
    <w:rsid w:val="00DC29DD"/>
    <w:rsid w:val="00DC7C0E"/>
    <w:rsid w:val="00DF016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D82613-4494-47D4-9AFF-26FF861F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rticletitle">
    <w:name w:val="Article title"/>
    <w:basedOn w:val="Normal"/>
    <w:qFormat/>
    <w:rsid w:val="003239E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bidi="ar-SY"/>
    </w:rPr>
  </w:style>
  <w:style w:type="paragraph" w:customStyle="1" w:styleId="enumlev10">
    <w:name w:val="enumlev 1"/>
    <w:basedOn w:val="Normal"/>
    <w:qFormat/>
    <w:rsid w:val="003239E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R15-WRC15-C-0086!A21-A11!MSW-A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5491F4D-6062-4C1C-9667-60AA08F14300}">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56A2C38-F19E-4BAA-A4C0-8382294D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663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R15-WRC15-C-0086!A21-A11!MSW-A</vt:lpstr>
    </vt:vector>
  </TitlesOfParts>
  <Manager>General Secretariat - Pool</Manager>
  <Company>International Telecommunication Union (ITU)</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R15-WRC15-C-0086!A21-A11!MSW-A</dc:title>
  <dc:creator>Documents Proposals Manager (DPM)</dc:creator>
  <cp:keywords>DPM_v5.2015.10.15_prod</cp:keywords>
  <cp:lastModifiedBy>Anbar, Mona</cp:lastModifiedBy>
  <cp:revision>10</cp:revision>
  <cp:lastPrinted>2015-10-28T09:51:00Z</cp:lastPrinted>
  <dcterms:created xsi:type="dcterms:W3CDTF">2015-10-22T16:08:00Z</dcterms:created>
  <dcterms:modified xsi:type="dcterms:W3CDTF">2015-10-28T09:54:00Z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