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F6DF2" w:rsidTr="0050008E">
        <w:trPr>
          <w:cantSplit/>
        </w:trPr>
        <w:tc>
          <w:tcPr>
            <w:tcW w:w="6911" w:type="dxa"/>
          </w:tcPr>
          <w:p w:rsidR="0090121B" w:rsidRPr="008F6DF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F6DF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8F6DF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F6DF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8F6DF2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F6DF2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F6DF2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8F6DF2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8F6DF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8F6DF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F6DF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8F6DF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8F6DF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F6DF2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8F6DF2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6DF2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8F6DF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F6DF2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8F6DF2">
              <w:rPr>
                <w:rFonts w:ascii="Verdana" w:eastAsia="SimSun" w:hAnsi="Verdana" w:cs="Traditional Arabic"/>
                <w:b/>
                <w:sz w:val="20"/>
              </w:rPr>
              <w:br/>
              <w:t>Documento 85(Add.9)</w:t>
            </w:r>
            <w:r w:rsidR="0090121B" w:rsidRPr="008F6DF2">
              <w:rPr>
                <w:rFonts w:ascii="Verdana" w:hAnsi="Verdana"/>
                <w:b/>
                <w:sz w:val="20"/>
              </w:rPr>
              <w:t>-</w:t>
            </w:r>
            <w:r w:rsidRPr="008F6DF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8F6DF2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8F6DF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8F6DF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6DF2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8F6DF2" w:rsidTr="0090121B">
        <w:trPr>
          <w:cantSplit/>
        </w:trPr>
        <w:tc>
          <w:tcPr>
            <w:tcW w:w="6911" w:type="dxa"/>
          </w:tcPr>
          <w:p w:rsidR="000A5B9A" w:rsidRPr="008F6DF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8F6DF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6DF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8F6DF2" w:rsidTr="006744FC">
        <w:trPr>
          <w:cantSplit/>
        </w:trPr>
        <w:tc>
          <w:tcPr>
            <w:tcW w:w="10031" w:type="dxa"/>
            <w:gridSpan w:val="2"/>
          </w:tcPr>
          <w:p w:rsidR="000A5B9A" w:rsidRPr="008F6DF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F6DF2" w:rsidTr="0050008E">
        <w:trPr>
          <w:cantSplit/>
        </w:trPr>
        <w:tc>
          <w:tcPr>
            <w:tcW w:w="10031" w:type="dxa"/>
            <w:gridSpan w:val="2"/>
          </w:tcPr>
          <w:p w:rsidR="000A5B9A" w:rsidRPr="008F6DF2" w:rsidRDefault="000A5B9A" w:rsidP="008250F0">
            <w:pPr>
              <w:pStyle w:val="Source"/>
            </w:pPr>
            <w:bookmarkStart w:id="2" w:name="dsource" w:colFirst="0" w:colLast="0"/>
            <w:r w:rsidRPr="008F6DF2">
              <w:t>Burundi (República de)/Kenya (República de)</w:t>
            </w:r>
            <w:r w:rsidR="008250F0" w:rsidRPr="008F6DF2">
              <w:t>/Uganda (República de)</w:t>
            </w:r>
            <w:r w:rsidRPr="008F6DF2">
              <w:t>/Rwanda (República de)/Tanzanía (República Unida de)</w:t>
            </w:r>
          </w:p>
        </w:tc>
      </w:tr>
      <w:tr w:rsidR="000A5B9A" w:rsidRPr="008F6DF2" w:rsidTr="0050008E">
        <w:trPr>
          <w:cantSplit/>
        </w:trPr>
        <w:tc>
          <w:tcPr>
            <w:tcW w:w="10031" w:type="dxa"/>
            <w:gridSpan w:val="2"/>
          </w:tcPr>
          <w:p w:rsidR="000A5B9A" w:rsidRPr="008F6DF2" w:rsidRDefault="008250F0" w:rsidP="000A5B9A">
            <w:pPr>
              <w:pStyle w:val="Title1"/>
            </w:pPr>
            <w:bookmarkStart w:id="3" w:name="dtitle1" w:colFirst="0" w:colLast="0"/>
            <w:bookmarkEnd w:id="2"/>
            <w:r w:rsidRPr="008F6DF2">
              <w:t>PROPUESTAS PARA LOS TRABAJOS DE LA CONFERENCIA</w:t>
            </w:r>
          </w:p>
        </w:tc>
      </w:tr>
      <w:tr w:rsidR="000A5B9A" w:rsidRPr="008F6DF2" w:rsidTr="0050008E">
        <w:trPr>
          <w:cantSplit/>
        </w:trPr>
        <w:tc>
          <w:tcPr>
            <w:tcW w:w="10031" w:type="dxa"/>
            <w:gridSpan w:val="2"/>
          </w:tcPr>
          <w:p w:rsidR="000A5B9A" w:rsidRPr="008F6DF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F6DF2" w:rsidTr="0050008E">
        <w:trPr>
          <w:cantSplit/>
        </w:trPr>
        <w:tc>
          <w:tcPr>
            <w:tcW w:w="10031" w:type="dxa"/>
            <w:gridSpan w:val="2"/>
          </w:tcPr>
          <w:p w:rsidR="000A5B9A" w:rsidRPr="008F6DF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8F6DF2">
              <w:t>Punto 1.9.2 del orden del día</w:t>
            </w:r>
          </w:p>
        </w:tc>
      </w:tr>
    </w:tbl>
    <w:bookmarkEnd w:id="5"/>
    <w:p w:rsidR="001C0E40" w:rsidRPr="008F6DF2" w:rsidRDefault="006160FC" w:rsidP="00827E98">
      <w:r w:rsidRPr="008F6DF2">
        <w:t>1.9</w:t>
      </w:r>
      <w:r w:rsidRPr="008F6DF2">
        <w:tab/>
        <w:t xml:space="preserve">considerar, con arreglo a la Resolución </w:t>
      </w:r>
      <w:r w:rsidRPr="008F6DF2">
        <w:rPr>
          <w:b/>
          <w:bCs/>
        </w:rPr>
        <w:t>758 (CMR-12)</w:t>
      </w:r>
      <w:r w:rsidRPr="008F6DF2">
        <w:t>:</w:t>
      </w:r>
    </w:p>
    <w:p w:rsidR="001C0E40" w:rsidRPr="008F6DF2" w:rsidRDefault="006160FC" w:rsidP="00F06CAA">
      <w:r w:rsidRPr="008F6DF2">
        <w:t>1.9.2</w:t>
      </w:r>
      <w:r w:rsidRPr="008F6DF2"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905FB2" w:rsidRPr="008F6DF2" w:rsidRDefault="00905FB2" w:rsidP="00905FB2">
      <w:pPr>
        <w:pStyle w:val="Headingb"/>
      </w:pPr>
      <w:r w:rsidRPr="008F6DF2">
        <w:t>Introducción</w:t>
      </w:r>
    </w:p>
    <w:p w:rsidR="00905FB2" w:rsidRPr="008F6DF2" w:rsidRDefault="00905FB2" w:rsidP="00905FB2">
      <w:r w:rsidRPr="008F6DF2">
        <w:t xml:space="preserve">En este punto del orden del día se solicita la atribución al SMMS en las bandas de frecuencias de </w:t>
      </w:r>
      <w:r w:rsidRPr="008F6DF2">
        <w:br/>
        <w:t>7 375-7 750 MHz y 8 025</w:t>
      </w:r>
      <w:r w:rsidRPr="008F6DF2">
        <w:noBreakHyphen/>
        <w:t xml:space="preserve">8 400 MHz. Estas bandas se utilizan ampliamente para los servicios fijos en los países miembros de la EACO (BDI/KEN/RRW/TZA/UGA). La atribución al SMMS en estas bandas afectaría a los servicios fijos en esta banda. Se apoya el </w:t>
      </w:r>
      <w:r w:rsidRPr="008F6DF2">
        <w:rPr>
          <w:b/>
          <w:bCs/>
        </w:rPr>
        <w:t>Método A</w:t>
      </w:r>
      <w:r w:rsidRPr="008F6DF2">
        <w:t xml:space="preserve"> propuesto en el informe de la RPC. </w:t>
      </w:r>
    </w:p>
    <w:p w:rsidR="00905FB2" w:rsidRPr="008F6DF2" w:rsidRDefault="00905FB2" w:rsidP="00905FB2">
      <w:pPr>
        <w:pStyle w:val="Headingb"/>
      </w:pPr>
      <w:r w:rsidRPr="008F6DF2">
        <w:t>Propuesta</w:t>
      </w:r>
    </w:p>
    <w:p w:rsidR="00905FB2" w:rsidRPr="008F6DF2" w:rsidRDefault="00905FB2" w:rsidP="00905FB2">
      <w:r w:rsidRPr="008F6DF2">
        <w:t>BDI/KEN/RRW/TZA/UGA (los países miembros de la EACO) proponen lo siguiente:</w:t>
      </w:r>
    </w:p>
    <w:p w:rsidR="00363A65" w:rsidRPr="008F6DF2" w:rsidRDefault="00363A65" w:rsidP="009144C9"/>
    <w:p w:rsidR="008750A8" w:rsidRPr="008F6DF2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6DF2">
        <w:br w:type="page"/>
      </w:r>
    </w:p>
    <w:p w:rsidR="00F008F3" w:rsidRPr="008F6DF2" w:rsidRDefault="006160FC" w:rsidP="00D44B91">
      <w:pPr>
        <w:pStyle w:val="ArtNo"/>
      </w:pPr>
      <w:r w:rsidRPr="008F6DF2">
        <w:lastRenderedPageBreak/>
        <w:t xml:space="preserve">ARTÍCULO </w:t>
      </w:r>
      <w:r w:rsidRPr="008F6DF2">
        <w:rPr>
          <w:rStyle w:val="href"/>
        </w:rPr>
        <w:t>5</w:t>
      </w:r>
    </w:p>
    <w:p w:rsidR="00F008F3" w:rsidRPr="008F6DF2" w:rsidRDefault="006160FC" w:rsidP="00D44B91">
      <w:pPr>
        <w:pStyle w:val="Arttitle"/>
      </w:pPr>
      <w:r w:rsidRPr="008F6DF2">
        <w:t>Atribuciones de frecuencia</w:t>
      </w:r>
    </w:p>
    <w:p w:rsidR="00F008F3" w:rsidRPr="008F6DF2" w:rsidRDefault="006160FC" w:rsidP="00417F4D">
      <w:pPr>
        <w:pStyle w:val="Section1"/>
      </w:pPr>
      <w:r w:rsidRPr="008F6DF2">
        <w:t>Sección IV – Cuadro de atribución de bandas de frecuencias</w:t>
      </w:r>
      <w:r w:rsidRPr="008F6DF2">
        <w:br/>
      </w:r>
      <w:r w:rsidRPr="008F6DF2">
        <w:rPr>
          <w:b w:val="0"/>
          <w:bCs/>
        </w:rPr>
        <w:t>(Véase el número</w:t>
      </w:r>
      <w:r w:rsidRPr="008F6DF2">
        <w:t xml:space="preserve"> </w:t>
      </w:r>
      <w:r w:rsidRPr="008F6DF2">
        <w:rPr>
          <w:rStyle w:val="Artref"/>
        </w:rPr>
        <w:t>2.1</w:t>
      </w:r>
      <w:r w:rsidRPr="008F6DF2">
        <w:rPr>
          <w:b w:val="0"/>
          <w:bCs/>
        </w:rPr>
        <w:t>)</w:t>
      </w:r>
      <w:r w:rsidRPr="008F6DF2">
        <w:br/>
      </w:r>
    </w:p>
    <w:p w:rsidR="00165E7E" w:rsidRPr="008F6DF2" w:rsidRDefault="006160FC" w:rsidP="00402177">
      <w:pPr>
        <w:pStyle w:val="Proposal"/>
      </w:pPr>
      <w:r w:rsidRPr="008F6DF2">
        <w:rPr>
          <w:u w:val="single"/>
        </w:rPr>
        <w:t>NOC</w:t>
      </w:r>
      <w:r w:rsidRPr="008F6DF2">
        <w:tab/>
        <w:t>BDI/KEN/</w:t>
      </w:r>
      <w:r w:rsidR="00402177" w:rsidRPr="008F6DF2">
        <w:t>UGA/</w:t>
      </w:r>
      <w:r w:rsidRPr="008F6DF2">
        <w:t>RRW/TZA/85A9A2/1</w:t>
      </w:r>
    </w:p>
    <w:p w:rsidR="00F008F3" w:rsidRPr="008F6DF2" w:rsidRDefault="006160FC" w:rsidP="004D72B7">
      <w:pPr>
        <w:pStyle w:val="Tabletitle"/>
      </w:pPr>
      <w:r w:rsidRPr="008F6DF2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8F6DF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head"/>
              <w:rPr>
                <w:color w:val="000000"/>
              </w:rPr>
            </w:pPr>
            <w:r w:rsidRPr="008F6DF2">
              <w:rPr>
                <w:color w:val="000000"/>
              </w:rPr>
              <w:t>Atribución a los servicios</w:t>
            </w:r>
          </w:p>
        </w:tc>
      </w:tr>
      <w:tr w:rsidR="00F008F3" w:rsidRPr="008F6DF2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head"/>
              <w:rPr>
                <w:color w:val="000000"/>
              </w:rPr>
            </w:pPr>
            <w:r w:rsidRPr="008F6DF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head"/>
              <w:rPr>
                <w:color w:val="000000"/>
              </w:rPr>
            </w:pPr>
            <w:r w:rsidRPr="008F6DF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head"/>
              <w:rPr>
                <w:color w:val="000000"/>
              </w:rPr>
            </w:pPr>
            <w:r w:rsidRPr="008F6DF2">
              <w:rPr>
                <w:color w:val="000000"/>
              </w:rPr>
              <w:t>Región 3</w:t>
            </w:r>
          </w:p>
        </w:tc>
      </w:tr>
      <w:tr w:rsidR="00F008F3" w:rsidRPr="008F6DF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8F6DF2">
              <w:rPr>
                <w:rStyle w:val="Tablefreq"/>
                <w:color w:val="000000"/>
              </w:rPr>
              <w:t>7 450-7 550</w:t>
            </w:r>
            <w:r w:rsidRPr="008F6DF2">
              <w:rPr>
                <w:color w:val="000000"/>
              </w:rPr>
              <w:tab/>
              <w:t>FIJO</w:t>
            </w:r>
          </w:p>
          <w:p w:rsidR="00F008F3" w:rsidRPr="008F6DF2" w:rsidRDefault="006160FC" w:rsidP="00B70572">
            <w:pPr>
              <w:pStyle w:val="TableTextS5"/>
            </w:pPr>
            <w:r w:rsidRPr="008F6DF2">
              <w:tab/>
            </w:r>
            <w:r w:rsidRPr="008F6DF2">
              <w:tab/>
            </w:r>
            <w:r w:rsidRPr="008F6DF2">
              <w:tab/>
            </w:r>
            <w:r w:rsidRPr="008F6DF2">
              <w:tab/>
              <w:t>FIJO POR SATÉLITE (espacio-Tierra)</w:t>
            </w:r>
          </w:p>
          <w:p w:rsidR="00F008F3" w:rsidRPr="008F6DF2" w:rsidRDefault="006160FC" w:rsidP="00B70572">
            <w:pPr>
              <w:pStyle w:val="TableTextS5"/>
            </w:pPr>
            <w:r w:rsidRPr="008F6DF2">
              <w:tab/>
            </w:r>
            <w:r w:rsidRPr="008F6DF2">
              <w:tab/>
            </w:r>
            <w:r w:rsidRPr="008F6DF2">
              <w:tab/>
            </w:r>
            <w:r w:rsidRPr="008F6DF2">
              <w:tab/>
              <w:t>METEOROLOGÍA POR SATÉLITE (espacio-Tierra)</w:t>
            </w:r>
          </w:p>
          <w:p w:rsidR="00F008F3" w:rsidRPr="008F6DF2" w:rsidRDefault="006160FC" w:rsidP="00B70572">
            <w:pPr>
              <w:pStyle w:val="TableTextS5"/>
            </w:pPr>
            <w:r w:rsidRPr="008F6DF2">
              <w:tab/>
            </w:r>
            <w:r w:rsidRPr="008F6DF2">
              <w:tab/>
            </w:r>
            <w:r w:rsidRPr="008F6DF2">
              <w:tab/>
            </w:r>
            <w:r w:rsidRPr="008F6DF2">
              <w:tab/>
              <w:t>MÓVIL salvo móvil aeronáutico</w:t>
            </w:r>
          </w:p>
          <w:p w:rsidR="00F008F3" w:rsidRPr="008F6DF2" w:rsidRDefault="006160FC" w:rsidP="00B70572">
            <w:pPr>
              <w:pStyle w:val="TableTextS5"/>
            </w:pPr>
            <w:r w:rsidRPr="008F6DF2">
              <w:tab/>
            </w:r>
            <w:r w:rsidRPr="008F6DF2">
              <w:tab/>
            </w:r>
            <w:r w:rsidRPr="008F6DF2">
              <w:tab/>
            </w:r>
            <w:r w:rsidRPr="008F6DF2">
              <w:tab/>
            </w:r>
            <w:r w:rsidRPr="008F6DF2">
              <w:rPr>
                <w:rStyle w:val="Artref"/>
              </w:rPr>
              <w:t>5.461</w:t>
            </w:r>
            <w:r w:rsidR="006C4D43" w:rsidRPr="008F6DF2">
              <w:rPr>
                <w:rStyle w:val="Artref"/>
              </w:rPr>
              <w:t>ª</w:t>
            </w:r>
          </w:p>
        </w:tc>
      </w:tr>
      <w:tr w:rsidR="00F008F3" w:rsidRPr="008F6DF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rStyle w:val="Tablefreq"/>
                <w:color w:val="000000"/>
              </w:rPr>
              <w:t>7 550-7 750</w:t>
            </w:r>
            <w:r w:rsidRPr="008F6DF2">
              <w:rPr>
                <w:color w:val="000000"/>
              </w:rPr>
              <w:tab/>
              <w:t>FIJO</w:t>
            </w:r>
          </w:p>
          <w:p w:rsidR="00F008F3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FIJO POR SATÉLITE (espacio-Tierra)</w:t>
            </w:r>
          </w:p>
          <w:p w:rsidR="00F008F3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MÓVIL salvo móvil aeronáutico</w:t>
            </w:r>
          </w:p>
        </w:tc>
      </w:tr>
    </w:tbl>
    <w:p w:rsidR="00165E7E" w:rsidRPr="008F6DF2" w:rsidRDefault="006160FC">
      <w:pPr>
        <w:pStyle w:val="Reasons"/>
      </w:pPr>
      <w:r w:rsidRPr="008F6DF2">
        <w:rPr>
          <w:b/>
        </w:rPr>
        <w:t>Motivos:</w:t>
      </w:r>
      <w:r w:rsidRPr="008F6DF2">
        <w:tab/>
      </w:r>
      <w:r w:rsidR="00905FB2" w:rsidRPr="008F6DF2">
        <w:t>La atribución al SMMS en esta banda afectaría a los servicios fijos.</w:t>
      </w:r>
    </w:p>
    <w:p w:rsidR="00165E7E" w:rsidRPr="008F6DF2" w:rsidRDefault="006160FC" w:rsidP="00402177">
      <w:pPr>
        <w:pStyle w:val="Proposal"/>
      </w:pPr>
      <w:r w:rsidRPr="008F6DF2">
        <w:rPr>
          <w:u w:val="single"/>
        </w:rPr>
        <w:t>NOC</w:t>
      </w:r>
      <w:r w:rsidRPr="008F6DF2">
        <w:tab/>
        <w:t>BDI/KEN/</w:t>
      </w:r>
      <w:r w:rsidR="00402177" w:rsidRPr="008F6DF2">
        <w:t>UGA/</w:t>
      </w:r>
      <w:r w:rsidRPr="008F6DF2">
        <w:t>RRW/TZA/85A9A2/2</w:t>
      </w:r>
    </w:p>
    <w:p w:rsidR="00F008F3" w:rsidRPr="008F6DF2" w:rsidRDefault="006160FC" w:rsidP="004D72B7">
      <w:pPr>
        <w:pStyle w:val="Tabletitle"/>
      </w:pPr>
      <w:r w:rsidRPr="008F6DF2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8F6DF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head"/>
              <w:rPr>
                <w:color w:val="000000"/>
              </w:rPr>
            </w:pPr>
            <w:r w:rsidRPr="008F6DF2">
              <w:rPr>
                <w:color w:val="000000"/>
              </w:rPr>
              <w:t>Atribución a los servicios</w:t>
            </w:r>
          </w:p>
        </w:tc>
      </w:tr>
      <w:tr w:rsidR="00F008F3" w:rsidRPr="008F6DF2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head"/>
              <w:rPr>
                <w:color w:val="000000"/>
              </w:rPr>
            </w:pPr>
            <w:r w:rsidRPr="008F6DF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head"/>
              <w:rPr>
                <w:color w:val="000000"/>
              </w:rPr>
            </w:pPr>
            <w:r w:rsidRPr="008F6DF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F6DF2" w:rsidRDefault="006160FC" w:rsidP="003067D6">
            <w:pPr>
              <w:pStyle w:val="Tablehead"/>
              <w:rPr>
                <w:color w:val="000000"/>
              </w:rPr>
            </w:pPr>
            <w:r w:rsidRPr="008F6DF2">
              <w:rPr>
                <w:color w:val="000000"/>
              </w:rPr>
              <w:t>Región 3</w:t>
            </w:r>
          </w:p>
        </w:tc>
      </w:tr>
      <w:tr w:rsidR="003067D6" w:rsidRPr="008F6DF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rStyle w:val="Tablefreq"/>
                <w:color w:val="000000"/>
              </w:rPr>
              <w:t>8 025-8 175</w:t>
            </w:r>
            <w:r w:rsidRPr="008F6DF2">
              <w:rPr>
                <w:color w:val="000000"/>
              </w:rPr>
              <w:tab/>
              <w:t>EXPLORACIÓN DE LA TIERRA POR SATÉLITE (espacio-Tierra)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FIJO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FIJO POR SATÉLITE (Tierra-espacio)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 xml:space="preserve">MÓVIL  </w:t>
            </w:r>
            <w:r w:rsidRPr="008F6DF2">
              <w:rPr>
                <w:rStyle w:val="Artref"/>
                <w:color w:val="000000"/>
              </w:rPr>
              <w:t>5.463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rStyle w:val="Artref"/>
                <w:color w:val="000000"/>
              </w:rPr>
              <w:t>5.462</w:t>
            </w:r>
            <w:r w:rsidR="006C4D43" w:rsidRPr="008F6DF2">
              <w:rPr>
                <w:rStyle w:val="Artref"/>
                <w:color w:val="000000"/>
              </w:rPr>
              <w:t>ª</w:t>
            </w:r>
          </w:p>
        </w:tc>
      </w:tr>
      <w:tr w:rsidR="003067D6" w:rsidRPr="008F6DF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rStyle w:val="Tablefreq"/>
                <w:color w:val="000000"/>
              </w:rPr>
              <w:t>8 175-8 215</w:t>
            </w:r>
            <w:r w:rsidRPr="008F6DF2">
              <w:rPr>
                <w:b/>
                <w:color w:val="000000"/>
              </w:rPr>
              <w:tab/>
            </w:r>
            <w:r w:rsidRPr="008F6DF2">
              <w:rPr>
                <w:color w:val="000000"/>
              </w:rPr>
              <w:t>EXPLORACIÓN DE LA TIERRA POR SATÉLITE (espacio-Tierra)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FIJO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FIJO POR SATÉLITE (Tierra-espacio)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METEOROLOGÍA POR SATÉLITE (Tierra-espacio)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 xml:space="preserve">MÓVIL  </w:t>
            </w:r>
            <w:r w:rsidRPr="008F6DF2">
              <w:rPr>
                <w:rStyle w:val="Artref"/>
                <w:color w:val="000000"/>
              </w:rPr>
              <w:t>5.463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rStyle w:val="Artref"/>
                <w:color w:val="000000"/>
              </w:rPr>
              <w:t>5.462</w:t>
            </w:r>
            <w:r w:rsidR="006C4D43" w:rsidRPr="008F6DF2">
              <w:rPr>
                <w:rStyle w:val="Artref"/>
                <w:color w:val="000000"/>
              </w:rPr>
              <w:t>ª</w:t>
            </w:r>
          </w:p>
        </w:tc>
      </w:tr>
      <w:tr w:rsidR="003067D6" w:rsidRPr="008F6DF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8F6DF2" w:rsidRDefault="006160FC" w:rsidP="003067D6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8F6DF2">
              <w:rPr>
                <w:rStyle w:val="Tablefreq"/>
                <w:color w:val="000000"/>
              </w:rPr>
              <w:t>8 215-8 400</w:t>
            </w:r>
            <w:r w:rsidRPr="008F6DF2">
              <w:rPr>
                <w:b/>
                <w:color w:val="000000"/>
              </w:rPr>
              <w:tab/>
            </w:r>
            <w:r w:rsidRPr="008F6DF2">
              <w:rPr>
                <w:color w:val="000000"/>
              </w:rPr>
              <w:t>EXPLORACIÓN DE LA TIERRA POR SATÉLITE (espacio-Tierra)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FIJO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>FIJO POR SATÉLITE (Tierra-espacio)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  <w:t xml:space="preserve">MÓVIL  </w:t>
            </w:r>
            <w:r w:rsidRPr="008F6DF2">
              <w:rPr>
                <w:rStyle w:val="Artref"/>
                <w:color w:val="000000"/>
              </w:rPr>
              <w:t>5.463</w:t>
            </w:r>
          </w:p>
          <w:p w:rsidR="003067D6" w:rsidRPr="008F6DF2" w:rsidRDefault="006160FC" w:rsidP="003067D6">
            <w:pPr>
              <w:pStyle w:val="TableTextS5"/>
              <w:spacing w:before="30" w:after="30"/>
              <w:rPr>
                <w:rStyle w:val="Artref10pt"/>
              </w:rPr>
            </w:pP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color w:val="000000"/>
              </w:rPr>
              <w:tab/>
            </w:r>
            <w:r w:rsidRPr="008F6DF2">
              <w:rPr>
                <w:rStyle w:val="Artref10pt"/>
              </w:rPr>
              <w:t>5.462</w:t>
            </w:r>
            <w:r w:rsidR="006C4D43" w:rsidRPr="008F6DF2">
              <w:rPr>
                <w:rStyle w:val="Artref10pt"/>
              </w:rPr>
              <w:t>ª</w:t>
            </w:r>
          </w:p>
        </w:tc>
      </w:tr>
    </w:tbl>
    <w:p w:rsidR="00165E7E" w:rsidRPr="008F6DF2" w:rsidRDefault="006160FC" w:rsidP="00905FB2">
      <w:pPr>
        <w:pStyle w:val="Reasons"/>
        <w:tabs>
          <w:tab w:val="clear" w:pos="1588"/>
          <w:tab w:val="clear" w:pos="1985"/>
          <w:tab w:val="left" w:pos="1657"/>
        </w:tabs>
      </w:pPr>
      <w:r w:rsidRPr="008F6DF2">
        <w:rPr>
          <w:b/>
        </w:rPr>
        <w:t>Motivos:</w:t>
      </w:r>
      <w:r w:rsidRPr="008F6DF2">
        <w:tab/>
      </w:r>
      <w:r w:rsidR="00905FB2" w:rsidRPr="008F6DF2">
        <w:t>La atribución al SMMS en esta banda afectaría a los servicios fijos.</w:t>
      </w:r>
    </w:p>
    <w:p w:rsidR="00165E7E" w:rsidRPr="008F6DF2" w:rsidRDefault="006160FC" w:rsidP="00402177">
      <w:pPr>
        <w:pStyle w:val="Proposal"/>
      </w:pPr>
      <w:r w:rsidRPr="008F6DF2">
        <w:lastRenderedPageBreak/>
        <w:t>SUP</w:t>
      </w:r>
      <w:r w:rsidRPr="008F6DF2">
        <w:tab/>
        <w:t>BDI/KEN/</w:t>
      </w:r>
      <w:r w:rsidR="00402177" w:rsidRPr="008F6DF2">
        <w:t>UGA/</w:t>
      </w:r>
      <w:r w:rsidRPr="008F6DF2">
        <w:t>RRW/TZA/</w:t>
      </w:r>
      <w:bookmarkStart w:id="6" w:name="_GoBack"/>
      <w:bookmarkEnd w:id="6"/>
      <w:r w:rsidRPr="008F6DF2">
        <w:t>85A9A2/3</w:t>
      </w:r>
    </w:p>
    <w:p w:rsidR="001B5C7C" w:rsidRPr="008F6DF2" w:rsidRDefault="006160FC" w:rsidP="001B5C7C">
      <w:pPr>
        <w:pStyle w:val="ResNo"/>
      </w:pPr>
      <w:bookmarkStart w:id="7" w:name="_Toc328141488"/>
      <w:r w:rsidRPr="008F6DF2">
        <w:t xml:space="preserve">RESOLUCIÓN </w:t>
      </w:r>
      <w:r w:rsidRPr="008F6DF2">
        <w:rPr>
          <w:rStyle w:val="href"/>
        </w:rPr>
        <w:t>758</w:t>
      </w:r>
      <w:r w:rsidRPr="008F6DF2">
        <w:t xml:space="preserve"> (CMR-12)</w:t>
      </w:r>
      <w:bookmarkEnd w:id="7"/>
    </w:p>
    <w:p w:rsidR="001B5C7C" w:rsidRPr="008F6DF2" w:rsidRDefault="006160FC" w:rsidP="001B5C7C">
      <w:pPr>
        <w:pStyle w:val="Restitle"/>
      </w:pPr>
      <w:bookmarkStart w:id="8" w:name="_Toc328141489"/>
      <w:r w:rsidRPr="008F6DF2">
        <w:t>Atribución al servicio fijo por satélite y al servicio móvil marítimo</w:t>
      </w:r>
      <w:r w:rsidRPr="008F6DF2">
        <w:br/>
        <w:t>por satélite en la gama 7/8 GHz</w:t>
      </w:r>
      <w:bookmarkEnd w:id="8"/>
    </w:p>
    <w:p w:rsidR="006C4D43" w:rsidRPr="008F6DF2" w:rsidRDefault="006160FC" w:rsidP="006C4D43">
      <w:pPr>
        <w:pStyle w:val="Reasons"/>
      </w:pPr>
      <w:r w:rsidRPr="008F6DF2">
        <w:rPr>
          <w:b/>
        </w:rPr>
        <w:t>Motivos:</w:t>
      </w:r>
      <w:r w:rsidRPr="008F6DF2">
        <w:tab/>
      </w:r>
      <w:r w:rsidR="006C4D43" w:rsidRPr="008F6DF2">
        <w:t>En consecuencia, esta solución debería suprimirse.</w:t>
      </w:r>
    </w:p>
    <w:p w:rsidR="006C4D43" w:rsidRPr="008F6DF2" w:rsidRDefault="006C4D43" w:rsidP="0032202E">
      <w:pPr>
        <w:pStyle w:val="Reasons"/>
      </w:pPr>
    </w:p>
    <w:p w:rsidR="006C4D43" w:rsidRPr="008F6DF2" w:rsidRDefault="006C4D43">
      <w:pPr>
        <w:jc w:val="center"/>
      </w:pPr>
      <w:r w:rsidRPr="008F6DF2">
        <w:t>______________</w:t>
      </w:r>
    </w:p>
    <w:sectPr w:rsidR="006C4D43" w:rsidRPr="008F6DF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2177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905FB2" w:rsidRDefault="00905FB2" w:rsidP="00905FB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P:\ESP\ITU-R\CONF-R\CMR15\000\085ADD09ADD02S.docx</w:t>
    </w:r>
    <w:r>
      <w:fldChar w:fldCharType="end"/>
    </w:r>
    <w:r>
      <w:t xml:space="preserve"> (388600)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2177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5FB2">
      <w:rPr>
        <w:lang w:val="en-US"/>
      </w:rPr>
      <w:t>P:\ESP\ITU-R\CONF-R\CMR15\000\085ADD09ADD02S.docx</w:t>
    </w:r>
    <w:r>
      <w:fldChar w:fldCharType="end"/>
    </w:r>
    <w:r w:rsidR="00905FB2">
      <w:t xml:space="preserve"> (388600)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2177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2177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65E7E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02177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160FC"/>
    <w:rsid w:val="00654E0D"/>
    <w:rsid w:val="00662BA0"/>
    <w:rsid w:val="00692AAE"/>
    <w:rsid w:val="006C4D43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250F0"/>
    <w:rsid w:val="00866AE6"/>
    <w:rsid w:val="008750A8"/>
    <w:rsid w:val="008E5AF2"/>
    <w:rsid w:val="008F6DF2"/>
    <w:rsid w:val="0090121B"/>
    <w:rsid w:val="00905FB2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81740A35-40EB-44F0-BCF9-D85F9FF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396B6-3A7E-4B27-B9EF-3C856C34507D}">
  <ds:schemaRefs>
    <ds:schemaRef ds:uri="http://schemas.openxmlformats.org/package/2006/metadata/core-properties"/>
    <ds:schemaRef ds:uri="996b2e75-67fd-4955-a3b0-5ab9934cb50b"/>
    <ds:schemaRef ds:uri="32a1a8c5-2265-4ebc-b7a0-2071e2c5c9bb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E01D987-A730-4C02-BF80-93CBB21E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2267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R15-WRC15-C-0085!A9-A2!MSW-S</vt:lpstr>
    </vt:vector>
  </TitlesOfParts>
  <Manager>Secretaría General - Pool</Manager>
  <Company>Unión Internacional de Telecomunicaciones (UIT)</Company>
  <LinksUpToDate>false</LinksUpToDate>
  <CharactersWithSpaces>2618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R15-WRC15-C-0085!A9-A2!MSW-S</dc:title>
  <dc:subject>Conferencia Mundial de Radiocomunicaciones - 2015</dc:subject>
  <dc:creator>Documents Proposals Manager (DPM)</dc:creator>
  <cp:keywords>DPM_v5.2015.10.230_prod</cp:keywords>
  <dc:description/>
  <cp:lastModifiedBy>Murphy, Margaret</cp:lastModifiedBy>
  <cp:revision>7</cp:revision>
  <cp:lastPrinted>2003-02-19T20:20:00Z</cp:lastPrinted>
  <dcterms:created xsi:type="dcterms:W3CDTF">2015-10-25T13:26:00Z</dcterms:created>
  <dcterms:modified xsi:type="dcterms:W3CDTF">2015-10-30T21:13:00Z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