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F738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F738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F738C" w:rsidRDefault="003E1608" w:rsidP="005F738C">
            <w:pPr>
              <w:pStyle w:val="Adress"/>
              <w:framePr w:hSpace="0" w:wrap="auto" w:xAlign="left" w:yAlign="inline"/>
              <w:rPr>
                <w:rtl/>
              </w:rPr>
            </w:pPr>
            <w:r w:rsidRPr="005F738C">
              <w:rPr>
                <w:rtl/>
              </w:rPr>
              <w:t xml:space="preserve">الإضافة </w:t>
            </w:r>
            <w:r w:rsidRPr="005F738C">
              <w:t>1</w:t>
            </w:r>
            <w:r w:rsidRPr="005F738C">
              <w:br/>
            </w:r>
            <w:r w:rsidRPr="005F738C">
              <w:rPr>
                <w:rtl/>
              </w:rPr>
              <w:t xml:space="preserve">للوثيقة </w:t>
            </w:r>
            <w:r w:rsidRPr="005F738C">
              <w:t>85(Add.9)-</w:t>
            </w:r>
            <w:r w:rsidR="005F738C" w:rsidRPr="005F738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F738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F738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F738C">
              <w:rPr>
                <w:rFonts w:eastAsia="SimSun"/>
              </w:rPr>
              <w:t>16</w:t>
            </w:r>
            <w:r w:rsidRPr="005F738C">
              <w:rPr>
                <w:rFonts w:eastAsia="SimSun"/>
                <w:rtl/>
              </w:rPr>
              <w:t xml:space="preserve"> أكتوبر </w:t>
            </w:r>
            <w:r w:rsidRPr="005F738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F738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F738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F738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="00C21B56" w:rsidRPr="008204AC">
              <w:rPr>
                <w:rFonts w:hint="cs"/>
                <w:rtl/>
              </w:rPr>
              <w:t>جمهورية</w:t>
            </w:r>
            <w:r w:rsidRPr="008204AC">
              <w:rPr>
                <w:rtl/>
              </w:rPr>
              <w:t xml:space="preserve"> رواندا/</w:t>
            </w:r>
            <w:r w:rsidR="005F738C">
              <w:br/>
            </w:r>
            <w:r w:rsidRPr="008204AC">
              <w:rPr>
                <w:rtl/>
              </w:rPr>
              <w:t>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F738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الم‍ؤت‍مر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F738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F738C">
              <w:t>1.9.1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37261" w:rsidP="005F738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Default="00C37261" w:rsidP="001D597A">
      <w:pPr>
        <w:rPr>
          <w:rFonts w:eastAsia="SimSun"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5F738C" w:rsidRDefault="005F738C" w:rsidP="005F738C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383EEB" w:rsidRDefault="00C21B56" w:rsidP="008903E9">
      <w:pPr>
        <w:rPr>
          <w:rFonts w:eastAsia="SimSun"/>
          <w:rtl/>
        </w:rPr>
      </w:pPr>
      <w:r>
        <w:rPr>
          <w:rFonts w:eastAsia="SimSun" w:hint="cs"/>
          <w:rtl/>
          <w:lang w:bidi="ar-EG"/>
        </w:rPr>
        <w:t xml:space="preserve">يدعو البند </w:t>
      </w:r>
      <w:r w:rsidRPr="00431196">
        <w:rPr>
          <w:rFonts w:eastAsia="SimSun"/>
        </w:rPr>
        <w:t>1.9.1</w:t>
      </w:r>
      <w:r>
        <w:rPr>
          <w:rFonts w:eastAsia="SimSun" w:hint="cs"/>
          <w:rtl/>
        </w:rPr>
        <w:t xml:space="preserve"> إلى منح توزيعات </w:t>
      </w:r>
      <w:r w:rsidRPr="00431196">
        <w:rPr>
          <w:rFonts w:eastAsia="SimSun" w:hint="cs"/>
          <w:rtl/>
        </w:rPr>
        <w:t xml:space="preserve">للخدمة الثابتة </w:t>
      </w:r>
      <w:proofErr w:type="spellStart"/>
      <w:r w:rsidRPr="00431196">
        <w:rPr>
          <w:rFonts w:eastAsia="SimSun" w:hint="cs"/>
          <w:rtl/>
        </w:rPr>
        <w:t>الساتلية</w:t>
      </w:r>
      <w:proofErr w:type="spellEnd"/>
      <w:r w:rsidRPr="00431196">
        <w:rPr>
          <w:rFonts w:eastAsia="SimSun" w:hint="cs"/>
          <w:rtl/>
        </w:rPr>
        <w:t xml:space="preserve">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</w:t>
      </w:r>
      <w:r>
        <w:rPr>
          <w:rFonts w:eastAsia="SimSun" w:hint="cs"/>
          <w:rtl/>
        </w:rPr>
        <w:t>. وي</w:t>
      </w:r>
      <w:r w:rsidR="00C7438E">
        <w:rPr>
          <w:rFonts w:eastAsia="SimSun" w:hint="cs"/>
          <w:rtl/>
        </w:rPr>
        <w:t>ُ</w:t>
      </w:r>
      <w:r>
        <w:rPr>
          <w:rFonts w:eastAsia="SimSun" w:hint="cs"/>
          <w:rtl/>
        </w:rPr>
        <w:t>ستعمل هذان النطاقان استعمالاً مكثفاً لأغراض الخدمات الثابتة في البلدان الأعضاء في</w:t>
      </w:r>
      <w:r w:rsidR="008903E9">
        <w:rPr>
          <w:rFonts w:eastAsia="SimSun" w:hint="eastAsia"/>
        </w:rPr>
        <w:t> </w:t>
      </w:r>
      <w:r>
        <w:rPr>
          <w:rFonts w:eastAsia="SimSun" w:hint="cs"/>
          <w:rtl/>
        </w:rPr>
        <w:t>منظمة اتصالات شرق إفريقيا (</w:t>
      </w:r>
      <w:r>
        <w:t>BDI/KEN/RRW/TZA/UGA</w:t>
      </w:r>
      <w:r>
        <w:rPr>
          <w:rFonts w:hint="cs"/>
          <w:rtl/>
        </w:rPr>
        <w:t xml:space="preserve">). ومن شأن منح توزيعات </w:t>
      </w:r>
      <w:r w:rsidRPr="00431196">
        <w:rPr>
          <w:rFonts w:eastAsia="SimSun" w:hint="cs"/>
          <w:rtl/>
        </w:rPr>
        <w:t xml:space="preserve">للخدمة الثابتة </w:t>
      </w:r>
      <w:proofErr w:type="spellStart"/>
      <w:r w:rsidRPr="00431196">
        <w:rPr>
          <w:rFonts w:eastAsia="SimSun" w:hint="cs"/>
          <w:rtl/>
        </w:rPr>
        <w:t>الساتلية</w:t>
      </w:r>
      <w:proofErr w:type="spellEnd"/>
      <w:r w:rsidRPr="00431196">
        <w:rPr>
          <w:rFonts w:eastAsia="SimSun" w:hint="cs"/>
          <w:rtl/>
        </w:rPr>
        <w:t xml:space="preserve"> في </w:t>
      </w:r>
      <w:r w:rsidR="00383EEB">
        <w:rPr>
          <w:rFonts w:eastAsia="SimSun" w:hint="cs"/>
          <w:rtl/>
        </w:rPr>
        <w:t xml:space="preserve">هذين النطاقين أن يفرض قيوداً </w:t>
      </w:r>
      <w:r>
        <w:rPr>
          <w:rFonts w:hint="cs"/>
          <w:rtl/>
        </w:rPr>
        <w:t xml:space="preserve">جديدة </w:t>
      </w:r>
      <w:r w:rsidR="00383EEB">
        <w:rPr>
          <w:rFonts w:hint="cs"/>
          <w:rtl/>
        </w:rPr>
        <w:t>على الخدمة الثابتة في النطاقين</w:t>
      </w:r>
      <w:r w:rsidR="00C7438E">
        <w:rPr>
          <w:rFonts w:hint="cs"/>
          <w:rtl/>
        </w:rPr>
        <w:t xml:space="preserve"> المذكورين</w:t>
      </w:r>
      <w:r w:rsidR="00383EEB">
        <w:rPr>
          <w:rFonts w:hint="cs"/>
          <w:rtl/>
        </w:rPr>
        <w:t xml:space="preserve">. </w:t>
      </w:r>
    </w:p>
    <w:p w:rsidR="005F738C" w:rsidRDefault="00383EEB" w:rsidP="005F738C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المقترحات</w:t>
      </w:r>
    </w:p>
    <w:p w:rsidR="00383EEB" w:rsidRPr="00431196" w:rsidRDefault="00383EEB" w:rsidP="001D597A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تقترح البلدان </w:t>
      </w:r>
      <w:r>
        <w:t>BDI/KEN/RRW/TZA/UGA</w:t>
      </w:r>
      <w:r>
        <w:rPr>
          <w:rFonts w:hint="cs"/>
          <w:rtl/>
        </w:rPr>
        <w:t xml:space="preserve"> (</w:t>
      </w:r>
      <w:r>
        <w:rPr>
          <w:rFonts w:eastAsia="SimSun" w:hint="cs"/>
          <w:rtl/>
        </w:rPr>
        <w:t>البلدان الأعضاء في منظمة اتصالات شرق إفريقيا</w:t>
      </w:r>
      <w:r w:rsidR="00C7438E">
        <w:rPr>
          <w:rFonts w:eastAsia="SimSun" w:hint="cs"/>
          <w:rtl/>
        </w:rPr>
        <w:t>) ما يلي:</w:t>
      </w:r>
    </w:p>
    <w:p w:rsidR="00383EEB" w:rsidRDefault="00383EEB" w:rsidP="008A6056">
      <w:pPr>
        <w:pStyle w:val="ArtNo"/>
        <w:rPr>
          <w:rtl/>
        </w:rPr>
      </w:pPr>
      <w:bookmarkStart w:id="1" w:name="_GoBack"/>
      <w:bookmarkEnd w:id="1"/>
    </w:p>
    <w:p w:rsidR="009F37C9" w:rsidRDefault="00C37261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37261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C37261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AF0D0B" w:rsidRDefault="00C37261">
      <w:pPr>
        <w:pStyle w:val="Proposal"/>
        <w:rPr>
          <w:lang w:val="es-ES"/>
        </w:rPr>
      </w:pPr>
      <w:r w:rsidRPr="005F738C">
        <w:rPr>
          <w:u w:val="single"/>
          <w:lang w:val="es-ES"/>
        </w:rPr>
        <w:t>NOC</w:t>
      </w:r>
      <w:r w:rsidRPr="005F738C">
        <w:rPr>
          <w:lang w:val="es-ES"/>
        </w:rPr>
        <w:tab/>
        <w:t>BDI/KEN/UGA/RRW/TZA/85A9A1/1</w:t>
      </w:r>
    </w:p>
    <w:p w:rsidR="00D50775" w:rsidRPr="00D50775" w:rsidRDefault="00D50775" w:rsidP="00D50775">
      <w:pPr>
        <w:rPr>
          <w:lang w:val="es-ES" w:bidi="ar-EG"/>
        </w:rPr>
      </w:pPr>
    </w:p>
    <w:p w:rsidR="009F37C9" w:rsidRPr="002F7F63" w:rsidRDefault="00C37261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C37261" w:rsidP="005F738C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>التوزيع على الخدمات</w:t>
            </w:r>
          </w:p>
        </w:tc>
      </w:tr>
      <w:tr w:rsidR="00EB34B5" w:rsidTr="00B87AF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C37261" w:rsidP="005F738C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C37261" w:rsidP="005F738C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C37261" w:rsidP="005F738C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C37261" w:rsidP="005F738C">
            <w:pPr>
              <w:pStyle w:val="TabletextS5"/>
              <w:spacing w:before="40" w:after="40" w:line="240" w:lineRule="exact"/>
            </w:pPr>
            <w:r w:rsidRPr="00FA3B95">
              <w:rPr>
                <w:rStyle w:val="Tablefreq"/>
              </w:rPr>
              <w:t>7 235-7 145</w:t>
            </w:r>
            <w:r w:rsidR="005F738C">
              <w:tab/>
            </w:r>
            <w:r>
              <w:rPr>
                <w:b/>
                <w:bCs/>
                <w:rtl/>
              </w:rPr>
              <w:t>ثابتة</w:t>
            </w:r>
          </w:p>
          <w:p w:rsidR="00EB34B5" w:rsidRDefault="005F738C" w:rsidP="005F738C">
            <w:pPr>
              <w:pStyle w:val="TabletextS5"/>
              <w:spacing w:before="40" w:after="40" w:line="240" w:lineRule="exact"/>
              <w:rPr>
                <w:b/>
                <w:bCs/>
                <w:rtl/>
              </w:rPr>
            </w:pPr>
            <w:r>
              <w:tab/>
            </w:r>
            <w:r w:rsidR="00C37261">
              <w:rPr>
                <w:b/>
                <w:bCs/>
                <w:rtl/>
              </w:rPr>
              <w:t>متنقلة</w:t>
            </w:r>
          </w:p>
          <w:p w:rsidR="00EB34B5" w:rsidRDefault="00C37261" w:rsidP="005F738C">
            <w:pPr>
              <w:pStyle w:val="TabletextS5"/>
              <w:spacing w:before="40" w:after="40" w:line="240" w:lineRule="exact"/>
            </w:pPr>
            <w:r>
              <w:rPr>
                <w:b/>
                <w:bCs/>
                <w:rtl/>
              </w:rPr>
              <w:tab/>
              <w:t xml:space="preserve">أبحاث فضائية </w:t>
            </w:r>
            <w:r>
              <w:rPr>
                <w:rtl/>
              </w:rPr>
              <w:t>(أرض-فضاء)</w:t>
            </w:r>
            <w:r w:rsidRPr="005F738C">
              <w:rPr>
                <w:rStyle w:val="Artref"/>
                <w:b w:val="0"/>
                <w:bCs w:val="0"/>
              </w:rPr>
              <w:t xml:space="preserve">460.5  </w:t>
            </w:r>
          </w:p>
          <w:p w:rsidR="00EB34B5" w:rsidRPr="005F738C" w:rsidRDefault="00C37261" w:rsidP="005F738C">
            <w:pPr>
              <w:pStyle w:val="TabletextS5"/>
              <w:spacing w:before="40" w:after="40" w:line="240" w:lineRule="exact"/>
              <w:rPr>
                <w:rStyle w:val="Tablefreq"/>
                <w:b w:val="0"/>
                <w:bCs w:val="0"/>
              </w:rPr>
            </w:pPr>
            <w:r>
              <w:tab/>
            </w:r>
            <w:r w:rsidRPr="005F738C">
              <w:rPr>
                <w:rStyle w:val="Artref"/>
                <w:b w:val="0"/>
                <w:bCs w:val="0"/>
              </w:rPr>
              <w:t>458.5</w:t>
            </w:r>
            <w:r w:rsidRPr="005F738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5F738C">
              <w:rPr>
                <w:rStyle w:val="Artref"/>
                <w:b w:val="0"/>
                <w:bCs w:val="0"/>
              </w:rPr>
              <w:t>459.5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C37261" w:rsidP="005F738C">
            <w:pPr>
              <w:pStyle w:val="TabletextS5"/>
              <w:spacing w:before="40" w:after="40" w:line="240" w:lineRule="exact"/>
            </w:pPr>
            <w:r w:rsidRPr="00FA3B95">
              <w:rPr>
                <w:rStyle w:val="Tablefreq"/>
              </w:rPr>
              <w:t>7 250-7 235</w:t>
            </w:r>
            <w:r w:rsidR="005F738C">
              <w:tab/>
            </w:r>
            <w:r>
              <w:rPr>
                <w:b/>
                <w:bCs/>
                <w:rtl/>
              </w:rPr>
              <w:t>ثابتة</w:t>
            </w:r>
          </w:p>
          <w:p w:rsidR="00EB34B5" w:rsidRDefault="005F738C" w:rsidP="005F738C">
            <w:pPr>
              <w:pStyle w:val="TabletextS5"/>
              <w:spacing w:before="40" w:after="40" w:line="240" w:lineRule="exact"/>
            </w:pPr>
            <w:r>
              <w:tab/>
            </w:r>
            <w:r w:rsidR="00C37261">
              <w:rPr>
                <w:b/>
                <w:bCs/>
                <w:rtl/>
              </w:rPr>
              <w:t>متنقلة</w:t>
            </w:r>
          </w:p>
          <w:p w:rsidR="00EB34B5" w:rsidRPr="005F738C" w:rsidRDefault="00C37261" w:rsidP="005F738C">
            <w:pPr>
              <w:pStyle w:val="TabletextS5"/>
              <w:spacing w:before="40" w:after="40" w:line="240" w:lineRule="exact"/>
              <w:rPr>
                <w:rStyle w:val="Tablefreq"/>
                <w:b w:val="0"/>
                <w:bCs w:val="0"/>
              </w:rPr>
            </w:pPr>
            <w:r>
              <w:tab/>
            </w:r>
            <w:r w:rsidRPr="005F738C">
              <w:rPr>
                <w:rStyle w:val="Artref"/>
                <w:b w:val="0"/>
                <w:bCs w:val="0"/>
              </w:rPr>
              <w:t>458.5</w:t>
            </w:r>
          </w:p>
        </w:tc>
      </w:tr>
    </w:tbl>
    <w:p w:rsidR="00AF0D0B" w:rsidRDefault="00AF0D0B">
      <w:pPr>
        <w:pStyle w:val="Reasons"/>
      </w:pPr>
    </w:p>
    <w:p w:rsidR="00AF0D0B" w:rsidRDefault="00C37261">
      <w:pPr>
        <w:pStyle w:val="Proposal"/>
        <w:rPr>
          <w:lang w:val="es-ES"/>
        </w:rPr>
      </w:pPr>
      <w:r w:rsidRPr="005F738C">
        <w:rPr>
          <w:u w:val="single"/>
          <w:lang w:val="es-ES"/>
        </w:rPr>
        <w:t>NOC</w:t>
      </w:r>
      <w:r w:rsidRPr="005F738C">
        <w:rPr>
          <w:lang w:val="es-ES"/>
        </w:rPr>
        <w:tab/>
        <w:t>BDI/KEN/UGA/RRW/TZA/85A9A1/2</w:t>
      </w:r>
    </w:p>
    <w:p w:rsidR="00724152" w:rsidRPr="00724152" w:rsidRDefault="00724152" w:rsidP="00724152">
      <w:pPr>
        <w:rPr>
          <w:lang w:val="es-ES" w:bidi="ar-EG"/>
        </w:rPr>
      </w:pPr>
    </w:p>
    <w:p w:rsidR="009F37C9" w:rsidRDefault="00C37261">
      <w:pPr>
        <w:pStyle w:val="Tabletitle"/>
        <w:rPr>
          <w:rtl/>
        </w:rPr>
        <w:pPrChange w:id="4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C37261" w:rsidP="005F738C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C37261" w:rsidP="005F738C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C37261" w:rsidP="005F738C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C37261" w:rsidP="005F738C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C37261" w:rsidP="005F738C">
            <w:pPr>
              <w:pStyle w:val="TabletextS5"/>
              <w:spacing w:before="40" w:after="40" w:line="240" w:lineRule="exact"/>
            </w:pPr>
            <w:r w:rsidRPr="0048256A">
              <w:rPr>
                <w:rStyle w:val="Tablefreq"/>
              </w:rPr>
              <w:t>8 500-8 400</w:t>
            </w:r>
            <w:r w:rsidR="005F738C">
              <w:tab/>
            </w:r>
            <w:r>
              <w:rPr>
                <w:b/>
                <w:bCs/>
                <w:rtl/>
              </w:rPr>
              <w:t xml:space="preserve">ثابتة </w:t>
            </w:r>
          </w:p>
          <w:p w:rsidR="00475D0D" w:rsidRDefault="005F738C" w:rsidP="005F738C">
            <w:pPr>
              <w:pStyle w:val="TabletextS5"/>
              <w:spacing w:before="40" w:after="40" w:line="240" w:lineRule="exact"/>
            </w:pPr>
            <w:r>
              <w:tab/>
            </w:r>
            <w:r w:rsidR="00C37261">
              <w:rPr>
                <w:b/>
                <w:bCs/>
                <w:rtl/>
                <w:lang w:val="fr-CH"/>
              </w:rPr>
              <w:t>متنقلة</w:t>
            </w:r>
            <w:r w:rsidR="00C37261">
              <w:rPr>
                <w:rtl/>
              </w:rPr>
              <w:t xml:space="preserve"> </w:t>
            </w:r>
            <w:r w:rsidR="00C37261">
              <w:rPr>
                <w:rtl/>
                <w:lang w:val="fr-CH"/>
              </w:rPr>
              <w:t>باستثناء</w:t>
            </w:r>
            <w:r w:rsidR="00C37261">
              <w:rPr>
                <w:rtl/>
              </w:rPr>
              <w:t xml:space="preserve"> </w:t>
            </w:r>
            <w:r w:rsidR="00C37261">
              <w:rPr>
                <w:rtl/>
                <w:lang w:val="fr-CH"/>
              </w:rPr>
              <w:t>المتنقلة</w:t>
            </w:r>
            <w:r w:rsidR="00C37261">
              <w:rPr>
                <w:rtl/>
              </w:rPr>
              <w:t xml:space="preserve"> </w:t>
            </w:r>
            <w:r w:rsidR="00C37261">
              <w:rPr>
                <w:rtl/>
                <w:lang w:val="fr-CH"/>
              </w:rPr>
              <w:t>للطيران</w:t>
            </w:r>
          </w:p>
          <w:p w:rsidR="00475D0D" w:rsidRDefault="005F738C" w:rsidP="005F738C">
            <w:pPr>
              <w:pStyle w:val="TabletextS5"/>
              <w:spacing w:before="40" w:after="40" w:line="240" w:lineRule="exact"/>
              <w:rPr>
                <w:rtl/>
              </w:rPr>
            </w:pPr>
            <w:r>
              <w:tab/>
            </w:r>
            <w:r w:rsidR="00C37261">
              <w:rPr>
                <w:b/>
                <w:bCs/>
                <w:rtl/>
              </w:rPr>
              <w:t xml:space="preserve">أبحاث فضائية </w:t>
            </w:r>
            <w:r w:rsidR="00C37261">
              <w:rPr>
                <w:rtl/>
              </w:rPr>
              <w:t xml:space="preserve"> (فضاء-أرض)</w:t>
            </w:r>
            <w:r w:rsidR="00C37261" w:rsidRPr="005F738C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="00C37261" w:rsidRPr="005F738C">
              <w:rPr>
                <w:rStyle w:val="Artref"/>
                <w:b w:val="0"/>
                <w:bCs w:val="0"/>
                <w:rtl/>
              </w:rPr>
              <w:t xml:space="preserve"> </w:t>
            </w:r>
            <w:r w:rsidR="00C37261" w:rsidRPr="005F738C">
              <w:rPr>
                <w:rStyle w:val="Artref"/>
                <w:b w:val="0"/>
                <w:bCs w:val="0"/>
              </w:rPr>
              <w:t>465.5</w:t>
            </w:r>
            <w:r w:rsidR="00C37261" w:rsidRPr="005F738C">
              <w:rPr>
                <w:rStyle w:val="Artref"/>
                <w:b w:val="0"/>
                <w:bCs w:val="0"/>
                <w:rtl/>
              </w:rPr>
              <w:t xml:space="preserve">  </w:t>
            </w:r>
            <w:r w:rsidR="00C37261" w:rsidRPr="005F738C">
              <w:rPr>
                <w:rStyle w:val="Artref"/>
                <w:b w:val="0"/>
                <w:bCs w:val="0"/>
              </w:rPr>
              <w:t>466.5</w:t>
            </w:r>
          </w:p>
        </w:tc>
      </w:tr>
    </w:tbl>
    <w:p w:rsidR="00AF0D0B" w:rsidRDefault="00AF0D0B">
      <w:pPr>
        <w:pStyle w:val="Reasons"/>
      </w:pPr>
    </w:p>
    <w:p w:rsidR="00AF0D0B" w:rsidRDefault="00C37261">
      <w:pPr>
        <w:pStyle w:val="Proposal"/>
      </w:pPr>
      <w:r>
        <w:t>SUP</w:t>
      </w:r>
      <w:r>
        <w:tab/>
        <w:t>BDI/KEN/UGA/RRW/TZA/85A9A1/3</w:t>
      </w:r>
    </w:p>
    <w:p w:rsidR="00D053B6" w:rsidRPr="00F555FE" w:rsidRDefault="00C37261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5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5"/>
    </w:p>
    <w:p w:rsidR="00D053B6" w:rsidRDefault="00C37261" w:rsidP="00332847">
      <w:pPr>
        <w:pStyle w:val="Restitle"/>
        <w:spacing w:line="185" w:lineRule="auto"/>
        <w:rPr>
          <w:rtl/>
        </w:rPr>
      </w:pPr>
      <w:bookmarkStart w:id="6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6"/>
    </w:p>
    <w:p w:rsidR="00AF0D0B" w:rsidRDefault="00C37261" w:rsidP="00C7438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C7438E">
        <w:rPr>
          <w:rFonts w:hint="cs"/>
          <w:b w:val="0"/>
          <w:bCs w:val="0"/>
          <w:rtl/>
        </w:rPr>
        <w:t>يتعين إذاً إلغاء القرار.</w:t>
      </w:r>
    </w:p>
    <w:p w:rsidR="005F738C" w:rsidRPr="005F738C" w:rsidRDefault="005F738C" w:rsidP="005F738C">
      <w:pPr>
        <w:spacing w:before="600"/>
        <w:jc w:val="center"/>
      </w:pPr>
      <w:r>
        <w:rPr>
          <w:rFonts w:hint="cs"/>
          <w:rtl/>
        </w:rPr>
        <w:t>___________</w:t>
      </w:r>
    </w:p>
    <w:sectPr w:rsidR="005F738C" w:rsidRPr="005F738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F738C" w:rsidRDefault="00281F5F" w:rsidP="005F738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5F738C">
      <w:instrText xml:space="preserve"> FILENAME \p \* MERGEFORMAT </w:instrText>
    </w:r>
    <w:r w:rsidRPr="00CB4300">
      <w:fldChar w:fldCharType="separate"/>
    </w:r>
    <w:r w:rsidR="00724152">
      <w:rPr>
        <w:noProof/>
      </w:rPr>
      <w:t>P:\ARA\ITU-R\CONF-R\CMR15\000\085ADD09ADD01A.docx</w:t>
    </w:r>
    <w:r w:rsidRPr="00CB4300">
      <w:fldChar w:fldCharType="end"/>
    </w:r>
    <w:r w:rsidRPr="005F738C">
      <w:t xml:space="preserve">  (</w:t>
    </w:r>
    <w:r w:rsidR="005F738C" w:rsidRPr="005F738C">
      <w:t>388599</w:t>
    </w:r>
    <w:r w:rsidRPr="005F738C">
      <w:t>)</w:t>
    </w:r>
    <w:r w:rsidRPr="005F738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903E9">
      <w:rPr>
        <w:noProof/>
      </w:rPr>
      <w:t>27.10.15</w:t>
    </w:r>
    <w:r w:rsidRPr="00CB4300">
      <w:fldChar w:fldCharType="end"/>
    </w:r>
    <w:r w:rsidRPr="005F738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F738C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F738C" w:rsidRDefault="00281F5F" w:rsidP="005F738C">
    <w:pPr>
      <w:pStyle w:val="Footer"/>
    </w:pPr>
    <w:r>
      <w:fldChar w:fldCharType="begin"/>
    </w:r>
    <w:r w:rsidRPr="005F738C">
      <w:instrText xml:space="preserve"> FILENAME \p \* MERGEFORMAT </w:instrText>
    </w:r>
    <w:r>
      <w:fldChar w:fldCharType="separate"/>
    </w:r>
    <w:r w:rsidR="00724152">
      <w:rPr>
        <w:noProof/>
      </w:rPr>
      <w:t>P:\ARA\ITU-R\CONF-R\CMR15\000\085ADD09ADD01A.docx</w:t>
    </w:r>
    <w:r>
      <w:fldChar w:fldCharType="end"/>
    </w:r>
    <w:r w:rsidRPr="005F738C">
      <w:t xml:space="preserve">   (</w:t>
    </w:r>
    <w:r w:rsidR="005F738C" w:rsidRPr="005F738C">
      <w:t>388599</w:t>
    </w:r>
    <w:r w:rsidRPr="005F738C">
      <w:t>)</w:t>
    </w:r>
    <w:r w:rsidRPr="005F738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903E9">
      <w:rPr>
        <w:noProof/>
      </w:rPr>
      <w:t>27.10.15</w:t>
    </w:r>
    <w:r w:rsidRPr="00B12661">
      <w:fldChar w:fldCharType="end"/>
    </w:r>
    <w:r w:rsidRPr="005F738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F738C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24152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85(Add.9)(Add.1)-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3EEB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13A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5F738C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152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03E9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6CD8"/>
    <w:rsid w:val="00AF0D0B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1B56"/>
    <w:rsid w:val="00C22074"/>
    <w:rsid w:val="00C2377B"/>
    <w:rsid w:val="00C3693C"/>
    <w:rsid w:val="00C37261"/>
    <w:rsid w:val="00C53F6F"/>
    <w:rsid w:val="00C5489D"/>
    <w:rsid w:val="00C71759"/>
    <w:rsid w:val="00C7438E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0775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5A78FEE-FE5A-4DF8-89E5-9178668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R15-WRC15-C-0085!A9-A1!MSW-A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4862-DFFF-4343-AC33-E4E1E045AFAC}">
  <ds:schemaRefs>
    <ds:schemaRef ds:uri="996b2e75-67fd-4955-a3b0-5ab9934cb50b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E5CACB-3221-4DC4-9AD6-8B73C3DE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R15-WRC15-C-0085!A9-A1!MSW-A</vt:lpstr>
    </vt:vector>
  </TitlesOfParts>
  <Manager>General Secretariat - Pool</Manager>
  <Company>International Telecommunication Union (ITU)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R15-WRC15-C-0085!A9-A1!MSW-A</dc:title>
  <dc:creator>Documents Proposals Manager (DPM)</dc:creator>
  <cp:keywords>DPM_v5.2015.10.220_prod</cp:keywords>
  <cp:lastModifiedBy>Gergis, Mina</cp:lastModifiedBy>
  <cp:revision>4</cp:revision>
  <cp:lastPrinted>2011-11-07T13:53:00Z</cp:lastPrinted>
  <dcterms:created xsi:type="dcterms:W3CDTF">2015-10-30T19:43:00Z</dcterms:created>
  <dcterms:modified xsi:type="dcterms:W3CDTF">2015-10-30T19:46:00Z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