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31DD0" w:rsidTr="0050008E">
        <w:trPr>
          <w:cantSplit/>
        </w:trPr>
        <w:tc>
          <w:tcPr>
            <w:tcW w:w="6911" w:type="dxa"/>
          </w:tcPr>
          <w:p w:rsidR="0090121B" w:rsidRPr="00D31DD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31DD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31DD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31DD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D31DD0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31DD0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31DD0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31DD0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D31DD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D31DD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31DD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31DD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D31DD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31DD0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D31DD0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31DD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D31DD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31DD0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D31DD0">
              <w:rPr>
                <w:rFonts w:ascii="Verdana" w:eastAsia="SimSun" w:hAnsi="Verdana" w:cs="Traditional Arabic"/>
                <w:b/>
                <w:sz w:val="20"/>
              </w:rPr>
              <w:br/>
              <w:t>Documento 85(Add.23)(Add.1)</w:t>
            </w:r>
            <w:r w:rsidR="0090121B" w:rsidRPr="00D31DD0">
              <w:rPr>
                <w:rFonts w:ascii="Verdana" w:hAnsi="Verdana"/>
                <w:b/>
                <w:sz w:val="20"/>
              </w:rPr>
              <w:t>-</w:t>
            </w:r>
            <w:r w:rsidRPr="00D31DD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31DD0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31DD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D31DD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31DD0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D31DD0" w:rsidTr="0090121B">
        <w:trPr>
          <w:cantSplit/>
        </w:trPr>
        <w:tc>
          <w:tcPr>
            <w:tcW w:w="6911" w:type="dxa"/>
          </w:tcPr>
          <w:p w:rsidR="000A5B9A" w:rsidRPr="00D31DD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D31DD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31DD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D31DD0" w:rsidTr="006744FC">
        <w:trPr>
          <w:cantSplit/>
        </w:trPr>
        <w:tc>
          <w:tcPr>
            <w:tcW w:w="10031" w:type="dxa"/>
            <w:gridSpan w:val="2"/>
          </w:tcPr>
          <w:p w:rsidR="000A5B9A" w:rsidRPr="00D31DD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31DD0" w:rsidTr="0050008E">
        <w:trPr>
          <w:cantSplit/>
        </w:trPr>
        <w:tc>
          <w:tcPr>
            <w:tcW w:w="10031" w:type="dxa"/>
            <w:gridSpan w:val="2"/>
          </w:tcPr>
          <w:p w:rsidR="000A5B9A" w:rsidRPr="00D31DD0" w:rsidRDefault="000A5B9A" w:rsidP="000A5B9A">
            <w:pPr>
              <w:pStyle w:val="Source"/>
            </w:pPr>
            <w:bookmarkStart w:id="2" w:name="dsource" w:colFirst="0" w:colLast="0"/>
            <w:r w:rsidRPr="00D31DD0">
              <w:t>Burundi (República de)/Kenya (República de)/Uganda (República de)/Rwanda (República de)/Tanzanía (República Unida de)</w:t>
            </w:r>
          </w:p>
        </w:tc>
      </w:tr>
      <w:tr w:rsidR="000A5B9A" w:rsidRPr="00D31DD0" w:rsidTr="0050008E">
        <w:trPr>
          <w:cantSplit/>
        </w:trPr>
        <w:tc>
          <w:tcPr>
            <w:tcW w:w="10031" w:type="dxa"/>
            <w:gridSpan w:val="2"/>
          </w:tcPr>
          <w:p w:rsidR="000A5B9A" w:rsidRPr="00D31DD0" w:rsidRDefault="000A5B9A" w:rsidP="00052CD7">
            <w:pPr>
              <w:pStyle w:val="Title1"/>
            </w:pPr>
            <w:bookmarkStart w:id="3" w:name="dtitle1" w:colFirst="0" w:colLast="0"/>
            <w:bookmarkEnd w:id="2"/>
            <w:r w:rsidRPr="00D31DD0">
              <w:t>Pr</w:t>
            </w:r>
            <w:r w:rsidR="00052CD7" w:rsidRPr="00D31DD0">
              <w:t>opuestas para los trabajos de la conferencia</w:t>
            </w:r>
          </w:p>
        </w:tc>
      </w:tr>
      <w:tr w:rsidR="000A5B9A" w:rsidRPr="00D31DD0" w:rsidTr="0050008E">
        <w:trPr>
          <w:cantSplit/>
        </w:trPr>
        <w:tc>
          <w:tcPr>
            <w:tcW w:w="10031" w:type="dxa"/>
            <w:gridSpan w:val="2"/>
          </w:tcPr>
          <w:p w:rsidR="000A5B9A" w:rsidRPr="00D31DD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D31DD0" w:rsidTr="0050008E">
        <w:trPr>
          <w:cantSplit/>
        </w:trPr>
        <w:tc>
          <w:tcPr>
            <w:tcW w:w="10031" w:type="dxa"/>
            <w:gridSpan w:val="2"/>
          </w:tcPr>
          <w:p w:rsidR="000A5B9A" w:rsidRPr="00D31DD0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D31DD0">
              <w:t>Punto 9.1(9.1.6) del orden del día</w:t>
            </w:r>
          </w:p>
        </w:tc>
      </w:tr>
    </w:tbl>
    <w:bookmarkEnd w:id="5"/>
    <w:p w:rsidR="006C20F8" w:rsidRPr="00D31DD0" w:rsidRDefault="00A36B9F" w:rsidP="006C20F8">
      <w:r w:rsidRPr="00D31DD0">
        <w:t>9</w:t>
      </w:r>
      <w:r w:rsidRPr="00D31DD0">
        <w:tab/>
        <w:t>examinar y aprobar el Informe del Director de la Oficina de Radiocomunicaciones, de conformidad con el Artículo 7 del Convenio:</w:t>
      </w:r>
    </w:p>
    <w:p w:rsidR="001C0E40" w:rsidRPr="00D31DD0" w:rsidRDefault="00A36B9F" w:rsidP="00482C06">
      <w:r w:rsidRPr="00D31DD0">
        <w:t>9.1</w:t>
      </w:r>
      <w:r w:rsidRPr="00D31DD0">
        <w:tab/>
        <w:t>sobre las actividades del Sector de Radiocomunicaciones desde la CMR-12;</w:t>
      </w:r>
    </w:p>
    <w:p w:rsidR="001C0E40" w:rsidRPr="00D31DD0" w:rsidRDefault="00A36B9F" w:rsidP="00A72CD8">
      <w:r w:rsidRPr="00D31DD0">
        <w:t xml:space="preserve">9.1(9.1.6) </w:t>
      </w:r>
      <w:r w:rsidRPr="00D31DD0">
        <w:tab/>
      </w:r>
      <w:r w:rsidRPr="00D31DD0">
        <w:t xml:space="preserve">Resolución </w:t>
      </w:r>
      <w:r w:rsidRPr="00D31DD0">
        <w:rPr>
          <w:b/>
          <w:bCs/>
        </w:rPr>
        <w:t>957 (CMR-12)</w:t>
      </w:r>
      <w:r w:rsidRPr="00D31DD0">
        <w:t xml:space="preserve"> - Estudios para revisar las definiciones de servicio fijo, estación fija y estación móvil</w:t>
      </w:r>
    </w:p>
    <w:p w:rsidR="001229C5" w:rsidRPr="00D31DD0" w:rsidRDefault="001229C5" w:rsidP="001229C5">
      <w:pPr>
        <w:pStyle w:val="Headingb"/>
        <w:spacing w:before="360"/>
      </w:pPr>
      <w:r w:rsidRPr="00D31DD0">
        <w:t>Introducción</w:t>
      </w:r>
    </w:p>
    <w:p w:rsidR="001229C5" w:rsidRPr="00D31DD0" w:rsidRDefault="001229C5" w:rsidP="001229C5">
      <w:r w:rsidRPr="00D31DD0">
        <w:rPr>
          <w:color w:val="000000"/>
        </w:rPr>
        <w:t xml:space="preserve">La CMR-12 consideró determinadas revisiones de las definiciones de </w:t>
      </w:r>
      <w:r w:rsidRPr="00D31DD0">
        <w:rPr>
          <w:i/>
          <w:iCs/>
          <w:color w:val="000000"/>
        </w:rPr>
        <w:t>servicio fijo</w:t>
      </w:r>
      <w:r w:rsidRPr="00D31DD0">
        <w:rPr>
          <w:color w:val="000000"/>
        </w:rPr>
        <w:t xml:space="preserve">, </w:t>
      </w:r>
      <w:r w:rsidRPr="00D31DD0">
        <w:rPr>
          <w:i/>
          <w:iCs/>
          <w:color w:val="000000"/>
        </w:rPr>
        <w:t xml:space="preserve">estación fija </w:t>
      </w:r>
      <w:r w:rsidRPr="00D31DD0">
        <w:rPr>
          <w:color w:val="000000"/>
        </w:rPr>
        <w:t xml:space="preserve">y </w:t>
      </w:r>
      <w:r w:rsidRPr="00D31DD0">
        <w:rPr>
          <w:i/>
          <w:iCs/>
          <w:color w:val="000000"/>
        </w:rPr>
        <w:t>estación móvil</w:t>
      </w:r>
      <w:r w:rsidRPr="00D31DD0">
        <w:rPr>
          <w:color w:val="000000"/>
        </w:rPr>
        <w:t xml:space="preserve"> del Artículo 1 del RR, de acuerdo con los estudios realizados con objeto de abordar la convergencia entre fijo y móvil en el marco del punto 1.2 del orden del día de la CMR-12, pero decidió que se debía estudiar el tema en mayor profundidad para que lo considerase la CMR-15 en el marco del Informe del Director de la Oficina de Radiocomunicaciones. Mientras que el punto 1.2 del orden del día de la CMR-12 examinaba de forma mucho más amplia cómo mejorar el marco de reglamentación internacional, el tema 9.1.6 del punto 9.1 del orden día de la CMR-15 se centra específicamente en la posible modificación de estas tres definiciones a fin de contemplar la convergencia y soportar la aplicación de prácticas eficaces de gestión y utilización del espectro</w:t>
      </w:r>
      <w:r w:rsidRPr="00D31DD0">
        <w:t>.</w:t>
      </w:r>
    </w:p>
    <w:p w:rsidR="001229C5" w:rsidRPr="00D31DD0" w:rsidRDefault="001229C5" w:rsidP="00A36B9F">
      <w:pPr>
        <w:rPr>
          <w:bCs/>
        </w:rPr>
      </w:pPr>
      <w:r w:rsidRPr="00D31DD0">
        <w:t>Los países miembros de la EACO (BDI/KEN</w:t>
      </w:r>
      <w:r w:rsidR="00A36B9F" w:rsidRPr="00D31DD0">
        <w:t>/UGA</w:t>
      </w:r>
      <w:bookmarkStart w:id="6" w:name="_GoBack"/>
      <w:bookmarkEnd w:id="6"/>
      <w:r w:rsidRPr="00D31DD0">
        <w:t xml:space="preserve">/RRW/TZA) consideran que no deberían modificarse las definiciones de </w:t>
      </w:r>
      <w:r w:rsidRPr="00D31DD0">
        <w:rPr>
          <w:i/>
          <w:iCs/>
        </w:rPr>
        <w:t>servicio fijo</w:t>
      </w:r>
      <w:r w:rsidRPr="00D31DD0">
        <w:rPr>
          <w:color w:val="000000"/>
        </w:rPr>
        <w:t xml:space="preserve">, </w:t>
      </w:r>
      <w:r w:rsidRPr="00D31DD0">
        <w:rPr>
          <w:i/>
          <w:iCs/>
          <w:color w:val="000000"/>
        </w:rPr>
        <w:t>estación fija</w:t>
      </w:r>
      <w:r w:rsidRPr="00D31DD0">
        <w:rPr>
          <w:color w:val="000000"/>
        </w:rPr>
        <w:t xml:space="preserve"> y </w:t>
      </w:r>
      <w:r w:rsidRPr="00D31DD0">
        <w:rPr>
          <w:i/>
          <w:iCs/>
          <w:color w:val="000000"/>
        </w:rPr>
        <w:t>estación móvil</w:t>
      </w:r>
      <w:r w:rsidRPr="00D31DD0">
        <w:rPr>
          <w:color w:val="000000"/>
        </w:rPr>
        <w:t xml:space="preserve"> en el Artículo 1 del RR. </w:t>
      </w:r>
    </w:p>
    <w:p w:rsidR="001229C5" w:rsidRPr="00D31DD0" w:rsidRDefault="001229C5" w:rsidP="001229C5">
      <w:pPr>
        <w:pStyle w:val="Headingb"/>
      </w:pPr>
      <w:r w:rsidRPr="00D31DD0">
        <w:t>Propuesta</w:t>
      </w:r>
    </w:p>
    <w:p w:rsidR="001229C5" w:rsidRPr="00D31DD0" w:rsidRDefault="001229C5" w:rsidP="00A36B9F">
      <w:r w:rsidRPr="00D31DD0">
        <w:rPr>
          <w:bCs/>
        </w:rPr>
        <w:t xml:space="preserve">La propuesta de </w:t>
      </w:r>
      <w:r w:rsidRPr="00D31DD0">
        <w:t>BDI/KEN</w:t>
      </w:r>
      <w:r w:rsidR="00A36B9F" w:rsidRPr="00D31DD0">
        <w:t>/UGA</w:t>
      </w:r>
      <w:r w:rsidRPr="00D31DD0">
        <w:t>/RRW/TZA</w:t>
      </w:r>
      <w:r w:rsidRPr="00D31DD0">
        <w:rPr>
          <w:bCs/>
        </w:rPr>
        <w:t xml:space="preserve"> (países miembros de la EACO) se muestra a continuación:</w:t>
      </w:r>
    </w:p>
    <w:p w:rsidR="00363A65" w:rsidRPr="00D31DD0" w:rsidRDefault="00363A65" w:rsidP="009144C9"/>
    <w:p w:rsidR="008750A8" w:rsidRPr="00D31DD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31DD0">
        <w:br w:type="page"/>
      </w:r>
    </w:p>
    <w:p w:rsidR="00BB17D8" w:rsidRPr="00D31DD0" w:rsidRDefault="00A36B9F">
      <w:pPr>
        <w:pStyle w:val="Proposal"/>
      </w:pPr>
      <w:r w:rsidRPr="00D31DD0">
        <w:rPr>
          <w:u w:val="single"/>
        </w:rPr>
        <w:lastRenderedPageBreak/>
        <w:t>NOC</w:t>
      </w:r>
      <w:r w:rsidRPr="00D31DD0">
        <w:tab/>
        <w:t>BDI/KEN/UGA/RRW/TZA/85A23A1A6/1</w:t>
      </w:r>
    </w:p>
    <w:p w:rsidR="00F008F3" w:rsidRPr="00D31DD0" w:rsidRDefault="00A36B9F" w:rsidP="00F008F3">
      <w:pPr>
        <w:pStyle w:val="Section1"/>
      </w:pPr>
      <w:r>
        <w:t>REGLAMENTO DE RADIOCOMUNICACIONES</w:t>
      </w:r>
    </w:p>
    <w:p w:rsidR="00BB17D8" w:rsidRPr="00D31DD0" w:rsidRDefault="00BB17D8">
      <w:pPr>
        <w:pStyle w:val="Reasons"/>
      </w:pPr>
    </w:p>
    <w:p w:rsidR="00BB17D8" w:rsidRPr="00D31DD0" w:rsidRDefault="00A36B9F">
      <w:pPr>
        <w:pStyle w:val="Proposal"/>
      </w:pPr>
      <w:r w:rsidRPr="00D31DD0">
        <w:t>SUP</w:t>
      </w:r>
      <w:r w:rsidRPr="00D31DD0">
        <w:tab/>
        <w:t>BDI/KEN/UGA/RRW/TZA/85A23A1A6/2</w:t>
      </w:r>
    </w:p>
    <w:p w:rsidR="009E7ADB" w:rsidRPr="00D31DD0" w:rsidRDefault="00A36B9F" w:rsidP="009E7ADB">
      <w:pPr>
        <w:pStyle w:val="ResNo"/>
      </w:pPr>
      <w:bookmarkStart w:id="7" w:name="_Toc328141517"/>
      <w:r w:rsidRPr="00D31DD0">
        <w:t xml:space="preserve">RESOLUCIÓN </w:t>
      </w:r>
      <w:r w:rsidRPr="00D31DD0">
        <w:rPr>
          <w:rStyle w:val="href"/>
        </w:rPr>
        <w:t>957</w:t>
      </w:r>
      <w:r w:rsidRPr="00D31DD0">
        <w:t xml:space="preserve"> </w:t>
      </w:r>
      <w:r w:rsidRPr="00D31DD0">
        <w:t>(CMR-12)</w:t>
      </w:r>
      <w:bookmarkEnd w:id="7"/>
    </w:p>
    <w:p w:rsidR="009E7ADB" w:rsidRPr="00D31DD0" w:rsidRDefault="00A36B9F" w:rsidP="009E7ADB">
      <w:pPr>
        <w:pStyle w:val="Restitle"/>
        <w:rPr>
          <w:b w:val="0"/>
        </w:rPr>
      </w:pPr>
      <w:bookmarkStart w:id="8" w:name="_Toc328141518"/>
      <w:r w:rsidRPr="00D31DD0">
        <w:t>Estudios para revisar las definiciones de servicio fijo</w:t>
      </w:r>
      <w:r w:rsidRPr="00D31DD0">
        <w:t>,</w:t>
      </w:r>
      <w:r w:rsidRPr="00D31DD0">
        <w:br/>
      </w:r>
      <w:r w:rsidRPr="00A36B9F">
        <w:rPr>
          <w:rFonts w:ascii="Times New Roman"/>
          <w:bCs/>
          <w:iCs/>
        </w:rPr>
        <w:t>estaci</w:t>
      </w:r>
      <w:r w:rsidRPr="00A36B9F">
        <w:rPr>
          <w:rFonts w:ascii="Times New Roman"/>
          <w:bCs/>
          <w:iCs/>
        </w:rPr>
        <w:t>ó</w:t>
      </w:r>
      <w:r w:rsidRPr="00A36B9F">
        <w:rPr>
          <w:rFonts w:ascii="Times New Roman"/>
          <w:bCs/>
          <w:iCs/>
        </w:rPr>
        <w:t xml:space="preserve">n fija </w:t>
      </w:r>
      <w:r w:rsidRPr="00A36B9F">
        <w:rPr>
          <w:iCs/>
        </w:rPr>
        <w:t xml:space="preserve">y </w:t>
      </w:r>
      <w:r w:rsidRPr="00A36B9F">
        <w:rPr>
          <w:rFonts w:ascii="Times New Roman"/>
          <w:bCs/>
          <w:iCs/>
        </w:rPr>
        <w:t>estaci</w:t>
      </w:r>
      <w:r w:rsidRPr="00A36B9F">
        <w:rPr>
          <w:rFonts w:ascii="Times New Roman"/>
          <w:bCs/>
          <w:iCs/>
        </w:rPr>
        <w:t>ó</w:t>
      </w:r>
      <w:r w:rsidRPr="00A36B9F">
        <w:rPr>
          <w:rFonts w:ascii="Times New Roman"/>
          <w:bCs/>
          <w:iCs/>
        </w:rPr>
        <w:t>n m</w:t>
      </w:r>
      <w:r w:rsidRPr="00A36B9F">
        <w:rPr>
          <w:rFonts w:ascii="Times New Roman"/>
          <w:bCs/>
          <w:iCs/>
        </w:rPr>
        <w:t>ó</w:t>
      </w:r>
      <w:r w:rsidRPr="00A36B9F">
        <w:rPr>
          <w:rFonts w:ascii="Times New Roman"/>
          <w:bCs/>
          <w:iCs/>
        </w:rPr>
        <w:t>vil</w:t>
      </w:r>
      <w:bookmarkEnd w:id="8"/>
    </w:p>
    <w:p w:rsidR="001229C5" w:rsidRPr="00D31DD0" w:rsidRDefault="001229C5" w:rsidP="0032202E">
      <w:pPr>
        <w:pStyle w:val="Reasons"/>
      </w:pPr>
    </w:p>
    <w:p w:rsidR="001229C5" w:rsidRPr="00D31DD0" w:rsidRDefault="001229C5">
      <w:pPr>
        <w:jc w:val="center"/>
      </w:pPr>
      <w:r w:rsidRPr="00D31DD0">
        <w:t>______________</w:t>
      </w:r>
    </w:p>
    <w:sectPr w:rsidR="001229C5" w:rsidRPr="00D31DD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D31DD0" w:rsidRDefault="0077084A">
    <w:pPr>
      <w:ind w:right="360"/>
    </w:pPr>
    <w:r>
      <w:fldChar w:fldCharType="begin"/>
    </w:r>
    <w:r w:rsidRPr="00D31DD0">
      <w:instrText xml:space="preserve"> FILENAME \p  \* MERGEFORMAT </w:instrText>
    </w:r>
    <w:r>
      <w:fldChar w:fldCharType="separate"/>
    </w:r>
    <w:r w:rsidR="00D31DD0">
      <w:rPr>
        <w:noProof/>
      </w:rPr>
      <w:t>P:\ESP\ITU-R\CONF-R\CMR15\000\085ADD23ADD01ADD06S.docx</w:t>
    </w:r>
    <w:r>
      <w:fldChar w:fldCharType="end"/>
    </w:r>
    <w:r w:rsidRPr="00D31DD0">
      <w:tab/>
    </w:r>
    <w:r>
      <w:fldChar w:fldCharType="begin"/>
    </w:r>
    <w:r>
      <w:instrText xml:space="preserve"> SAVEDATE \@ DD.MM.YY </w:instrText>
    </w:r>
    <w:r>
      <w:fldChar w:fldCharType="separate"/>
    </w:r>
    <w:r w:rsidR="00D31DD0">
      <w:rPr>
        <w:noProof/>
      </w:rPr>
      <w:t>28.10.15</w:t>
    </w:r>
    <w:r>
      <w:fldChar w:fldCharType="end"/>
    </w:r>
    <w:r w:rsidRPr="00D31DD0">
      <w:tab/>
    </w:r>
    <w:r>
      <w:fldChar w:fldCharType="begin"/>
    </w:r>
    <w:r>
      <w:instrText xml:space="preserve"> PRINTDATE \@ DD.MM.YY </w:instrText>
    </w:r>
    <w:r>
      <w:fldChar w:fldCharType="separate"/>
    </w:r>
    <w:r w:rsidR="00D31DD0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D0" w:rsidRDefault="00D31DD0">
    <w:pPr>
      <w:pStyle w:val="Footer"/>
    </w:pPr>
    <w:fldSimple w:instr=" FILENAME \p  \* MERGEFORMAT ">
      <w:r>
        <w:t>P:\ESP\ITU-R\CONF-R\CMR15\000\085ADD23ADD01ADD06S.docx</w:t>
      </w:r>
    </w:fldSimple>
    <w:r>
      <w:t xml:space="preserve"> (388619)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D0" w:rsidRDefault="00D31DD0" w:rsidP="00D31DD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P:\ESP\ITU-R\CONF-R\CMR15\000\085ADD23ADD01ADD06S.docx</w:t>
    </w:r>
    <w:r>
      <w:fldChar w:fldCharType="end"/>
    </w:r>
    <w:r>
      <w:t xml:space="preserve"> (388619)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6B9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85(Add.23)(Add.1)(Add.6)-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2CD7"/>
    <w:rsid w:val="00087AE8"/>
    <w:rsid w:val="000A5B9A"/>
    <w:rsid w:val="000E5BF9"/>
    <w:rsid w:val="000F0E6D"/>
    <w:rsid w:val="00121170"/>
    <w:rsid w:val="001229C5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36B9F"/>
    <w:rsid w:val="00A4450C"/>
    <w:rsid w:val="00AA5E6C"/>
    <w:rsid w:val="00AE5677"/>
    <w:rsid w:val="00AE658F"/>
    <w:rsid w:val="00AF2F78"/>
    <w:rsid w:val="00B239FA"/>
    <w:rsid w:val="00B52D55"/>
    <w:rsid w:val="00B8288C"/>
    <w:rsid w:val="00BB17D8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31DD0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797A485-7CA2-4BA0-825A-2FDED78B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R15-WRC15-C-0085!A23-A1-A6!MSW-S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FAFCA-44DF-427E-96EA-508F1C27A227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1a8c5-2265-4ebc-b7a0-2071e2c5c9bb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C8F31D-5EC6-460B-A3D3-41899089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R15-WRC15-C-0085!A23-A1-A6!MSW-S</vt:lpstr>
    </vt:vector>
  </TitlesOfParts>
  <Manager>Secretaría General - Pool</Manager>
  <Company>Unión Internacional de Telecomunicaciones (UIT)</Company>
  <LinksUpToDate>false</LinksUpToDate>
  <CharactersWithSpaces>2182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R15-WRC15-C-0085!A23-A1-A6!MSW-S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4</cp:revision>
  <cp:lastPrinted>2015-10-28T17:56:00Z</cp:lastPrinted>
  <dcterms:created xsi:type="dcterms:W3CDTF">2015-10-28T17:54:00Z</dcterms:created>
  <dcterms:modified xsi:type="dcterms:W3CDTF">2015-10-28T18:04:00Z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