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5C5CFE4" w14:textId="77777777" w:rsidTr="0050008E">
        <w:trPr>
          <w:cantSplit/>
        </w:trPr>
        <w:tc>
          <w:tcPr>
            <w:tcW w:w="6911" w:type="dxa"/>
          </w:tcPr>
          <w:p w14:paraId="56EFE4F6" w14:textId="77777777" w:rsidR="00BB1D82" w:rsidRPr="00930FFD" w:rsidRDefault="00851625" w:rsidP="006308C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4C2F831D" w14:textId="77777777" w:rsidR="00BB1D82" w:rsidRPr="002A6F8F" w:rsidRDefault="002C28A4" w:rsidP="006308C1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FC0A47A" wp14:editId="7C72D27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16C6C1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0C54E4C" w14:textId="77777777" w:rsidR="00BB1D82" w:rsidRPr="002A6F8F" w:rsidRDefault="002C28A4" w:rsidP="006308C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C5985BC" w14:textId="77777777" w:rsidR="00BB1D82" w:rsidRPr="002A6F8F" w:rsidRDefault="00BB1D82" w:rsidP="006308C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2AF000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7C872D" w14:textId="77777777" w:rsidR="00BB1D82" w:rsidRPr="002A6F8F" w:rsidRDefault="00BB1D82" w:rsidP="006308C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5A9FBD" w14:textId="77777777" w:rsidR="00BB1D82" w:rsidRPr="002A6F8F" w:rsidRDefault="00BB1D82" w:rsidP="006308C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E152610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7EA21696" w14:textId="77777777" w:rsidR="00BB1D82" w:rsidRPr="00930FFD" w:rsidRDefault="006D4724" w:rsidP="006308C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2B498236" w14:textId="77777777" w:rsidR="00BB1D82" w:rsidRPr="006E5F2A" w:rsidRDefault="006D4724" w:rsidP="006308C1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E5F2A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6 au</w:t>
            </w:r>
            <w:r w:rsidRPr="006E5F2A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85(Add.23)(Add.1)</w:t>
            </w:r>
            <w:r w:rsidR="00BB1D82" w:rsidRPr="006E5F2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E5F2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7682EE48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C62027D" w14:textId="77777777" w:rsidR="00690C7B" w:rsidRPr="006E5F2A" w:rsidRDefault="00690C7B" w:rsidP="006308C1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6706449B" w14:textId="77777777" w:rsidR="00690C7B" w:rsidRPr="002A6F8F" w:rsidRDefault="00690C7B" w:rsidP="006308C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14:paraId="21292B6C" w14:textId="77777777" w:rsidTr="00BB1D82">
        <w:trPr>
          <w:cantSplit/>
        </w:trPr>
        <w:tc>
          <w:tcPr>
            <w:tcW w:w="6911" w:type="dxa"/>
          </w:tcPr>
          <w:p w14:paraId="17FC49A7" w14:textId="77777777" w:rsidR="00690C7B" w:rsidRPr="002A6F8F" w:rsidRDefault="00690C7B" w:rsidP="006308C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4A24B22" w14:textId="77777777" w:rsidR="00690C7B" w:rsidRPr="002A6F8F" w:rsidRDefault="00690C7B" w:rsidP="006308C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45DE7FC4" w14:textId="77777777" w:rsidTr="00C11970">
        <w:trPr>
          <w:cantSplit/>
        </w:trPr>
        <w:tc>
          <w:tcPr>
            <w:tcW w:w="10031" w:type="dxa"/>
            <w:gridSpan w:val="2"/>
          </w:tcPr>
          <w:p w14:paraId="4373A06E" w14:textId="77777777" w:rsidR="00690C7B" w:rsidRPr="002A6F8F" w:rsidRDefault="00690C7B" w:rsidP="006308C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DFF674B" w14:textId="77777777" w:rsidTr="0050008E">
        <w:trPr>
          <w:cantSplit/>
        </w:trPr>
        <w:tc>
          <w:tcPr>
            <w:tcW w:w="10031" w:type="dxa"/>
            <w:gridSpan w:val="2"/>
          </w:tcPr>
          <w:p w14:paraId="03D859F3" w14:textId="37A10027" w:rsidR="00690C7B" w:rsidRPr="006E5F2A" w:rsidRDefault="00690C7B" w:rsidP="00834B1C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E5F2A">
              <w:rPr>
                <w:lang w:val="fr-CH"/>
              </w:rPr>
              <w:t>Burundi (République du)/Kenya (République du)/</w:t>
            </w:r>
            <w:r w:rsidR="00834B1C" w:rsidRPr="006E5F2A">
              <w:rPr>
                <w:lang w:val="fr-CH"/>
              </w:rPr>
              <w:t>Ouganda (République de l')</w:t>
            </w:r>
            <w:r w:rsidRPr="006E5F2A">
              <w:rPr>
                <w:lang w:val="fr-CH"/>
              </w:rPr>
              <w:t>Rwanda (République du)/Tanzanie (République-Unie de)</w:t>
            </w:r>
          </w:p>
        </w:tc>
      </w:tr>
      <w:tr w:rsidR="00690C7B" w:rsidRPr="002A6F8F" w14:paraId="7607DA22" w14:textId="77777777" w:rsidTr="0050008E">
        <w:trPr>
          <w:cantSplit/>
        </w:trPr>
        <w:tc>
          <w:tcPr>
            <w:tcW w:w="10031" w:type="dxa"/>
            <w:gridSpan w:val="2"/>
          </w:tcPr>
          <w:p w14:paraId="6A2A5B92" w14:textId="77777777" w:rsidR="00690C7B" w:rsidRPr="006E5F2A" w:rsidRDefault="00690C7B" w:rsidP="006308C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E5F2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3F8BEDE2" w14:textId="77777777" w:rsidTr="0050008E">
        <w:trPr>
          <w:cantSplit/>
        </w:trPr>
        <w:tc>
          <w:tcPr>
            <w:tcW w:w="10031" w:type="dxa"/>
            <w:gridSpan w:val="2"/>
          </w:tcPr>
          <w:p w14:paraId="26485259" w14:textId="77777777" w:rsidR="00690C7B" w:rsidRPr="006E5F2A" w:rsidRDefault="00690C7B" w:rsidP="006308C1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70269F59" w14:textId="77777777" w:rsidTr="0050008E">
        <w:trPr>
          <w:cantSplit/>
        </w:trPr>
        <w:tc>
          <w:tcPr>
            <w:tcW w:w="10031" w:type="dxa"/>
            <w:gridSpan w:val="2"/>
          </w:tcPr>
          <w:p w14:paraId="7631D0DD" w14:textId="77777777" w:rsidR="00690C7B" w:rsidRDefault="00690C7B" w:rsidP="006308C1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9.1(9.1.6) de l'ordre du jour</w:t>
            </w:r>
          </w:p>
        </w:tc>
      </w:tr>
    </w:tbl>
    <w:bookmarkEnd w:id="5"/>
    <w:p w14:paraId="14BC1D49" w14:textId="77777777" w:rsidR="001C0E40" w:rsidRPr="00A27760" w:rsidRDefault="006E5F2A" w:rsidP="006308C1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14:paraId="0FBC280E" w14:textId="754B8DC5" w:rsidR="001C0E40" w:rsidRPr="00895D39" w:rsidRDefault="006E5F2A" w:rsidP="006308C1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</w:t>
      </w:r>
      <w:r w:rsidR="00BC2538">
        <w:rPr>
          <w:lang w:val="fr-CA"/>
        </w:rPr>
        <w:t>diocommunications</w:t>
      </w:r>
      <w:r w:rsidR="00AC0235">
        <w:rPr>
          <w:lang w:val="fr-CA"/>
        </w:rPr>
        <w:t xml:space="preserve"> depuis la </w:t>
      </w:r>
      <w:r w:rsidR="00BC2538">
        <w:rPr>
          <w:lang w:val="fr-CA"/>
        </w:rPr>
        <w:t>CMR</w:t>
      </w:r>
      <w:r w:rsidR="00B271EE">
        <w:rPr>
          <w:lang w:val="fr-CA"/>
        </w:rPr>
        <w:t>-</w:t>
      </w:r>
      <w:r w:rsidRPr="00895D39">
        <w:rPr>
          <w:lang w:val="fr-CA"/>
        </w:rPr>
        <w:t xml:space="preserve">12; </w:t>
      </w:r>
    </w:p>
    <w:p w14:paraId="40594CD8" w14:textId="77777777" w:rsidR="001C0E40" w:rsidRPr="00C23F23" w:rsidRDefault="006E5F2A" w:rsidP="006308C1">
      <w:pPr>
        <w:rPr>
          <w:lang w:val="fr-CH"/>
        </w:rPr>
      </w:pPr>
      <w:r>
        <w:rPr>
          <w:lang w:val="fr-CH"/>
        </w:rPr>
        <w:t xml:space="preserve">9.1(9.1.6) 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9F4645">
        <w:rPr>
          <w:b/>
          <w:bCs/>
          <w:lang w:val="fr-CH"/>
        </w:rPr>
        <w:t>957 (CMR-12)</w:t>
      </w:r>
      <w:r w:rsidRPr="00552143">
        <w:rPr>
          <w:lang w:val="fr-CH"/>
        </w:rPr>
        <w:t xml:space="preserve"> – </w:t>
      </w:r>
      <w:proofErr w:type="spellStart"/>
      <w:r w:rsidRPr="00552143">
        <w:rPr>
          <w:lang w:val="fr-CH"/>
        </w:rPr>
        <w:t>Etudes</w:t>
      </w:r>
      <w:proofErr w:type="spellEnd"/>
      <w:r w:rsidRPr="00552143">
        <w:rPr>
          <w:lang w:val="fr-CH"/>
        </w:rPr>
        <w:t xml:space="preserve"> en vue de l'examen des définitions des termes service fixe, station fixe et station mobile</w:t>
      </w:r>
    </w:p>
    <w:p w14:paraId="3CE5D74E" w14:textId="77777777" w:rsidR="006E5F2A" w:rsidRDefault="006E5F2A" w:rsidP="006308C1">
      <w:pPr>
        <w:pStyle w:val="Headingb"/>
      </w:pPr>
      <w:r>
        <w:t>Introduction</w:t>
      </w:r>
    </w:p>
    <w:p w14:paraId="5881A732" w14:textId="36916192" w:rsidR="006E5F2A" w:rsidRDefault="00AC0235" w:rsidP="006308C1">
      <w:r>
        <w:t>La CMR</w:t>
      </w:r>
      <w:r w:rsidR="00B271EE">
        <w:t>-</w:t>
      </w:r>
      <w:r w:rsidR="006E5F2A" w:rsidRPr="006308C1">
        <w:t xml:space="preserve">12 a examiné certaines modifications des définitions des termes </w:t>
      </w:r>
      <w:r w:rsidR="006E5F2A" w:rsidRPr="006308C1">
        <w:rPr>
          <w:i/>
          <w:iCs/>
        </w:rPr>
        <w:t>service fixe</w:t>
      </w:r>
      <w:r w:rsidR="006E5F2A" w:rsidRPr="006308C1">
        <w:t xml:space="preserve">, </w:t>
      </w:r>
      <w:r w:rsidR="006E5F2A" w:rsidRPr="006308C1">
        <w:rPr>
          <w:i/>
          <w:iCs/>
        </w:rPr>
        <w:t>station fixe</w:t>
      </w:r>
      <w:r w:rsidR="006E5F2A" w:rsidRPr="006308C1">
        <w:t xml:space="preserve"> et </w:t>
      </w:r>
      <w:r w:rsidR="006E5F2A" w:rsidRPr="006308C1">
        <w:rPr>
          <w:i/>
          <w:iCs/>
        </w:rPr>
        <w:t>station mobile</w:t>
      </w:r>
      <w:r w:rsidR="006E5F2A" w:rsidRPr="006308C1">
        <w:t xml:space="preserve"> figurant dans l'Article 1 du RR, sur la base d'études entreprises afin de tenir compte de la convergence des services fixe et mobile, au titre du point 1</w:t>
      </w:r>
      <w:r>
        <w:t>.2 de l'ordre du jour de la CMR</w:t>
      </w:r>
      <w:r w:rsidR="00B271EE">
        <w:t>-</w:t>
      </w:r>
      <w:r w:rsidR="006E5F2A" w:rsidRPr="006308C1">
        <w:t xml:space="preserve">12, mais a décidé qu'il convenait de poursuivre l'examen et l'étude de cette question, </w:t>
      </w:r>
      <w:r w:rsidR="00490315">
        <w:t>en vue de la soumettre à la CMR</w:t>
      </w:r>
      <w:r w:rsidR="00B271EE">
        <w:t>-</w:t>
      </w:r>
      <w:r w:rsidR="006E5F2A" w:rsidRPr="006308C1">
        <w:t>15 au titre de l'examen du rapport du Directeur du Bureau des radiocommunications. Alors que le point 1</w:t>
      </w:r>
      <w:r w:rsidR="00490315">
        <w:t>.2 de l'ordre du jour de la CMR</w:t>
      </w:r>
      <w:r w:rsidR="00B271EE">
        <w:t>-</w:t>
      </w:r>
      <w:r w:rsidR="006E5F2A" w:rsidRPr="006308C1">
        <w:t>12 concernait l'examen de la question beaucoup plus large de l'amélioration du cadre réglementaire international, la question 9.1.6 du poi</w:t>
      </w:r>
      <w:r w:rsidR="00490315">
        <w:t>nt 9.1 de l'ordre du jour de la CMR</w:t>
      </w:r>
      <w:r w:rsidR="00B271EE">
        <w:t>-</w:t>
      </w:r>
      <w:r w:rsidR="006E5F2A" w:rsidRPr="006308C1">
        <w:t>15 a été adoptée afin d'étudier spécifiquement les éventuelles modifications à apporter à ces trois définitions pour tenir compte de la convergence et faciliter la mise en place de pratiques efficaces de gestion du spectre ainsi qu'une utilisation efficace du spectre.</w:t>
      </w:r>
    </w:p>
    <w:p w14:paraId="00F81D88" w14:textId="0B1E41B1" w:rsidR="00EA7B27" w:rsidRPr="00EA7B27" w:rsidRDefault="00EA7B27" w:rsidP="00834B1C">
      <w:pPr>
        <w:rPr>
          <w:lang w:val="fr-CH"/>
        </w:rPr>
      </w:pPr>
      <w:r w:rsidRPr="00EA7B27">
        <w:rPr>
          <w:lang w:val="fr-CH"/>
        </w:rPr>
        <w:t xml:space="preserve">Les </w:t>
      </w:r>
      <w:proofErr w:type="spellStart"/>
      <w:r w:rsidRPr="00EA7B27">
        <w:rPr>
          <w:lang w:val="fr-CH"/>
        </w:rPr>
        <w:t>Etats</w:t>
      </w:r>
      <w:proofErr w:type="spellEnd"/>
      <w:r w:rsidRPr="00EA7B27">
        <w:rPr>
          <w:lang w:val="fr-CH"/>
        </w:rPr>
        <w:t xml:space="preserve"> membres de l’EACO (BDI/KEN/</w:t>
      </w:r>
      <w:r w:rsidR="00834B1C" w:rsidRPr="00EA7B27">
        <w:rPr>
          <w:lang w:val="fr-CH"/>
        </w:rPr>
        <w:t>UGA</w:t>
      </w:r>
      <w:r w:rsidR="00834B1C">
        <w:rPr>
          <w:lang w:val="fr-CH"/>
        </w:rPr>
        <w:t>/</w:t>
      </w:r>
      <w:r w:rsidRPr="00EA7B27">
        <w:rPr>
          <w:lang w:val="fr-CH"/>
        </w:rPr>
        <w:t>RRW/TZA</w:t>
      </w:r>
      <w:r>
        <w:rPr>
          <w:lang w:val="fr-CH"/>
        </w:rPr>
        <w:t xml:space="preserve">) sont d’avis qu’aucune modification ne doit être apportée aux définitions </w:t>
      </w:r>
      <w:r w:rsidRPr="00EA7B27">
        <w:t xml:space="preserve">des termes </w:t>
      </w:r>
      <w:r w:rsidRPr="00EA7B27">
        <w:rPr>
          <w:i/>
          <w:iCs/>
        </w:rPr>
        <w:t>service fixe</w:t>
      </w:r>
      <w:r w:rsidRPr="00EA7B27">
        <w:t xml:space="preserve">, </w:t>
      </w:r>
      <w:r w:rsidRPr="00EA7B27">
        <w:rPr>
          <w:i/>
          <w:iCs/>
        </w:rPr>
        <w:t>station fixe</w:t>
      </w:r>
      <w:r w:rsidRPr="00EA7B27">
        <w:t xml:space="preserve"> et </w:t>
      </w:r>
      <w:r w:rsidRPr="00EA7B27">
        <w:rPr>
          <w:i/>
          <w:iCs/>
        </w:rPr>
        <w:t>station mobile</w:t>
      </w:r>
      <w:r w:rsidRPr="00EA7B27">
        <w:t xml:space="preserve"> figurant dans l'Article 1 du RR</w:t>
      </w:r>
      <w:r>
        <w:t>.</w:t>
      </w:r>
    </w:p>
    <w:p w14:paraId="4991A141" w14:textId="77777777" w:rsidR="006E5F2A" w:rsidRPr="00EA7B27" w:rsidRDefault="006E5F2A" w:rsidP="006308C1">
      <w:pPr>
        <w:pStyle w:val="Headingb"/>
        <w:rPr>
          <w:lang w:val="fr-CH"/>
        </w:rPr>
      </w:pPr>
      <w:r w:rsidRPr="00EA7B27">
        <w:rPr>
          <w:lang w:val="fr-CH"/>
        </w:rPr>
        <w:t>Proposition</w:t>
      </w:r>
    </w:p>
    <w:p w14:paraId="72E412F4" w14:textId="1E125FA4" w:rsidR="00EA7B27" w:rsidRPr="00EA7B27" w:rsidRDefault="00EA7B27" w:rsidP="00834B1C">
      <w:pPr>
        <w:rPr>
          <w:bCs/>
          <w:lang w:val="fr-CH"/>
        </w:rPr>
      </w:pPr>
      <w:r>
        <w:rPr>
          <w:bCs/>
          <w:lang w:val="fr-CH"/>
        </w:rPr>
        <w:t>L</w:t>
      </w:r>
      <w:r w:rsidRPr="00EA7B27">
        <w:rPr>
          <w:bCs/>
          <w:lang w:val="fr-CH"/>
        </w:rPr>
        <w:t>es pays membres de l’EACO suivants</w:t>
      </w:r>
      <w:r>
        <w:rPr>
          <w:bCs/>
          <w:lang w:val="fr-CH"/>
        </w:rPr>
        <w:t xml:space="preserve">, </w:t>
      </w:r>
      <w:r w:rsidRPr="00EA7B27">
        <w:rPr>
          <w:lang w:val="fr-CH"/>
        </w:rPr>
        <w:t>BDI/KEN/</w:t>
      </w:r>
      <w:r w:rsidR="00834B1C" w:rsidRPr="00EA7B27">
        <w:rPr>
          <w:lang w:val="fr-CH"/>
        </w:rPr>
        <w:t xml:space="preserve">UGA </w:t>
      </w:r>
      <w:r w:rsidRPr="00EA7B27">
        <w:rPr>
          <w:lang w:val="fr-CH"/>
        </w:rPr>
        <w:t>RRW/TZA</w:t>
      </w:r>
      <w:r>
        <w:rPr>
          <w:lang w:val="fr-CH"/>
        </w:rPr>
        <w:t>, proposent ce qui suit:</w:t>
      </w:r>
    </w:p>
    <w:p w14:paraId="32B805DD" w14:textId="77777777" w:rsidR="0015203F" w:rsidRPr="006308C1" w:rsidRDefault="0015203F" w:rsidP="006308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308C1">
        <w:rPr>
          <w:lang w:val="fr-CH"/>
        </w:rPr>
        <w:br w:type="page"/>
      </w:r>
    </w:p>
    <w:p w14:paraId="58C5C66D" w14:textId="1B7D00A8" w:rsidR="00FC4ACB" w:rsidRPr="006E5F2A" w:rsidRDefault="006E5F2A" w:rsidP="00834B1C">
      <w:pPr>
        <w:pStyle w:val="Proposal"/>
        <w:rPr>
          <w:lang w:val="es-ES"/>
        </w:rPr>
      </w:pPr>
      <w:r w:rsidRPr="006E5F2A">
        <w:rPr>
          <w:u w:val="single"/>
          <w:lang w:val="es-ES"/>
        </w:rPr>
        <w:lastRenderedPageBreak/>
        <w:t>NOC</w:t>
      </w:r>
      <w:r w:rsidRPr="006E5F2A">
        <w:rPr>
          <w:lang w:val="es-ES"/>
        </w:rPr>
        <w:tab/>
        <w:t>BDI/KEN/</w:t>
      </w:r>
      <w:r w:rsidR="00834B1C" w:rsidRPr="006E5F2A">
        <w:rPr>
          <w:lang w:val="es-ES"/>
        </w:rPr>
        <w:t>UGA/</w:t>
      </w:r>
      <w:r w:rsidRPr="006E5F2A">
        <w:rPr>
          <w:lang w:val="es-ES"/>
        </w:rPr>
        <w:t>RRW/TZA/85A23A1A6/1</w:t>
      </w:r>
    </w:p>
    <w:p w14:paraId="365A26F4" w14:textId="77777777" w:rsidR="004A6A8C" w:rsidRPr="00BA46E5" w:rsidRDefault="006E5F2A" w:rsidP="006308C1">
      <w:pPr>
        <w:pStyle w:val="Section1"/>
        <w:rPr>
          <w:lang w:val="fr-CH"/>
        </w:rPr>
      </w:pPr>
      <w:r>
        <w:rPr>
          <w:lang w:val="fr-CH"/>
        </w:rPr>
        <w:t>REGLEMENT DES RADIOCOMMUNICATIONS</w:t>
      </w:r>
    </w:p>
    <w:p w14:paraId="3B9532F0" w14:textId="77777777" w:rsidR="00FC4ACB" w:rsidRDefault="00FC4ACB" w:rsidP="006308C1">
      <w:pPr>
        <w:pStyle w:val="Reasons"/>
      </w:pPr>
    </w:p>
    <w:p w14:paraId="65CFE1EC" w14:textId="66921C98" w:rsidR="00FC4ACB" w:rsidRDefault="006E5F2A" w:rsidP="00834B1C">
      <w:pPr>
        <w:pStyle w:val="Proposal"/>
      </w:pPr>
      <w:r>
        <w:t>S</w:t>
      </w:r>
      <w:r w:rsidR="00EA7B27">
        <w:t>UP</w:t>
      </w:r>
      <w:r w:rsidR="00EA7B27">
        <w:tab/>
        <w:t>BDI/KEN/</w:t>
      </w:r>
      <w:r w:rsidR="00834B1C">
        <w:t>UGA/</w:t>
      </w:r>
      <w:r w:rsidR="00EA7B27">
        <w:t>RRW/TZA/85A23A1A</w:t>
      </w:r>
      <w:r w:rsidR="0031258C">
        <w:t>6</w:t>
      </w:r>
      <w:r w:rsidR="00EA7B27">
        <w:t>/</w:t>
      </w:r>
      <w:r w:rsidR="0031258C">
        <w:t>2</w:t>
      </w:r>
    </w:p>
    <w:p w14:paraId="731B1889" w14:textId="77777777" w:rsidR="00DD4258" w:rsidRPr="00605981" w:rsidRDefault="006E5F2A" w:rsidP="006308C1">
      <w:pPr>
        <w:pStyle w:val="ResNo"/>
      </w:pPr>
      <w:r>
        <w:t xml:space="preserve">RÉSOLUTION </w:t>
      </w:r>
      <w:r w:rsidRPr="00880E4B">
        <w:rPr>
          <w:rStyle w:val="href"/>
        </w:rPr>
        <w:t>957</w:t>
      </w:r>
      <w:r w:rsidRPr="00605981">
        <w:t xml:space="preserve"> (CMR-12)</w:t>
      </w:r>
    </w:p>
    <w:p w14:paraId="71893EFF" w14:textId="77777777" w:rsidR="00DD4258" w:rsidRPr="009C7CEE" w:rsidRDefault="006E5F2A" w:rsidP="006308C1">
      <w:pPr>
        <w:pStyle w:val="Restitle"/>
      </w:pPr>
      <w:proofErr w:type="spellStart"/>
      <w:r w:rsidRPr="009C7CEE">
        <w:t>Etudes</w:t>
      </w:r>
      <w:proofErr w:type="spellEnd"/>
      <w:r w:rsidRPr="009C7CEE">
        <w:t xml:space="preserve"> en vue de l'examen des définitions des termes </w:t>
      </w:r>
      <w:r w:rsidRPr="009C7CEE">
        <w:rPr>
          <w:i/>
          <w:iCs/>
        </w:rPr>
        <w:t>service fixe</w:t>
      </w:r>
      <w:r w:rsidRPr="009C7CEE">
        <w:t xml:space="preserve">, </w:t>
      </w:r>
      <w:r w:rsidRPr="009C7CEE">
        <w:br/>
      </w:r>
      <w:r w:rsidRPr="009C7CEE">
        <w:rPr>
          <w:i/>
          <w:iCs/>
        </w:rPr>
        <w:t>station fixe</w:t>
      </w:r>
      <w:r w:rsidRPr="009C7CEE">
        <w:t xml:space="preserve"> et </w:t>
      </w:r>
      <w:r w:rsidRPr="009C7CEE">
        <w:rPr>
          <w:i/>
          <w:iCs/>
        </w:rPr>
        <w:t>station mobile</w:t>
      </w:r>
    </w:p>
    <w:p w14:paraId="3942A6F6" w14:textId="77777777" w:rsidR="00DD4258" w:rsidRPr="002117B0" w:rsidRDefault="00430A4E" w:rsidP="00430A4E">
      <w:pPr>
        <w:pStyle w:val="Reasons"/>
      </w:pPr>
      <w:bookmarkStart w:id="6" w:name="_GoBack"/>
      <w:bookmarkEnd w:id="6"/>
    </w:p>
    <w:p w14:paraId="4D0BFB9D" w14:textId="77777777" w:rsidR="006E5F2A" w:rsidRDefault="006E5F2A" w:rsidP="006308C1">
      <w:pPr>
        <w:jc w:val="center"/>
      </w:pPr>
      <w:r>
        <w:t>_____________</w:t>
      </w:r>
    </w:p>
    <w:sectPr w:rsidR="006E5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2AB0" w14:textId="77777777" w:rsidR="001F17E8" w:rsidRDefault="001F17E8">
      <w:r>
        <w:separator/>
      </w:r>
    </w:p>
  </w:endnote>
  <w:endnote w:type="continuationSeparator" w:id="0">
    <w:p w14:paraId="7AB00744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F66F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41F5C">
      <w:rPr>
        <w:noProof/>
        <w:lang w:val="en-US"/>
      </w:rPr>
      <w:t>P:\FRA\ITU-R\CONF-R\CMR15\000\085ADD23ADD01ADD06F.docx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A4E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1F5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DE339" w14:textId="2912EEBB" w:rsidR="006308C1" w:rsidRDefault="00430A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41F5C">
      <w:t>P:\FRA\ITU-R\CONF-R\CMR15\000\085ADD23ADD01ADD06F.docx</w:t>
    </w:r>
    <w:r>
      <w:fldChar w:fldCharType="end"/>
    </w:r>
    <w:r w:rsidR="006308C1">
      <w:t xml:space="preserve"> (388619)</w:t>
    </w:r>
    <w:r w:rsidR="006308C1">
      <w:tab/>
    </w:r>
    <w:r w:rsidR="006308C1">
      <w:fldChar w:fldCharType="begin"/>
    </w:r>
    <w:r w:rsidR="006308C1">
      <w:instrText xml:space="preserve"> SAVEDATE \@ DD.MM.YY </w:instrText>
    </w:r>
    <w:r w:rsidR="006308C1">
      <w:fldChar w:fldCharType="separate"/>
    </w:r>
    <w:r>
      <w:t>29.10.15</w:t>
    </w:r>
    <w:r w:rsidR="006308C1">
      <w:fldChar w:fldCharType="end"/>
    </w:r>
    <w:r w:rsidR="006308C1">
      <w:tab/>
    </w:r>
    <w:r w:rsidR="006308C1">
      <w:fldChar w:fldCharType="begin"/>
    </w:r>
    <w:r w:rsidR="006308C1">
      <w:instrText xml:space="preserve"> PRINTDATE \@ DD.MM.YY </w:instrText>
    </w:r>
    <w:r w:rsidR="006308C1">
      <w:fldChar w:fldCharType="separate"/>
    </w:r>
    <w:r w:rsidR="00B41F5C">
      <w:t>23.10.15</w:t>
    </w:r>
    <w:r w:rsidR="006308C1">
      <w:fldChar w:fldCharType="end"/>
    </w:r>
  </w:p>
  <w:p w14:paraId="44E09651" w14:textId="06461986" w:rsidR="00936D25" w:rsidRPr="006308C1" w:rsidRDefault="00936D25" w:rsidP="006308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66EC1" w14:textId="41DCC95B" w:rsidR="006308C1" w:rsidRDefault="00430A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41F5C">
      <w:t>P:\FRA\ITU-R\CONF-R\CMR15\000\085ADD23ADD01ADD06F.docx</w:t>
    </w:r>
    <w:r>
      <w:fldChar w:fldCharType="end"/>
    </w:r>
    <w:r w:rsidR="00B41F5C">
      <w:t xml:space="preserve"> (388619)</w:t>
    </w:r>
    <w:r w:rsidR="006308C1">
      <w:tab/>
    </w:r>
    <w:r w:rsidR="006308C1">
      <w:fldChar w:fldCharType="begin"/>
    </w:r>
    <w:r w:rsidR="006308C1">
      <w:instrText xml:space="preserve"> SAVEDATE \@ DD.MM.YY </w:instrText>
    </w:r>
    <w:r w:rsidR="006308C1">
      <w:fldChar w:fldCharType="separate"/>
    </w:r>
    <w:r>
      <w:t>29.10.15</w:t>
    </w:r>
    <w:r w:rsidR="006308C1">
      <w:fldChar w:fldCharType="end"/>
    </w:r>
    <w:r w:rsidR="006308C1">
      <w:tab/>
    </w:r>
    <w:r w:rsidR="006308C1">
      <w:fldChar w:fldCharType="begin"/>
    </w:r>
    <w:r w:rsidR="006308C1">
      <w:instrText xml:space="preserve"> PRINTDATE \@ DD.MM.YY </w:instrText>
    </w:r>
    <w:r w:rsidR="006308C1">
      <w:fldChar w:fldCharType="separate"/>
    </w:r>
    <w:r w:rsidR="00B41F5C">
      <w:t>23.10.15</w:t>
    </w:r>
    <w:r w:rsidR="006308C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56DE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2BE23C64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DFEB" w14:textId="77777777" w:rsidR="00B41F5C" w:rsidRDefault="00B41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EEA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30A4E">
      <w:rPr>
        <w:noProof/>
      </w:rPr>
      <w:t>2</w:t>
    </w:r>
    <w:r>
      <w:fldChar w:fldCharType="end"/>
    </w:r>
  </w:p>
  <w:p w14:paraId="2084583C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85(Add.23)(Add.1)(Add.6)-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97F7" w14:textId="77777777" w:rsidR="00B41F5C" w:rsidRDefault="00B41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258C"/>
    <w:rsid w:val="00315AFE"/>
    <w:rsid w:val="003606A6"/>
    <w:rsid w:val="0036650C"/>
    <w:rsid w:val="00393ACD"/>
    <w:rsid w:val="003A583E"/>
    <w:rsid w:val="003E112B"/>
    <w:rsid w:val="003E1D1C"/>
    <w:rsid w:val="003E7B05"/>
    <w:rsid w:val="00430A4E"/>
    <w:rsid w:val="00466211"/>
    <w:rsid w:val="004834A9"/>
    <w:rsid w:val="00490315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08C1"/>
    <w:rsid w:val="00637ECF"/>
    <w:rsid w:val="00647B59"/>
    <w:rsid w:val="00690C7B"/>
    <w:rsid w:val="006A4B45"/>
    <w:rsid w:val="006D4724"/>
    <w:rsid w:val="006E5F2A"/>
    <w:rsid w:val="00701BAE"/>
    <w:rsid w:val="00721F04"/>
    <w:rsid w:val="00730E95"/>
    <w:rsid w:val="007426B9"/>
    <w:rsid w:val="00764342"/>
    <w:rsid w:val="00774362"/>
    <w:rsid w:val="00786598"/>
    <w:rsid w:val="007A04E8"/>
    <w:rsid w:val="007A3BD8"/>
    <w:rsid w:val="00834B1C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C0235"/>
    <w:rsid w:val="00AE36A0"/>
    <w:rsid w:val="00B00294"/>
    <w:rsid w:val="00B271EE"/>
    <w:rsid w:val="00B41F5C"/>
    <w:rsid w:val="00B64FD0"/>
    <w:rsid w:val="00BA5BD0"/>
    <w:rsid w:val="00BB1D82"/>
    <w:rsid w:val="00BC2538"/>
    <w:rsid w:val="00BF26E7"/>
    <w:rsid w:val="00C31A68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A7B27"/>
    <w:rsid w:val="00EC7615"/>
    <w:rsid w:val="00ED16AA"/>
    <w:rsid w:val="00EF662E"/>
    <w:rsid w:val="00F148F1"/>
    <w:rsid w:val="00FA375B"/>
    <w:rsid w:val="00FA3BBF"/>
    <w:rsid w:val="00FC41F8"/>
    <w:rsid w:val="00FC4AC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01B9531"/>
  <w15:docId w15:val="{BD73A239-6B83-44B0-9017-37938AA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styleId="CommentReference">
    <w:name w:val="annotation reference"/>
    <w:basedOn w:val="DefaultParagraphFont"/>
    <w:semiHidden/>
    <w:unhideWhenUsed/>
    <w:rsid w:val="00EA7B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B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B2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B27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EA7B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7B27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R15-WRC15-C-0085!A23-A1-A6!MSW-F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E95FC-AD07-4168-AADA-A277F1636DF2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R15-WRC15-C-0085!A23-A1-A6!MSW-F</vt:lpstr>
    </vt:vector>
  </TitlesOfParts>
  <Manager>Secrétariat général - Pool</Manager>
  <Company>Union internationale des télécommunications (UIT)</Company>
  <LinksUpToDate>false</LinksUpToDate>
  <CharactersWithSpaces>2344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R15-WRC15-C-0085!A23-A1-A6!MSW-F</dc:title>
  <dc:subject>Conférence mondiale des radiocommunications - 2015</dc:subject>
  <dc:creator>Documents Proposals Manager (DPM)</dc:creator>
  <cp:keywords>DPM_v5.2015.10.22_prod</cp:keywords>
  <dc:description/>
  <cp:lastModifiedBy>Murphy, Margaret</cp:lastModifiedBy>
  <cp:revision>10</cp:revision>
  <cp:lastPrinted>2015-10-23T12:14:00Z</cp:lastPrinted>
  <dcterms:created xsi:type="dcterms:W3CDTF">2015-10-23T12:03:00Z</dcterms:created>
  <dcterms:modified xsi:type="dcterms:W3CDTF">2015-10-29T15:11:00Z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