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93138E" w:rsidTr="0050008E">
        <w:trPr>
          <w:cantSplit/>
        </w:trPr>
        <w:tc>
          <w:tcPr>
            <w:tcW w:w="6911" w:type="dxa"/>
          </w:tcPr>
          <w:p w:rsidR="0090121B" w:rsidRPr="0093138E" w:rsidRDefault="005D46FB" w:rsidP="0002785D">
            <w:pPr>
              <w:spacing w:before="400" w:after="48" w:line="240" w:lineRule="atLeast"/>
              <w:rPr>
                <w:rFonts w:ascii="Verdana" w:hAnsi="Verdana"/>
                <w:position w:val="6"/>
                <w:lang w:val="es-ES"/>
              </w:rPr>
            </w:pPr>
            <w:r w:rsidRPr="0093138E">
              <w:rPr>
                <w:rFonts w:ascii="Verdana" w:hAnsi="Verdana" w:cs="Times"/>
                <w:b/>
                <w:position w:val="6"/>
                <w:sz w:val="20"/>
                <w:lang w:val="es-ES"/>
              </w:rPr>
              <w:t>Conferencia Mundial de Radiocomunicaciones (CMR-15)</w:t>
            </w:r>
            <w:r w:rsidRPr="0093138E">
              <w:rPr>
                <w:rFonts w:ascii="Verdana" w:hAnsi="Verdana" w:cs="Times"/>
                <w:b/>
                <w:position w:val="6"/>
                <w:sz w:val="20"/>
                <w:lang w:val="es-ES"/>
              </w:rPr>
              <w:br/>
            </w:r>
            <w:r w:rsidRPr="0093138E">
              <w:rPr>
                <w:rFonts w:ascii="Verdana" w:hAnsi="Verdana"/>
                <w:b/>
                <w:bCs/>
                <w:position w:val="6"/>
                <w:sz w:val="18"/>
                <w:szCs w:val="18"/>
                <w:lang w:val="es-ES"/>
              </w:rPr>
              <w:t>Ginebra, 2-27 de noviembre de 2015</w:t>
            </w:r>
          </w:p>
        </w:tc>
        <w:tc>
          <w:tcPr>
            <w:tcW w:w="3120" w:type="dxa"/>
          </w:tcPr>
          <w:p w:rsidR="0090121B" w:rsidRPr="0093138E" w:rsidRDefault="00CE7431" w:rsidP="00CE7431">
            <w:pPr>
              <w:spacing w:before="0" w:line="240" w:lineRule="atLeast"/>
              <w:jc w:val="right"/>
              <w:rPr>
                <w:lang w:val="es-ES"/>
              </w:rPr>
            </w:pPr>
            <w:bookmarkStart w:id="0" w:name="ditulogo"/>
            <w:bookmarkEnd w:id="0"/>
            <w:r w:rsidRPr="0093138E">
              <w:rPr>
                <w:noProof/>
                <w:lang w:val="es-E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93138E" w:rsidTr="0050008E">
        <w:trPr>
          <w:cantSplit/>
        </w:trPr>
        <w:tc>
          <w:tcPr>
            <w:tcW w:w="6911" w:type="dxa"/>
            <w:tcBorders>
              <w:bottom w:val="single" w:sz="12" w:space="0" w:color="auto"/>
            </w:tcBorders>
          </w:tcPr>
          <w:p w:rsidR="0090121B" w:rsidRPr="0093138E" w:rsidRDefault="00CE7431" w:rsidP="0090121B">
            <w:pPr>
              <w:spacing w:before="0" w:after="48" w:line="240" w:lineRule="atLeast"/>
              <w:rPr>
                <w:b/>
                <w:smallCaps/>
                <w:szCs w:val="24"/>
                <w:lang w:val="es-ES"/>
              </w:rPr>
            </w:pPr>
            <w:bookmarkStart w:id="1" w:name="dhead"/>
            <w:r w:rsidRPr="0093138E">
              <w:rPr>
                <w:rFonts w:ascii="Verdana" w:hAnsi="Verdana"/>
                <w:b/>
                <w:smallCaps/>
                <w:sz w:val="20"/>
                <w:lang w:val="es-ES"/>
              </w:rPr>
              <w:t>UNIÓN INTERNACIONAL DE TELECOMUNICACIONES</w:t>
            </w:r>
          </w:p>
        </w:tc>
        <w:tc>
          <w:tcPr>
            <w:tcW w:w="3120" w:type="dxa"/>
            <w:tcBorders>
              <w:bottom w:val="single" w:sz="12" w:space="0" w:color="auto"/>
            </w:tcBorders>
          </w:tcPr>
          <w:p w:rsidR="0090121B" w:rsidRPr="0093138E" w:rsidRDefault="0090121B" w:rsidP="0090121B">
            <w:pPr>
              <w:spacing w:before="0" w:line="240" w:lineRule="atLeast"/>
              <w:rPr>
                <w:rFonts w:ascii="Verdana" w:hAnsi="Verdana"/>
                <w:szCs w:val="24"/>
                <w:lang w:val="es-ES"/>
              </w:rPr>
            </w:pPr>
          </w:p>
        </w:tc>
      </w:tr>
      <w:tr w:rsidR="0090121B" w:rsidRPr="0093138E" w:rsidTr="0090121B">
        <w:trPr>
          <w:cantSplit/>
        </w:trPr>
        <w:tc>
          <w:tcPr>
            <w:tcW w:w="6911" w:type="dxa"/>
            <w:tcBorders>
              <w:top w:val="single" w:sz="12" w:space="0" w:color="auto"/>
            </w:tcBorders>
          </w:tcPr>
          <w:p w:rsidR="0090121B" w:rsidRPr="0093138E" w:rsidRDefault="0090121B" w:rsidP="0090121B">
            <w:pPr>
              <w:spacing w:before="0" w:after="48" w:line="240" w:lineRule="atLeast"/>
              <w:rPr>
                <w:rFonts w:ascii="Verdana" w:hAnsi="Verdana"/>
                <w:b/>
                <w:smallCaps/>
                <w:sz w:val="20"/>
                <w:lang w:val="es-ES"/>
              </w:rPr>
            </w:pPr>
          </w:p>
        </w:tc>
        <w:tc>
          <w:tcPr>
            <w:tcW w:w="3120" w:type="dxa"/>
            <w:tcBorders>
              <w:top w:val="single" w:sz="12" w:space="0" w:color="auto"/>
            </w:tcBorders>
          </w:tcPr>
          <w:p w:rsidR="0090121B" w:rsidRPr="0093138E" w:rsidRDefault="0090121B" w:rsidP="0090121B">
            <w:pPr>
              <w:spacing w:before="0" w:line="240" w:lineRule="atLeast"/>
              <w:rPr>
                <w:rFonts w:ascii="Verdana" w:hAnsi="Verdana"/>
                <w:sz w:val="20"/>
                <w:lang w:val="es-ES"/>
              </w:rPr>
            </w:pPr>
          </w:p>
        </w:tc>
      </w:tr>
      <w:tr w:rsidR="0090121B" w:rsidRPr="0093138E" w:rsidTr="0090121B">
        <w:trPr>
          <w:cantSplit/>
        </w:trPr>
        <w:tc>
          <w:tcPr>
            <w:tcW w:w="6911" w:type="dxa"/>
            <w:shd w:val="clear" w:color="auto" w:fill="auto"/>
          </w:tcPr>
          <w:p w:rsidR="0090121B" w:rsidRPr="0093138E" w:rsidRDefault="00AE658F" w:rsidP="0045384C">
            <w:pPr>
              <w:spacing w:before="0"/>
              <w:rPr>
                <w:rFonts w:ascii="Verdana" w:hAnsi="Verdana"/>
                <w:b/>
                <w:sz w:val="20"/>
                <w:lang w:val="es-ES"/>
              </w:rPr>
            </w:pPr>
            <w:r w:rsidRPr="0093138E">
              <w:rPr>
                <w:rFonts w:ascii="Verdana" w:hAnsi="Verdana"/>
                <w:b/>
                <w:sz w:val="20"/>
                <w:lang w:val="es-ES"/>
              </w:rPr>
              <w:t>SESIÓN PLENARIA</w:t>
            </w:r>
          </w:p>
        </w:tc>
        <w:tc>
          <w:tcPr>
            <w:tcW w:w="3120" w:type="dxa"/>
            <w:shd w:val="clear" w:color="auto" w:fill="auto"/>
          </w:tcPr>
          <w:p w:rsidR="0090121B" w:rsidRPr="0093138E" w:rsidRDefault="00AE658F" w:rsidP="0045384C">
            <w:pPr>
              <w:spacing w:before="0"/>
              <w:rPr>
                <w:rFonts w:ascii="Verdana" w:hAnsi="Verdana"/>
                <w:sz w:val="20"/>
                <w:lang w:val="es-ES"/>
              </w:rPr>
            </w:pPr>
            <w:r w:rsidRPr="0093138E">
              <w:rPr>
                <w:rFonts w:ascii="Verdana" w:eastAsia="SimSun" w:hAnsi="Verdana" w:cs="Traditional Arabic"/>
                <w:b/>
                <w:sz w:val="20"/>
                <w:lang w:val="es-ES"/>
              </w:rPr>
              <w:t>Addéndum 5 al</w:t>
            </w:r>
            <w:r w:rsidRPr="0093138E">
              <w:rPr>
                <w:rFonts w:ascii="Verdana" w:eastAsia="SimSun" w:hAnsi="Verdana" w:cs="Traditional Arabic"/>
                <w:b/>
                <w:sz w:val="20"/>
                <w:lang w:val="es-ES"/>
              </w:rPr>
              <w:br/>
              <w:t>Documento 85(Add.21)</w:t>
            </w:r>
            <w:r w:rsidR="0090121B" w:rsidRPr="0093138E">
              <w:rPr>
                <w:rFonts w:ascii="Verdana" w:hAnsi="Verdana"/>
                <w:b/>
                <w:sz w:val="20"/>
                <w:lang w:val="es-ES"/>
              </w:rPr>
              <w:t>-</w:t>
            </w:r>
            <w:r w:rsidRPr="0093138E">
              <w:rPr>
                <w:rFonts w:ascii="Verdana" w:hAnsi="Verdana"/>
                <w:b/>
                <w:sz w:val="20"/>
                <w:lang w:val="es-ES"/>
              </w:rPr>
              <w:t>S</w:t>
            </w:r>
          </w:p>
        </w:tc>
      </w:tr>
      <w:bookmarkEnd w:id="1"/>
      <w:tr w:rsidR="000A5B9A" w:rsidRPr="0093138E" w:rsidTr="0090121B">
        <w:trPr>
          <w:cantSplit/>
        </w:trPr>
        <w:tc>
          <w:tcPr>
            <w:tcW w:w="6911" w:type="dxa"/>
            <w:shd w:val="clear" w:color="auto" w:fill="auto"/>
          </w:tcPr>
          <w:p w:rsidR="000A5B9A" w:rsidRPr="0093138E" w:rsidRDefault="000A5B9A" w:rsidP="0045384C">
            <w:pPr>
              <w:spacing w:before="0" w:after="48"/>
              <w:rPr>
                <w:rFonts w:ascii="Verdana" w:hAnsi="Verdana"/>
                <w:b/>
                <w:smallCaps/>
                <w:sz w:val="20"/>
                <w:lang w:val="es-ES"/>
              </w:rPr>
            </w:pPr>
          </w:p>
        </w:tc>
        <w:tc>
          <w:tcPr>
            <w:tcW w:w="3120" w:type="dxa"/>
            <w:shd w:val="clear" w:color="auto" w:fill="auto"/>
          </w:tcPr>
          <w:p w:rsidR="000A5B9A" w:rsidRPr="0093138E" w:rsidRDefault="000A5B9A" w:rsidP="0045384C">
            <w:pPr>
              <w:spacing w:before="0"/>
              <w:rPr>
                <w:rFonts w:ascii="Verdana" w:hAnsi="Verdana"/>
                <w:b/>
                <w:sz w:val="20"/>
                <w:lang w:val="es-ES"/>
              </w:rPr>
            </w:pPr>
            <w:r w:rsidRPr="0093138E">
              <w:rPr>
                <w:rFonts w:ascii="Verdana" w:hAnsi="Verdana"/>
                <w:b/>
                <w:sz w:val="20"/>
                <w:lang w:val="es-ES"/>
              </w:rPr>
              <w:t>16 de octubre de 2015</w:t>
            </w:r>
          </w:p>
        </w:tc>
      </w:tr>
      <w:tr w:rsidR="000A5B9A" w:rsidRPr="0093138E" w:rsidTr="0090121B">
        <w:trPr>
          <w:cantSplit/>
        </w:trPr>
        <w:tc>
          <w:tcPr>
            <w:tcW w:w="6911" w:type="dxa"/>
          </w:tcPr>
          <w:p w:rsidR="000A5B9A" w:rsidRPr="0093138E" w:rsidRDefault="000A5B9A" w:rsidP="0045384C">
            <w:pPr>
              <w:spacing w:before="0" w:after="48"/>
              <w:rPr>
                <w:rFonts w:ascii="Verdana" w:hAnsi="Verdana"/>
                <w:b/>
                <w:smallCaps/>
                <w:sz w:val="20"/>
                <w:lang w:val="es-ES"/>
              </w:rPr>
            </w:pPr>
          </w:p>
        </w:tc>
        <w:tc>
          <w:tcPr>
            <w:tcW w:w="3120" w:type="dxa"/>
          </w:tcPr>
          <w:p w:rsidR="000A5B9A" w:rsidRPr="0093138E" w:rsidRDefault="000A5B9A" w:rsidP="0045384C">
            <w:pPr>
              <w:spacing w:before="0"/>
              <w:rPr>
                <w:rFonts w:ascii="Verdana" w:hAnsi="Verdana"/>
                <w:b/>
                <w:sz w:val="20"/>
                <w:lang w:val="es-ES"/>
              </w:rPr>
            </w:pPr>
            <w:r w:rsidRPr="0093138E">
              <w:rPr>
                <w:rFonts w:ascii="Verdana" w:hAnsi="Verdana"/>
                <w:b/>
                <w:sz w:val="20"/>
                <w:lang w:val="es-ES"/>
              </w:rPr>
              <w:t>Original: inglés</w:t>
            </w:r>
          </w:p>
        </w:tc>
      </w:tr>
      <w:tr w:rsidR="000A5B9A" w:rsidRPr="0093138E" w:rsidTr="006744FC">
        <w:trPr>
          <w:cantSplit/>
        </w:trPr>
        <w:tc>
          <w:tcPr>
            <w:tcW w:w="10031" w:type="dxa"/>
            <w:gridSpan w:val="2"/>
          </w:tcPr>
          <w:p w:rsidR="000A5B9A" w:rsidRPr="0093138E" w:rsidRDefault="000A5B9A" w:rsidP="0045384C">
            <w:pPr>
              <w:spacing w:before="0"/>
              <w:rPr>
                <w:rFonts w:ascii="Verdana" w:hAnsi="Verdana"/>
                <w:b/>
                <w:sz w:val="20"/>
                <w:lang w:val="es-ES"/>
              </w:rPr>
            </w:pPr>
          </w:p>
        </w:tc>
      </w:tr>
      <w:tr w:rsidR="000A5B9A" w:rsidRPr="0093138E" w:rsidTr="0050008E">
        <w:trPr>
          <w:cantSplit/>
        </w:trPr>
        <w:tc>
          <w:tcPr>
            <w:tcW w:w="10031" w:type="dxa"/>
            <w:gridSpan w:val="2"/>
          </w:tcPr>
          <w:p w:rsidR="000A5B9A" w:rsidRPr="0093138E" w:rsidRDefault="000A5B9A" w:rsidP="000A5B9A">
            <w:pPr>
              <w:pStyle w:val="Source"/>
              <w:rPr>
                <w:lang w:val="es-ES"/>
              </w:rPr>
            </w:pPr>
            <w:bookmarkStart w:id="2" w:name="dsource" w:colFirst="0" w:colLast="0"/>
            <w:r w:rsidRPr="0093138E">
              <w:rPr>
                <w:lang w:val="es-ES"/>
              </w:rPr>
              <w:t>Burundi (República de)/Kenya (República de)/Uganda (República de)/Rwanda (República de)/Tanzanía (República Unida de)</w:t>
            </w:r>
          </w:p>
        </w:tc>
      </w:tr>
      <w:tr w:rsidR="000A5B9A" w:rsidRPr="0093138E" w:rsidTr="0050008E">
        <w:trPr>
          <w:cantSplit/>
        </w:trPr>
        <w:tc>
          <w:tcPr>
            <w:tcW w:w="10031" w:type="dxa"/>
            <w:gridSpan w:val="2"/>
          </w:tcPr>
          <w:p w:rsidR="000A5B9A" w:rsidRPr="0093138E" w:rsidRDefault="007E0880" w:rsidP="000A5B9A">
            <w:pPr>
              <w:pStyle w:val="Title1"/>
              <w:rPr>
                <w:lang w:val="es-ES"/>
              </w:rPr>
            </w:pPr>
            <w:bookmarkStart w:id="3" w:name="dtitle1" w:colFirst="0" w:colLast="0"/>
            <w:bookmarkEnd w:id="2"/>
            <w:r w:rsidRPr="0093138E">
              <w:rPr>
                <w:lang w:val="es-ES"/>
              </w:rPr>
              <w:t>PROPUESTAS PARA LOS TRABAJOS DE LA CONFERENCIA</w:t>
            </w:r>
          </w:p>
        </w:tc>
      </w:tr>
      <w:tr w:rsidR="000A5B9A" w:rsidRPr="0093138E" w:rsidTr="0050008E">
        <w:trPr>
          <w:cantSplit/>
        </w:trPr>
        <w:tc>
          <w:tcPr>
            <w:tcW w:w="10031" w:type="dxa"/>
            <w:gridSpan w:val="2"/>
          </w:tcPr>
          <w:p w:rsidR="000A5B9A" w:rsidRPr="0093138E" w:rsidRDefault="000A5B9A" w:rsidP="000A5B9A">
            <w:pPr>
              <w:pStyle w:val="Title2"/>
              <w:rPr>
                <w:lang w:val="es-ES"/>
              </w:rPr>
            </w:pPr>
            <w:bookmarkStart w:id="4" w:name="dtitle2" w:colFirst="0" w:colLast="0"/>
            <w:bookmarkEnd w:id="3"/>
          </w:p>
        </w:tc>
      </w:tr>
      <w:tr w:rsidR="000A5B9A" w:rsidRPr="0093138E" w:rsidTr="0050008E">
        <w:trPr>
          <w:cantSplit/>
        </w:trPr>
        <w:tc>
          <w:tcPr>
            <w:tcW w:w="10031" w:type="dxa"/>
            <w:gridSpan w:val="2"/>
          </w:tcPr>
          <w:p w:rsidR="000A5B9A" w:rsidRPr="0093138E" w:rsidRDefault="000A5B9A" w:rsidP="000A5B9A">
            <w:pPr>
              <w:pStyle w:val="Agendaitem"/>
              <w:rPr>
                <w:lang w:val="es-ES"/>
              </w:rPr>
            </w:pPr>
            <w:bookmarkStart w:id="5" w:name="dtitle3" w:colFirst="0" w:colLast="0"/>
            <w:bookmarkEnd w:id="4"/>
            <w:r w:rsidRPr="0093138E">
              <w:rPr>
                <w:lang w:val="es-ES"/>
              </w:rPr>
              <w:t>Punto 7(E) del orden del día</w:t>
            </w:r>
          </w:p>
        </w:tc>
      </w:tr>
    </w:tbl>
    <w:bookmarkEnd w:id="5"/>
    <w:p w:rsidR="001C0E40" w:rsidRPr="0093138E" w:rsidRDefault="00AF4ADA" w:rsidP="00512F4E">
      <w:pPr>
        <w:rPr>
          <w:lang w:val="es-ES"/>
        </w:rPr>
      </w:pPr>
      <w:r w:rsidRPr="0093138E">
        <w:rPr>
          <w:lang w:val="es-ES"/>
        </w:rPr>
        <w:t>7</w:t>
      </w:r>
      <w:r w:rsidRPr="0093138E">
        <w:rPr>
          <w:lang w:val="es-ES"/>
        </w:rPr>
        <w:tab/>
      </w:r>
      <w:r w:rsidRPr="0093138E">
        <w:rPr>
          <w:lang w:val="es-ES"/>
        </w:rPr>
        <w:t>considerar posibles modificaciones y otras opciones como consecuencia de la Resolución</w:t>
      </w:r>
      <w:r w:rsidRPr="0093138E">
        <w:rPr>
          <w:lang w:val="es-ES"/>
        </w:rPr>
        <w:t> </w:t>
      </w:r>
      <w:r w:rsidRPr="0093138E">
        <w:rPr>
          <w:lang w:val="es-ES"/>
        </w:rPr>
        <w:t>86 (Rev. Marrakech, 2002) de la Conferencia de Plenipotenciarios: «Procedimientos de publicación anticipada, de coordinación, de notificación y de inscripción de asignac</w:t>
      </w:r>
      <w:r w:rsidRPr="0093138E">
        <w:rPr>
          <w:lang w:val="es-ES"/>
        </w:rPr>
        <w:t xml:space="preserve">iones de frecuencias de redes de satélite», de conformidad con la Resolución </w:t>
      </w:r>
      <w:r w:rsidRPr="0093138E">
        <w:rPr>
          <w:b/>
          <w:bCs/>
          <w:lang w:val="es-ES"/>
        </w:rPr>
        <w:t>86 (Rev.CMR-07)</w:t>
      </w:r>
      <w:r w:rsidRPr="0093138E">
        <w:rPr>
          <w:lang w:val="es-ES"/>
        </w:rPr>
        <w:t>, para facilitar la utilización racional, eficaz y económica de las frecuencias radioeléctricas y toda órbita asociada, incluida la órbita de los satélites geoestac</w:t>
      </w:r>
      <w:r w:rsidRPr="0093138E">
        <w:rPr>
          <w:lang w:val="es-ES"/>
        </w:rPr>
        <w:t>ionarios;</w:t>
      </w:r>
    </w:p>
    <w:p w:rsidR="001C0E40" w:rsidRPr="0093138E" w:rsidRDefault="00AF4ADA">
      <w:pPr>
        <w:rPr>
          <w:lang w:val="es-ES"/>
        </w:rPr>
      </w:pPr>
      <w:r w:rsidRPr="0093138E">
        <w:rPr>
          <w:lang w:val="es-ES"/>
        </w:rPr>
        <w:t xml:space="preserve">7(E) </w:t>
      </w:r>
      <w:r w:rsidRPr="0093138E">
        <w:rPr>
          <w:lang w:val="es-ES"/>
        </w:rPr>
        <w:tab/>
      </w:r>
      <w:r w:rsidRPr="0093138E">
        <w:rPr>
          <w:lang w:val="es-ES"/>
        </w:rPr>
        <w:t>Tema</w:t>
      </w:r>
      <w:r w:rsidRPr="0093138E">
        <w:rPr>
          <w:lang w:val="es-ES"/>
        </w:rPr>
        <w:t xml:space="preserve"> E – </w:t>
      </w:r>
      <w:r w:rsidRPr="0093138E">
        <w:rPr>
          <w:lang w:val="es-ES"/>
        </w:rPr>
        <w:t>A</w:t>
      </w:r>
      <w:r w:rsidRPr="0093138E">
        <w:rPr>
          <w:lang w:val="es-ES"/>
        </w:rPr>
        <w:t>vería de</w:t>
      </w:r>
      <w:r w:rsidRPr="0093138E">
        <w:rPr>
          <w:lang w:val="es-ES"/>
        </w:rPr>
        <w:t xml:space="preserve"> un</w:t>
      </w:r>
      <w:r w:rsidRPr="0093138E">
        <w:rPr>
          <w:lang w:val="es-ES"/>
        </w:rPr>
        <w:t xml:space="preserve"> satélite durante </w:t>
      </w:r>
      <w:r w:rsidRPr="0093138E">
        <w:rPr>
          <w:lang w:val="es-ES"/>
        </w:rPr>
        <w:t>el periodo de</w:t>
      </w:r>
      <w:r w:rsidRPr="0093138E">
        <w:rPr>
          <w:lang w:val="es-ES"/>
        </w:rPr>
        <w:t xml:space="preserve"> 90 días posterior a su puesta en servicio</w:t>
      </w:r>
    </w:p>
    <w:p w:rsidR="007E0880" w:rsidRPr="0093138E" w:rsidRDefault="007E0880" w:rsidP="007E0880">
      <w:pPr>
        <w:pStyle w:val="Headingb"/>
        <w:rPr>
          <w:lang w:val="es-ES"/>
        </w:rPr>
      </w:pPr>
      <w:r w:rsidRPr="0093138E">
        <w:rPr>
          <w:lang w:val="es-ES"/>
        </w:rPr>
        <w:t>Introducción</w:t>
      </w:r>
    </w:p>
    <w:p w:rsidR="007E0880" w:rsidRPr="0093138E" w:rsidRDefault="007E0880" w:rsidP="00C745BB">
      <w:pPr>
        <w:rPr>
          <w:lang w:val="es-ES" w:eastAsia="zh-CN"/>
        </w:rPr>
      </w:pPr>
      <w:r w:rsidRPr="0093138E">
        <w:rPr>
          <w:lang w:val="es-ES" w:eastAsia="zh-CN"/>
        </w:rPr>
        <w:t xml:space="preserve">La CMR-12 introdujo en el RR las disposiciones adicionales de los números 11.44.2 y 11.44B a fin de definir mejor la puesta en servicio de una asignación de frecuencias a una estación espacial en la órbita de los satélites geoestacionarios. Con arreglo al número 11.44B del RR. </w:t>
      </w:r>
      <w:r w:rsidR="00C745BB" w:rsidRPr="0093138E">
        <w:rPr>
          <w:lang w:val="es-ES" w:eastAsia="zh-CN"/>
        </w:rPr>
        <w:t>«</w:t>
      </w:r>
      <w:r w:rsidRPr="0093138E">
        <w:rPr>
          <w:lang w:val="es-ES" w:eastAsia="zh-CN"/>
        </w:rPr>
        <w:t>Se considerará que una asignación de frecuencias a una estación espacial en la órbita de los satélites geoestacionarios se ha puesto en servicio cuando una estación espacial en la órbita de los satélites geoestacionarios con la capacidad de transmitir o recibir en esa asignación de frecuencias se ha instalado en la posición orbital notificada y se ha mantenido en ella durante un periodo continuo de noventa días…</w:t>
      </w:r>
      <w:r w:rsidR="00C745BB" w:rsidRPr="0093138E">
        <w:rPr>
          <w:lang w:val="es-ES" w:eastAsia="zh-CN"/>
        </w:rPr>
        <w:t>»</w:t>
      </w:r>
      <w:r w:rsidRPr="0093138E">
        <w:rPr>
          <w:lang w:val="es-ES" w:eastAsia="zh-CN"/>
        </w:rPr>
        <w:t>.</w:t>
      </w:r>
    </w:p>
    <w:p w:rsidR="007E0880" w:rsidRPr="0093138E" w:rsidRDefault="007E0880" w:rsidP="007E0880">
      <w:pPr>
        <w:rPr>
          <w:lang w:val="es-ES" w:eastAsia="zh-CN"/>
        </w:rPr>
      </w:pPr>
      <w:r w:rsidRPr="0093138E">
        <w:rPr>
          <w:lang w:val="es-ES" w:eastAsia="zh-CN"/>
        </w:rPr>
        <w:t>Sin embargo, las disposiciones en vigor relativas a la puesta en servicio (BIU) no abordan un posible escenario de avería de un satélite durante el periodo de puesta en servicio. Por este motivo, se estudió la manera en que podía abordarse este problema.</w:t>
      </w:r>
    </w:p>
    <w:p w:rsidR="007E0880" w:rsidRPr="0093138E" w:rsidRDefault="007E0880" w:rsidP="007E0880">
      <w:pPr>
        <w:rPr>
          <w:lang w:val="es-ES" w:eastAsia="zh-CN"/>
        </w:rPr>
      </w:pPr>
      <w:r w:rsidRPr="0093138E">
        <w:rPr>
          <w:lang w:val="es-ES" w:eastAsia="zh-CN"/>
        </w:rPr>
        <w:t>Los países miembros de la EACO (</w:t>
      </w:r>
      <w:r w:rsidRPr="0093138E">
        <w:rPr>
          <w:lang w:val="es-ES"/>
        </w:rPr>
        <w:t>BDI/KEN/RRW/TZA/UGA</w:t>
      </w:r>
      <w:r w:rsidRPr="0093138E">
        <w:rPr>
          <w:lang w:val="es-ES" w:eastAsia="zh-CN"/>
        </w:rPr>
        <w:t>) apoyan el Método E6 propuesto en el Informe de la RPC.</w:t>
      </w:r>
    </w:p>
    <w:p w:rsidR="007E0880" w:rsidRPr="0093138E" w:rsidRDefault="007E0880" w:rsidP="007E0880">
      <w:pPr>
        <w:pStyle w:val="Headingb"/>
        <w:tabs>
          <w:tab w:val="clear" w:pos="1871"/>
          <w:tab w:val="clear" w:pos="2268"/>
          <w:tab w:val="left" w:pos="3282"/>
        </w:tabs>
        <w:rPr>
          <w:lang w:val="es-ES" w:eastAsia="zh-CN"/>
        </w:rPr>
      </w:pPr>
      <w:r w:rsidRPr="0093138E">
        <w:rPr>
          <w:lang w:val="es-ES" w:eastAsia="zh-CN"/>
        </w:rPr>
        <w:t>Propuesta</w:t>
      </w:r>
      <w:r w:rsidRPr="0093138E">
        <w:rPr>
          <w:lang w:val="es-ES" w:eastAsia="zh-CN"/>
        </w:rPr>
        <w:tab/>
      </w:r>
      <w:r w:rsidRPr="0093138E">
        <w:rPr>
          <w:lang w:val="es-ES" w:eastAsia="zh-CN"/>
        </w:rPr>
        <w:tab/>
      </w:r>
    </w:p>
    <w:p w:rsidR="008750A8" w:rsidRPr="0093138E" w:rsidRDefault="007E0880" w:rsidP="007E0880">
      <w:pPr>
        <w:rPr>
          <w:lang w:val="es-ES"/>
        </w:rPr>
      </w:pPr>
      <w:r w:rsidRPr="0093138E">
        <w:rPr>
          <w:lang w:val="es-ES"/>
        </w:rPr>
        <w:t>BDI/KEN/RRW/TZA/UGA</w:t>
      </w:r>
      <w:r w:rsidRPr="0093138E">
        <w:rPr>
          <w:lang w:val="es-ES" w:eastAsia="zh-CN"/>
        </w:rPr>
        <w:t xml:space="preserve"> (los países miembros de la EACO) proponen abordar el problema de la siguiente manera:</w:t>
      </w:r>
      <w:r w:rsidR="008750A8" w:rsidRPr="0093138E">
        <w:rPr>
          <w:lang w:val="es-ES"/>
        </w:rPr>
        <w:br w:type="page"/>
      </w:r>
    </w:p>
    <w:p w:rsidR="00F008F3" w:rsidRPr="0093138E" w:rsidRDefault="00AF4ADA" w:rsidP="001A409B">
      <w:pPr>
        <w:pStyle w:val="ArtNo"/>
        <w:rPr>
          <w:lang w:val="es-ES"/>
        </w:rPr>
      </w:pPr>
      <w:r w:rsidRPr="0093138E">
        <w:rPr>
          <w:lang w:val="es-ES"/>
        </w:rPr>
        <w:lastRenderedPageBreak/>
        <w:t xml:space="preserve">ARTÍCULO </w:t>
      </w:r>
      <w:r w:rsidRPr="0093138E">
        <w:rPr>
          <w:rStyle w:val="href"/>
          <w:lang w:val="es-ES"/>
        </w:rPr>
        <w:t>11</w:t>
      </w:r>
    </w:p>
    <w:p w:rsidR="00F008F3" w:rsidRPr="0093138E" w:rsidRDefault="00AF4ADA" w:rsidP="00FD75A4">
      <w:pPr>
        <w:pStyle w:val="Arttitle"/>
        <w:spacing w:before="120"/>
        <w:rPr>
          <w:bCs/>
          <w:lang w:val="es-ES"/>
        </w:rPr>
      </w:pPr>
      <w:r w:rsidRPr="0093138E">
        <w:rPr>
          <w:lang w:val="es-ES"/>
        </w:rPr>
        <w:t>Notificación e inscripción de asignaciones</w:t>
      </w:r>
      <w:r w:rsidRPr="0093138E">
        <w:rPr>
          <w:lang w:val="es-ES"/>
        </w:rPr>
        <w:br/>
        <w:t>de frecuencia</w:t>
      </w:r>
      <w:r w:rsidRPr="0093138E">
        <w:rPr>
          <w:rStyle w:val="FootnoteReference"/>
          <w:bCs/>
          <w:szCs w:val="18"/>
          <w:lang w:val="es-ES"/>
        </w:rPr>
        <w:t>1</w:t>
      </w:r>
      <w:r w:rsidRPr="0093138E">
        <w:rPr>
          <w:bCs/>
          <w:position w:val="6"/>
          <w:sz w:val="18"/>
          <w:szCs w:val="18"/>
          <w:lang w:val="es-ES"/>
        </w:rPr>
        <w:t xml:space="preserve">, </w:t>
      </w:r>
      <w:r w:rsidRPr="0093138E">
        <w:rPr>
          <w:rStyle w:val="FootnoteReference"/>
          <w:bCs/>
          <w:szCs w:val="18"/>
          <w:lang w:val="es-ES"/>
        </w:rPr>
        <w:t>2</w:t>
      </w:r>
      <w:r w:rsidRPr="0093138E">
        <w:rPr>
          <w:bCs/>
          <w:position w:val="6"/>
          <w:sz w:val="18"/>
          <w:szCs w:val="18"/>
          <w:lang w:val="es-ES"/>
        </w:rPr>
        <w:t xml:space="preserve">, </w:t>
      </w:r>
      <w:r w:rsidRPr="0093138E">
        <w:rPr>
          <w:rStyle w:val="FootnoteReference"/>
          <w:bCs/>
          <w:szCs w:val="18"/>
          <w:lang w:val="es-ES"/>
        </w:rPr>
        <w:t>3</w:t>
      </w:r>
      <w:r w:rsidRPr="0093138E">
        <w:rPr>
          <w:bCs/>
          <w:position w:val="6"/>
          <w:sz w:val="18"/>
          <w:szCs w:val="18"/>
          <w:lang w:val="es-ES"/>
        </w:rPr>
        <w:t xml:space="preserve">, </w:t>
      </w:r>
      <w:r w:rsidRPr="0093138E">
        <w:rPr>
          <w:rStyle w:val="FootnoteReference"/>
          <w:bCs/>
          <w:szCs w:val="18"/>
          <w:lang w:val="es-ES"/>
        </w:rPr>
        <w:t>4</w:t>
      </w:r>
      <w:r w:rsidRPr="0093138E">
        <w:rPr>
          <w:bCs/>
          <w:position w:val="6"/>
          <w:sz w:val="18"/>
          <w:szCs w:val="18"/>
          <w:lang w:val="es-ES"/>
        </w:rPr>
        <w:t xml:space="preserve">, </w:t>
      </w:r>
      <w:r w:rsidRPr="0093138E">
        <w:rPr>
          <w:rStyle w:val="FootnoteReference"/>
          <w:bCs/>
          <w:szCs w:val="18"/>
          <w:lang w:val="es-ES"/>
        </w:rPr>
        <w:t>5</w:t>
      </w:r>
      <w:r w:rsidRPr="0093138E">
        <w:rPr>
          <w:bCs/>
          <w:position w:val="6"/>
          <w:sz w:val="18"/>
          <w:szCs w:val="18"/>
          <w:lang w:val="es-ES"/>
        </w:rPr>
        <w:t xml:space="preserve">, </w:t>
      </w:r>
      <w:r w:rsidRPr="0093138E">
        <w:rPr>
          <w:rStyle w:val="FootnoteReference"/>
          <w:bCs/>
          <w:szCs w:val="18"/>
          <w:lang w:val="es-ES"/>
        </w:rPr>
        <w:t>6</w:t>
      </w:r>
      <w:r w:rsidRPr="0093138E">
        <w:rPr>
          <w:bCs/>
          <w:position w:val="6"/>
          <w:sz w:val="18"/>
          <w:szCs w:val="18"/>
          <w:lang w:val="es-ES"/>
        </w:rPr>
        <w:t xml:space="preserve">, </w:t>
      </w:r>
      <w:r w:rsidRPr="0093138E">
        <w:rPr>
          <w:rStyle w:val="FootnoteReference"/>
          <w:bCs/>
          <w:szCs w:val="18"/>
          <w:lang w:val="es-ES"/>
        </w:rPr>
        <w:t>7</w:t>
      </w:r>
      <w:r w:rsidRPr="0093138E">
        <w:rPr>
          <w:rStyle w:val="FootnoteReference"/>
          <w:bCs/>
          <w:szCs w:val="18"/>
          <w:lang w:val="es-ES"/>
        </w:rPr>
        <w:t>,</w:t>
      </w:r>
      <w:r w:rsidRPr="0093138E">
        <w:rPr>
          <w:bCs/>
          <w:sz w:val="18"/>
          <w:szCs w:val="18"/>
          <w:lang w:val="es-ES"/>
        </w:rPr>
        <w:t xml:space="preserve"> </w:t>
      </w:r>
      <w:r w:rsidRPr="0093138E">
        <w:rPr>
          <w:bCs/>
          <w:position w:val="6"/>
          <w:sz w:val="18"/>
          <w:szCs w:val="18"/>
          <w:lang w:val="es-ES"/>
        </w:rPr>
        <w:t>7</w:t>
      </w:r>
      <w:r w:rsidRPr="0093138E">
        <w:rPr>
          <w:bCs/>
          <w:i/>
          <w:iCs/>
          <w:position w:val="6"/>
          <w:sz w:val="18"/>
          <w:szCs w:val="18"/>
          <w:lang w:val="es-ES"/>
        </w:rPr>
        <w:t>bis</w:t>
      </w:r>
      <w:r w:rsidRPr="0093138E">
        <w:rPr>
          <w:b w:val="0"/>
          <w:sz w:val="16"/>
          <w:lang w:val="es-ES"/>
        </w:rPr>
        <w:t>     (CMR</w:t>
      </w:r>
      <w:r w:rsidRPr="0093138E">
        <w:rPr>
          <w:b w:val="0"/>
          <w:sz w:val="16"/>
          <w:lang w:val="es-ES"/>
        </w:rPr>
        <w:noBreakHyphen/>
        <w:t>12)</w:t>
      </w:r>
    </w:p>
    <w:p w:rsidR="001D34FF" w:rsidRPr="0093138E" w:rsidRDefault="00AF4ADA" w:rsidP="00500BDB">
      <w:pPr>
        <w:pStyle w:val="Section1"/>
        <w:rPr>
          <w:lang w:val="es-ES"/>
        </w:rPr>
      </w:pPr>
      <w:r w:rsidRPr="0093138E">
        <w:rPr>
          <w:lang w:val="es-ES"/>
        </w:rPr>
        <w:t xml:space="preserve">Sección II </w:t>
      </w:r>
      <w:r w:rsidRPr="0093138E">
        <w:rPr>
          <w:lang w:val="es-ES"/>
        </w:rPr>
        <w:t xml:space="preserve">– Examen de las </w:t>
      </w:r>
      <w:r w:rsidRPr="0093138E">
        <w:rPr>
          <w:lang w:val="es-ES"/>
        </w:rPr>
        <w:t>notificaciones e inscripción de las asignaciones</w:t>
      </w:r>
      <w:r w:rsidRPr="0093138E">
        <w:rPr>
          <w:lang w:val="es-ES"/>
        </w:rPr>
        <w:br/>
        <w:t>de frecuencia en el Registro</w:t>
      </w:r>
    </w:p>
    <w:p w:rsidR="001F4515" w:rsidRPr="0093138E" w:rsidRDefault="00AF4ADA">
      <w:pPr>
        <w:pStyle w:val="Proposal"/>
        <w:rPr>
          <w:lang w:val="es-ES"/>
        </w:rPr>
      </w:pPr>
      <w:r w:rsidRPr="0093138E">
        <w:rPr>
          <w:lang w:val="es-ES"/>
        </w:rPr>
        <w:t>MOD</w:t>
      </w:r>
      <w:r w:rsidRPr="0093138E">
        <w:rPr>
          <w:lang w:val="es-ES"/>
        </w:rPr>
        <w:tab/>
        <w:t>BDI/KEN/UGA/RRW/TZA/85A21A5/1</w:t>
      </w:r>
    </w:p>
    <w:p w:rsidR="001F4515" w:rsidRPr="0093138E" w:rsidRDefault="00AF4ADA" w:rsidP="007E0880">
      <w:pPr>
        <w:pStyle w:val="Note"/>
        <w:rPr>
          <w:sz w:val="16"/>
          <w:szCs w:val="16"/>
          <w:lang w:val="es-ES"/>
        </w:rPr>
      </w:pPr>
      <w:r w:rsidRPr="0093138E">
        <w:rPr>
          <w:rStyle w:val="Artdef"/>
          <w:szCs w:val="24"/>
          <w:lang w:val="es-ES"/>
        </w:rPr>
        <w:t>11.44B</w:t>
      </w:r>
      <w:r w:rsidRPr="0093138E">
        <w:rPr>
          <w:szCs w:val="24"/>
          <w:lang w:val="es-ES"/>
        </w:rPr>
        <w:tab/>
        <w:t>Se considerará que una asignación de frecuencias a una estación espacial en la órbita de los satélites geoestacionarios se ha puesto en s</w:t>
      </w:r>
      <w:r w:rsidRPr="0093138E">
        <w:rPr>
          <w:szCs w:val="24"/>
          <w:lang w:val="es-ES"/>
        </w:rPr>
        <w:t>ervicio cuando una estación espacial en la órbita de los satélites geoestacionarios con la capacidad de transmitir o recibir en esa asignación de frecuencia</w:t>
      </w:r>
      <w:r w:rsidRPr="0093138E">
        <w:rPr>
          <w:szCs w:val="24"/>
          <w:lang w:val="es-ES"/>
        </w:rPr>
        <w:t>s</w:t>
      </w:r>
      <w:r w:rsidRPr="0093138E">
        <w:rPr>
          <w:szCs w:val="24"/>
          <w:lang w:val="es-ES"/>
        </w:rPr>
        <w:t xml:space="preserve"> se ha instalado en la posición orbital notificada y se ha mantenido en ella durante un periodo continuo de noventa días. La administración notificante informará a la Oficina en el plazo de treinta días a partir del final del periodo de noventa </w:t>
      </w:r>
      <w:r w:rsidR="0093138E">
        <w:rPr>
          <w:szCs w:val="24"/>
          <w:lang w:val="es-ES"/>
        </w:rPr>
        <w:t>d</w:t>
      </w:r>
      <w:r w:rsidR="007E0880" w:rsidRPr="0093138E">
        <w:rPr>
          <w:lang w:val="es-ES"/>
        </w:rPr>
        <w:t>ías</w:t>
      </w:r>
      <w:ins w:id="6" w:author="Author">
        <w:r w:rsidR="007E0880" w:rsidRPr="0093138E">
          <w:rPr>
            <w:position w:val="6"/>
            <w:sz w:val="18"/>
            <w:lang w:val="es-ES"/>
          </w:rPr>
          <w:t>21</w:t>
        </w:r>
        <w:r w:rsidR="007E0880" w:rsidRPr="0093138E">
          <w:rPr>
            <w:i/>
            <w:iCs/>
            <w:position w:val="6"/>
            <w:sz w:val="18"/>
            <w:lang w:val="es-ES"/>
          </w:rPr>
          <w:t>bis</w:t>
        </w:r>
      </w:ins>
      <w:r w:rsidR="007E0880" w:rsidRPr="0093138E">
        <w:rPr>
          <w:sz w:val="16"/>
          <w:szCs w:val="16"/>
          <w:lang w:val="es-ES"/>
        </w:rPr>
        <w:t>.     (CMR</w:t>
      </w:r>
      <w:r w:rsidR="007E0880" w:rsidRPr="0093138E">
        <w:rPr>
          <w:sz w:val="16"/>
          <w:szCs w:val="16"/>
          <w:lang w:val="es-ES"/>
        </w:rPr>
        <w:noBreakHyphen/>
      </w:r>
      <w:del w:id="7" w:author="Author">
        <w:r w:rsidR="007E0880" w:rsidRPr="0093138E" w:rsidDel="00EF7895">
          <w:rPr>
            <w:sz w:val="16"/>
            <w:szCs w:val="16"/>
            <w:lang w:val="es-ES"/>
          </w:rPr>
          <w:delText>12</w:delText>
        </w:r>
      </w:del>
      <w:ins w:id="8" w:author="Author">
        <w:r w:rsidR="007E0880" w:rsidRPr="0093138E">
          <w:rPr>
            <w:sz w:val="16"/>
            <w:szCs w:val="16"/>
            <w:lang w:val="es-ES"/>
          </w:rPr>
          <w:t>15</w:t>
        </w:r>
      </w:ins>
      <w:r w:rsidR="007E0880" w:rsidRPr="0093138E">
        <w:rPr>
          <w:sz w:val="16"/>
          <w:szCs w:val="16"/>
          <w:lang w:val="es-ES"/>
        </w:rPr>
        <w:t>)</w:t>
      </w:r>
    </w:p>
    <w:p w:rsidR="007E0880" w:rsidRPr="0093138E" w:rsidRDefault="007E0880" w:rsidP="007E0880">
      <w:pPr>
        <w:pStyle w:val="Reasons"/>
        <w:rPr>
          <w:lang w:val="es-ES"/>
        </w:rPr>
      </w:pPr>
    </w:p>
    <w:p w:rsidR="001F4515" w:rsidRPr="0093138E" w:rsidRDefault="00AF4ADA">
      <w:pPr>
        <w:pStyle w:val="Proposal"/>
        <w:rPr>
          <w:lang w:val="es-ES"/>
        </w:rPr>
      </w:pPr>
      <w:r w:rsidRPr="0093138E">
        <w:rPr>
          <w:lang w:val="es-ES"/>
        </w:rPr>
        <w:t>A</w:t>
      </w:r>
      <w:r w:rsidRPr="0093138E">
        <w:rPr>
          <w:lang w:val="es-ES"/>
        </w:rPr>
        <w:t>DD</w:t>
      </w:r>
      <w:r w:rsidRPr="0093138E">
        <w:rPr>
          <w:lang w:val="es-ES"/>
        </w:rPr>
        <w:tab/>
        <w:t>BDI/KEN/UGA/RRW/TZA/85A21A5/2</w:t>
      </w:r>
    </w:p>
    <w:p w:rsidR="00290F6C" w:rsidRPr="0093138E" w:rsidRDefault="00290F6C" w:rsidP="00290F6C">
      <w:pPr>
        <w:pStyle w:val="FootnoteText"/>
        <w:rPr>
          <w:rFonts w:eastAsia="SimSun"/>
          <w:lang w:val="es-ES" w:eastAsia="zh-CN"/>
        </w:rPr>
      </w:pPr>
      <w:r w:rsidRPr="0093138E">
        <w:rPr>
          <w:rStyle w:val="FootnoteReference"/>
          <w:bCs/>
          <w:lang w:val="es-ES"/>
        </w:rPr>
        <w:t>21</w:t>
      </w:r>
      <w:r w:rsidRPr="0093138E">
        <w:rPr>
          <w:rStyle w:val="FootnoteReference"/>
          <w:bCs/>
          <w:i/>
          <w:iCs/>
          <w:lang w:val="es-ES"/>
        </w:rPr>
        <w:t>bis</w:t>
      </w:r>
      <w:r w:rsidRPr="0093138E">
        <w:rPr>
          <w:rStyle w:val="Artdef"/>
          <w:i/>
          <w:lang w:val="es-ES"/>
        </w:rPr>
        <w:t xml:space="preserve"> </w:t>
      </w:r>
      <w:r w:rsidRPr="0093138E">
        <w:rPr>
          <w:rStyle w:val="Artdef"/>
          <w:lang w:val="es-ES"/>
        </w:rPr>
        <w:t>11.44B.1</w:t>
      </w:r>
      <w:r w:rsidR="00AF4ADA" w:rsidRPr="0093138E">
        <w:rPr>
          <w:lang w:val="es-ES"/>
        </w:rPr>
        <w:tab/>
      </w:r>
      <w:r w:rsidRPr="0093138E">
        <w:rPr>
          <w:lang w:val="es-ES"/>
        </w:rPr>
        <w:t xml:space="preserve">En el caso de una estación espacial en la órbita de los satélites geoestacionarios que experimente un fallo durante el periodo de 90 días posterior a la puesta en servicio de una asignación de frecuencias notificada con arreglo al número </w:t>
      </w:r>
      <w:r w:rsidRPr="0093138E">
        <w:rPr>
          <w:b/>
          <w:bCs/>
          <w:lang w:val="es-ES" w:eastAsia="zh-CN"/>
        </w:rPr>
        <w:t>11.44B</w:t>
      </w:r>
      <w:r w:rsidRPr="0093138E">
        <w:rPr>
          <w:lang w:val="es-ES" w:eastAsia="zh-CN"/>
        </w:rPr>
        <w:t>, que impida técnicamente a la estación transmitir o recibir en la asignación de frecuencias notificada</w:t>
      </w:r>
      <w:r w:rsidRPr="0093138E">
        <w:rPr>
          <w:rFonts w:eastAsia="SimSun"/>
          <w:lang w:val="es-ES" w:eastAsia="zh-CN"/>
        </w:rPr>
        <w:t xml:space="preserve">, la administración, a fin de solicitar la aplicación del número </w:t>
      </w:r>
      <w:r w:rsidRPr="0093138E">
        <w:rPr>
          <w:rFonts w:eastAsia="SimSun"/>
          <w:b/>
          <w:bCs/>
          <w:lang w:val="es-ES" w:eastAsia="zh-CN"/>
        </w:rPr>
        <w:t>11.49</w:t>
      </w:r>
      <w:r w:rsidRPr="0093138E">
        <w:rPr>
          <w:rFonts w:eastAsia="SimSun"/>
          <w:lang w:val="es-ES" w:eastAsia="zh-CN"/>
        </w:rPr>
        <w:t xml:space="preserve"> para dichas asignaciones, </w:t>
      </w:r>
      <w:r w:rsidRPr="0093138E">
        <w:rPr>
          <w:lang w:val="es-ES" w:eastAsia="zh-CN"/>
        </w:rPr>
        <w:t xml:space="preserve">informará a la Oficina, dentro de los sesenta días siguientes a la fecha en que se produjo el fallo y facilitará toda la información de debida diligencia que se le requiera. La Oficina examinará las pruebas aportadas por la administración sobre el fallo. La Oficina analizará las pruebas facilitadas por la administración notificante en relación con la capacidad operativa del satélite objeto del fallo. Durante su análisis, la Oficina podrá solicitar aclaraciones con arreglo al número </w:t>
      </w:r>
      <w:r w:rsidRPr="0093138E">
        <w:rPr>
          <w:rFonts w:eastAsia="SimSun"/>
          <w:b/>
          <w:bCs/>
          <w:lang w:val="es-ES" w:eastAsia="zh-CN"/>
        </w:rPr>
        <w:t>13.6</w:t>
      </w:r>
      <w:r w:rsidRPr="0093138E">
        <w:rPr>
          <w:rFonts w:eastAsia="SimSun"/>
          <w:lang w:val="es-ES" w:eastAsia="zh-CN"/>
        </w:rPr>
        <w:t xml:space="preserve">, teniendo en cuenta la información previamente facilitada por la administración. Si la investigación de la Oficina concluye que la estación espacial era técnicamente capaz de transmitir y/o recibir la o las asignaciones de frecuencias notificadas, </w:t>
      </w:r>
      <w:r w:rsidRPr="0093138E">
        <w:rPr>
          <w:color w:val="000000"/>
          <w:lang w:val="es-ES"/>
        </w:rPr>
        <w:t xml:space="preserve">la Oficina considerará que se ha completado el periodo de noventa días requerido para la puesta en servicio y publicará la decisión en el siguiente número de la BR IFIC posterior a la decisión, junto con todos los documentos entre las administraciones y la Oficina, y se autoriza la asignación para una suspensión de tres años. Si en un plazo de 60 días la administración no informa a la Oficina mediante una solicitud para la aplicación del número </w:t>
      </w:r>
      <w:r w:rsidRPr="0093138E">
        <w:rPr>
          <w:rFonts w:eastAsia="SimSun"/>
          <w:b/>
          <w:bCs/>
          <w:lang w:val="es-ES" w:eastAsia="zh-CN"/>
        </w:rPr>
        <w:t>11.49</w:t>
      </w:r>
      <w:r w:rsidRPr="0093138E">
        <w:rPr>
          <w:rFonts w:eastAsia="SimSun"/>
          <w:lang w:val="es-ES" w:eastAsia="zh-CN"/>
        </w:rPr>
        <w:t>, se considerará que las asignaciones de frecuencias conexas no se han puesto en servicio.</w:t>
      </w:r>
    </w:p>
    <w:p w:rsidR="00290F6C" w:rsidRPr="0093138E" w:rsidRDefault="00290F6C" w:rsidP="00290F6C">
      <w:pPr>
        <w:rPr>
          <w:lang w:val="es-ES"/>
        </w:rPr>
      </w:pPr>
      <w:r w:rsidRPr="0093138E">
        <w:rPr>
          <w:rFonts w:eastAsia="SimSun"/>
          <w:lang w:val="es-ES" w:eastAsia="zh-CN"/>
        </w:rPr>
        <w:t>Si, en un plazo de tres meses, la Oficina no está en condiciones de dictaminar si se ha completado el periodo de puesta en servicio, preparará un informe y solicitará una decisión a la Junta, que decidirá si considera que el periodo de noventa días de puesta en servicio se ha completado o no, según sea conveniente</w:t>
      </w:r>
      <w:r w:rsidRPr="0093138E">
        <w:rPr>
          <w:lang w:val="es-ES"/>
        </w:rPr>
        <w:t>.</w:t>
      </w:r>
    </w:p>
    <w:p w:rsidR="00290F6C" w:rsidRPr="0093138E" w:rsidRDefault="00290F6C" w:rsidP="00290F6C">
      <w:pPr>
        <w:rPr>
          <w:rFonts w:eastAsia="SimSun"/>
          <w:lang w:val="es-ES" w:eastAsia="zh-CN"/>
        </w:rPr>
      </w:pPr>
      <w:r w:rsidRPr="0093138E">
        <w:rPr>
          <w:rFonts w:eastAsia="SimSun"/>
          <w:lang w:val="es-ES" w:eastAsia="zh-CN"/>
        </w:rPr>
        <w:t xml:space="preserve">En el supuesto de que la decisión de la Junta confirme que la estación espacial era técnicamente capaz de transmitir y/o recibir la o las asignaciones de frecuencia notificadas, </w:t>
      </w:r>
      <w:r w:rsidRPr="0093138E">
        <w:rPr>
          <w:color w:val="000000"/>
          <w:lang w:val="es-ES"/>
        </w:rPr>
        <w:t>la Oficina considerará completado el periodo de noventa días requerido para la puesta en servicio y publicará la decisión en la siguiente BR IF</w:t>
      </w:r>
      <w:bookmarkStart w:id="9" w:name="_GoBack"/>
      <w:bookmarkEnd w:id="9"/>
      <w:r w:rsidRPr="0093138E">
        <w:rPr>
          <w:color w:val="000000"/>
          <w:lang w:val="es-ES"/>
        </w:rPr>
        <w:t>IC tras tomar esta decisión, junto con todos los documentos entre las administraciones y la Oficina, y se autoriza la suspensión por tres años</w:t>
      </w:r>
      <w:r w:rsidRPr="0093138E">
        <w:rPr>
          <w:rFonts w:eastAsia="SimSun"/>
          <w:lang w:val="es-ES" w:eastAsia="zh-CN"/>
        </w:rPr>
        <w:t>.</w:t>
      </w:r>
      <w:r w:rsidRPr="0093138E">
        <w:rPr>
          <w:sz w:val="16"/>
          <w:szCs w:val="16"/>
          <w:lang w:val="es-ES"/>
        </w:rPr>
        <w:t>     </w:t>
      </w:r>
      <w:r w:rsidRPr="0093138E">
        <w:rPr>
          <w:sz w:val="16"/>
          <w:lang w:val="es-ES"/>
        </w:rPr>
        <w:t>(CMR</w:t>
      </w:r>
      <w:r w:rsidRPr="0093138E">
        <w:rPr>
          <w:sz w:val="16"/>
          <w:lang w:val="es-ES"/>
        </w:rPr>
        <w:noBreakHyphen/>
        <w:t>15)</w:t>
      </w:r>
    </w:p>
    <w:p w:rsidR="00290F6C" w:rsidRPr="0093138E" w:rsidRDefault="00AF4ADA" w:rsidP="0032202E">
      <w:pPr>
        <w:pStyle w:val="Reasons"/>
        <w:rPr>
          <w:lang w:val="es-ES"/>
        </w:rPr>
      </w:pPr>
      <w:r w:rsidRPr="0093138E">
        <w:rPr>
          <w:b/>
          <w:lang w:val="es-ES"/>
        </w:rPr>
        <w:t>Motivos:</w:t>
      </w:r>
      <w:r w:rsidRPr="0093138E">
        <w:rPr>
          <w:lang w:val="es-ES"/>
        </w:rPr>
        <w:tab/>
      </w:r>
      <w:r w:rsidR="00290F6C" w:rsidRPr="0093138E">
        <w:rPr>
          <w:lang w:val="es-ES"/>
        </w:rPr>
        <w:t>Los casos evidentes serán tratados por la BR. Si la BR no estuviera en medida de adoptar una decisión, el caso se remitirá a la RRB.</w:t>
      </w:r>
    </w:p>
    <w:p w:rsidR="001F4515" w:rsidRPr="0093138E" w:rsidRDefault="00290F6C" w:rsidP="00290F6C">
      <w:pPr>
        <w:jc w:val="center"/>
        <w:rPr>
          <w:lang w:val="es-ES"/>
        </w:rPr>
      </w:pPr>
      <w:r w:rsidRPr="0093138E">
        <w:rPr>
          <w:lang w:val="es-ES"/>
        </w:rPr>
        <w:t>______________</w:t>
      </w:r>
    </w:p>
    <w:sectPr w:rsidR="001F4515" w:rsidRPr="0093138E">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7E0880">
      <w:rPr>
        <w:noProof/>
      </w:rPr>
      <w:t>25.10.15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AF4ADA" w:rsidRDefault="00AF4ADA" w:rsidP="00AF4ADA">
    <w:pPr>
      <w:pStyle w:val="Footer"/>
    </w:pPr>
    <w:r>
      <w:fldChar w:fldCharType="begin"/>
    </w:r>
    <w:r>
      <w:instrText xml:space="preserve"> FILENAME \p  \* MERGEFORMAT </w:instrText>
    </w:r>
    <w:r>
      <w:fldChar w:fldCharType="separate"/>
    </w:r>
    <w:r>
      <w:t>P:\ESP\ITU-R\CONF-R\CMR15\000\085ADD21ADD05S.docx</w:t>
    </w:r>
    <w:r>
      <w:fldChar w:fldCharType="end"/>
    </w:r>
    <w:r>
      <w:t xml:space="preserve"> (388607)</w:t>
    </w:r>
    <w:r>
      <w:tab/>
    </w:r>
    <w:r>
      <w:fldChar w:fldCharType="begin"/>
    </w:r>
    <w:r>
      <w:instrText xml:space="preserve"> SAVEDATE \@ DD.MM.YY </w:instrText>
    </w:r>
    <w:r>
      <w:fldChar w:fldCharType="separate"/>
    </w:r>
    <w:r>
      <w:t>25.10.15</w:t>
    </w:r>
    <w:r>
      <w:fldChar w:fldCharType="end"/>
    </w:r>
    <w: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AF4ADA" w:rsidRDefault="00AF4ADA" w:rsidP="00AF4ADA">
    <w:pPr>
      <w:pStyle w:val="Footer"/>
    </w:pPr>
    <w:fldSimple w:instr=" FILENAME \p  \* MERGEFORMAT ">
      <w:r>
        <w:t>P:\ESP\ITU-R\CONF-R\CMR15\000\085ADD21ADD05S.docx</w:t>
      </w:r>
    </w:fldSimple>
    <w:r>
      <w:t xml:space="preserve"> (388607)</w:t>
    </w:r>
    <w:r>
      <w:tab/>
    </w:r>
    <w:r>
      <w:fldChar w:fldCharType="begin"/>
    </w:r>
    <w:r>
      <w:instrText xml:space="preserve"> SAVEDATE \@ DD.MM.YY </w:instrText>
    </w:r>
    <w:r>
      <w:fldChar w:fldCharType="separate"/>
    </w:r>
    <w:r>
      <w:t>25.10.15</w:t>
    </w:r>
    <w:r>
      <w:fldChar w:fldCharType="end"/>
    </w:r>
    <w:r>
      <w:tab/>
    </w:r>
    <w:r>
      <w:fldChar w:fldCharType="begin"/>
    </w:r>
    <w:r>
      <w:instrText xml:space="preserve"> PRINTDATE \@ DD.MM.YY </w:instrText>
    </w:r>
    <w:r>
      <w:fldChar w:fldCharType="separate"/>
    </w:r>
    <w:r>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F4ADA">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85(Add.21)(Add.5)-</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57777"/>
    <w:rsid w:val="00087AE8"/>
    <w:rsid w:val="000A5B9A"/>
    <w:rsid w:val="000E5BF9"/>
    <w:rsid w:val="000F0E6D"/>
    <w:rsid w:val="00121170"/>
    <w:rsid w:val="00123CC5"/>
    <w:rsid w:val="0015142D"/>
    <w:rsid w:val="001616DC"/>
    <w:rsid w:val="00163962"/>
    <w:rsid w:val="00191A97"/>
    <w:rsid w:val="001A083F"/>
    <w:rsid w:val="001C41FA"/>
    <w:rsid w:val="001E2B52"/>
    <w:rsid w:val="001E3F27"/>
    <w:rsid w:val="001F4515"/>
    <w:rsid w:val="00236D2A"/>
    <w:rsid w:val="00255F12"/>
    <w:rsid w:val="00262C09"/>
    <w:rsid w:val="00290F6C"/>
    <w:rsid w:val="002A791F"/>
    <w:rsid w:val="002C1B26"/>
    <w:rsid w:val="002C5D6C"/>
    <w:rsid w:val="002E701F"/>
    <w:rsid w:val="003248A9"/>
    <w:rsid w:val="00324FFA"/>
    <w:rsid w:val="0032680B"/>
    <w:rsid w:val="00363A65"/>
    <w:rsid w:val="003B1E8C"/>
    <w:rsid w:val="003C2508"/>
    <w:rsid w:val="003D0AA3"/>
    <w:rsid w:val="004037FC"/>
    <w:rsid w:val="00440B3A"/>
    <w:rsid w:val="0045384C"/>
    <w:rsid w:val="00454553"/>
    <w:rsid w:val="004B124A"/>
    <w:rsid w:val="005133B5"/>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7E0880"/>
    <w:rsid w:val="00866AE6"/>
    <w:rsid w:val="008750A8"/>
    <w:rsid w:val="008E5AF2"/>
    <w:rsid w:val="0090121B"/>
    <w:rsid w:val="009144C9"/>
    <w:rsid w:val="0093138E"/>
    <w:rsid w:val="0094091F"/>
    <w:rsid w:val="00973754"/>
    <w:rsid w:val="009C0BED"/>
    <w:rsid w:val="009E11EC"/>
    <w:rsid w:val="00A118DB"/>
    <w:rsid w:val="00A4450C"/>
    <w:rsid w:val="00AA5E6C"/>
    <w:rsid w:val="00AE5677"/>
    <w:rsid w:val="00AE658F"/>
    <w:rsid w:val="00AF2F78"/>
    <w:rsid w:val="00AF4ADA"/>
    <w:rsid w:val="00B239FA"/>
    <w:rsid w:val="00B52D55"/>
    <w:rsid w:val="00B8288C"/>
    <w:rsid w:val="00BE2E80"/>
    <w:rsid w:val="00BE5EDD"/>
    <w:rsid w:val="00BE6A1F"/>
    <w:rsid w:val="00C126C4"/>
    <w:rsid w:val="00C63EB5"/>
    <w:rsid w:val="00C745BB"/>
    <w:rsid w:val="00CC01E0"/>
    <w:rsid w:val="00CD5FEE"/>
    <w:rsid w:val="00CE60D2"/>
    <w:rsid w:val="00CE7431"/>
    <w:rsid w:val="00D0288A"/>
    <w:rsid w:val="00D72A5D"/>
    <w:rsid w:val="00DC629B"/>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7AA0D9D-714C-4533-BE82-5B440D73E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fn"/>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290F6C"/>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R15-WRC15-C-0085!A21-A5!MSW-S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D520646-70BD-4305-9811-7E7F39CD3258}">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C13BC242-9DD2-4F33-BA05-B38DB74D3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902</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5790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R15-WRC15-C-0085!A21-A5!MSW-S</dc:title>
  <dc:subject>Conferencia Mundial de Radiocomunicaciones - 2015</dc:subject>
  <dc:creator>Documents Proposals Manager (DPM)</dc:creator>
  <cp:keywords>DPM_v5.2015.10.230_prod</cp:keywords>
  <dc:description/>
  <cp:lastModifiedBy>Spanish</cp:lastModifiedBy>
  <cp:revision>8</cp:revision>
  <cp:lastPrinted>2003-02-19T20:20:00Z</cp:lastPrinted>
  <dcterms:created xsi:type="dcterms:W3CDTF">2015-10-25T13:38:00Z</dcterms:created>
  <dcterms:modified xsi:type="dcterms:W3CDTF">2015-10-25T13:39:00Z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