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685AC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685AC5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685AC5">
              <w:rPr>
                <w:rFonts w:ascii="Verdana" w:eastAsia="SimSun" w:hAnsi="Verdana" w:cs="Traditional Arabic"/>
                <w:b/>
                <w:sz w:val="20"/>
              </w:rPr>
              <w:t>Addéndum</w:t>
            </w:r>
            <w:proofErr w:type="spellEnd"/>
            <w:r w:rsidRPr="00685AC5">
              <w:rPr>
                <w:rFonts w:ascii="Verdana" w:eastAsia="SimSun" w:hAnsi="Verdana" w:cs="Traditional Arabic"/>
                <w:b/>
                <w:sz w:val="20"/>
              </w:rPr>
              <w:t xml:space="preserve"> 3 al</w:t>
            </w:r>
            <w:r w:rsidRPr="00685AC5">
              <w:rPr>
                <w:rFonts w:ascii="Verdana" w:eastAsia="SimSun" w:hAnsi="Verdana" w:cs="Traditional Arabic"/>
                <w:b/>
                <w:sz w:val="20"/>
              </w:rPr>
              <w:br/>
              <w:t>Documento 85(Add.21)</w:t>
            </w:r>
            <w:r w:rsidR="0090121B" w:rsidRPr="00685AC5">
              <w:rPr>
                <w:rFonts w:ascii="Verdana" w:hAnsi="Verdana"/>
                <w:b/>
                <w:sz w:val="20"/>
              </w:rPr>
              <w:t>-</w:t>
            </w:r>
            <w:r w:rsidRPr="00685AC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685AC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16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octubre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85AC5" w:rsidRDefault="00685AC5" w:rsidP="000A5B9A">
            <w:pPr>
              <w:pStyle w:val="Source"/>
            </w:pPr>
            <w:bookmarkStart w:id="2" w:name="dsource" w:colFirst="0" w:colLast="0"/>
            <w:r w:rsidRPr="00685AC5">
              <w:t>Burundi (República de)/</w:t>
            </w:r>
            <w:proofErr w:type="spellStart"/>
            <w:r w:rsidRPr="00685AC5">
              <w:t>Kenya</w:t>
            </w:r>
            <w:proofErr w:type="spellEnd"/>
            <w:r w:rsidRPr="00685AC5">
              <w:t xml:space="preserve"> (República de)/Uganda (República de)/</w:t>
            </w:r>
            <w:proofErr w:type="spellStart"/>
            <w:r w:rsidRPr="00685AC5">
              <w:t>Rwanda</w:t>
            </w:r>
            <w:proofErr w:type="spellEnd"/>
            <w:r w:rsidRPr="00685AC5">
              <w:t xml:space="preserve"> (República de)/</w:t>
            </w:r>
            <w:proofErr w:type="spellStart"/>
            <w:r w:rsidRPr="00685AC5">
              <w:t>Tanzanía</w:t>
            </w:r>
            <w:proofErr w:type="spellEnd"/>
            <w:r w:rsidRPr="00685AC5">
              <w:t xml:space="preserve"> (República Unida de)</w:t>
            </w:r>
          </w:p>
        </w:tc>
      </w:tr>
      <w:tr w:rsidR="000A5B9A" w:rsidRPr="00685AC5" w:rsidTr="0050008E">
        <w:trPr>
          <w:cantSplit/>
        </w:trPr>
        <w:tc>
          <w:tcPr>
            <w:tcW w:w="10031" w:type="dxa"/>
            <w:gridSpan w:val="2"/>
          </w:tcPr>
          <w:p w:rsidR="000A5B9A" w:rsidRPr="00685AC5" w:rsidRDefault="00685AC5" w:rsidP="000A5B9A">
            <w:pPr>
              <w:pStyle w:val="Title1"/>
            </w:pPr>
            <w:bookmarkStart w:id="3" w:name="dtitle1" w:colFirst="0" w:colLast="0"/>
            <w:bookmarkEnd w:id="2"/>
            <w:r w:rsidRPr="00685AC5">
              <w:t>pROPUESTAS PARA LOS TRABAJOS DE LA CONFERENCIA</w:t>
            </w:r>
          </w:p>
        </w:tc>
      </w:tr>
      <w:tr w:rsidR="000A5B9A" w:rsidRPr="00685AC5" w:rsidTr="0050008E">
        <w:trPr>
          <w:cantSplit/>
        </w:trPr>
        <w:tc>
          <w:tcPr>
            <w:tcW w:w="10031" w:type="dxa"/>
            <w:gridSpan w:val="2"/>
          </w:tcPr>
          <w:p w:rsidR="000A5B9A" w:rsidRPr="00685AC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7(C) del orden del día</w:t>
            </w:r>
          </w:p>
        </w:tc>
      </w:tr>
    </w:tbl>
    <w:bookmarkEnd w:id="5"/>
    <w:p w:rsidR="001C0E40" w:rsidRPr="009424B4" w:rsidRDefault="00B64D04" w:rsidP="00512F4E">
      <w:r w:rsidRPr="00211854">
        <w:t>7</w:t>
      </w:r>
      <w:r w:rsidRPr="00211854">
        <w:tab/>
        <w:t>considerar posibles modificaciones y otras opciones como consecuencia de la Resolución</w:t>
      </w:r>
      <w:r>
        <w:t> </w:t>
      </w:r>
      <w:r w:rsidRPr="00211854">
        <w:t>86 (Rev. Marrakech, 2002) de la Conferencia de Plenipotenciarios: «Procedimientos de publicación anticipada, de coordinación, de notificación y de inscripción de asignaciones de frecuencias de redes de satélite», d</w:t>
      </w:r>
      <w:r w:rsidR="00685AC5">
        <w:t>e conformidad con la Resolución </w:t>
      </w:r>
      <w:r w:rsidRPr="00211854">
        <w:rPr>
          <w:b/>
          <w:bCs/>
        </w:rPr>
        <w:t>86 (Rev.CMR-07)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1C0E40" w:rsidRPr="00F66533" w:rsidRDefault="00B64D04">
      <w:r>
        <w:rPr>
          <w:lang w:val="es-ES"/>
        </w:rPr>
        <w:t xml:space="preserve">7(C) </w:t>
      </w:r>
      <w:r>
        <w:rPr>
          <w:lang w:val="es-ES"/>
        </w:rPr>
        <w:tab/>
      </w:r>
      <w:r w:rsidRPr="00CB6A4A">
        <w:rPr>
          <w:lang w:val="es-ES"/>
        </w:rPr>
        <w:t>Tema C – Examen o posible cancelación del mecanismo de publicación anticipada para las redes de satélites sujetas a coordinación con arreglo</w:t>
      </w:r>
      <w:r w:rsidR="00685AC5">
        <w:rPr>
          <w:lang w:val="es-ES"/>
        </w:rPr>
        <w:t xml:space="preserve"> a la Sección II del Artículo </w:t>
      </w:r>
      <w:r w:rsidRPr="00621ED6">
        <w:rPr>
          <w:b/>
          <w:bCs/>
          <w:lang w:val="es-ES"/>
        </w:rPr>
        <w:t>9</w:t>
      </w:r>
      <w:r>
        <w:rPr>
          <w:lang w:val="es-ES"/>
        </w:rPr>
        <w:t xml:space="preserve"> </w:t>
      </w:r>
      <w:r w:rsidRPr="00CB6A4A">
        <w:rPr>
          <w:lang w:val="es-ES"/>
        </w:rPr>
        <w:t>del Re</w:t>
      </w:r>
      <w:r>
        <w:rPr>
          <w:lang w:val="es-ES"/>
        </w:rPr>
        <w:t>glamento de Radiocomunicaciones</w:t>
      </w:r>
    </w:p>
    <w:p w:rsidR="00685AC5" w:rsidRPr="00AD746D" w:rsidRDefault="00685AC5" w:rsidP="00685AC5">
      <w:pPr>
        <w:pStyle w:val="Headingb"/>
      </w:pPr>
      <w:r w:rsidRPr="00AD746D">
        <w:t>Introducción</w:t>
      </w:r>
    </w:p>
    <w:p w:rsidR="00685AC5" w:rsidRPr="00AD746D" w:rsidRDefault="00685AC5" w:rsidP="00685AC5">
      <w:r w:rsidRPr="00AD746D">
        <w:t xml:space="preserve">El plazo de seis meses requerido entre la recepción por la Oficina de Radiocomunicaciones (BR) de </w:t>
      </w:r>
      <w:r>
        <w:rPr>
          <w:cs/>
        </w:rPr>
        <w:t>‎</w:t>
      </w:r>
      <w:r w:rsidRPr="00AD746D">
        <w:t xml:space="preserve">una información para publicación anticipada (API) y la solicitud de coordinación correspondiente </w:t>
      </w:r>
      <w:r>
        <w:rPr>
          <w:cs/>
        </w:rPr>
        <w:t>‎</w:t>
      </w:r>
      <w:r w:rsidRPr="00AD746D">
        <w:t xml:space="preserve">tenía el objetivo de que las administraciones estudiasen y, posiblemente, presentasen observaciones </w:t>
      </w:r>
      <w:r>
        <w:rPr>
          <w:cs/>
        </w:rPr>
        <w:t>‎</w:t>
      </w:r>
      <w:r w:rsidRPr="00AD746D">
        <w:t xml:space="preserve">relativas a los datos de dicha API, así como que la administración notificante tuviese en cuenta los </w:t>
      </w:r>
      <w:r>
        <w:rPr>
          <w:cs/>
        </w:rPr>
        <w:t>‎</w:t>
      </w:r>
      <w:r w:rsidRPr="00AD746D">
        <w:t xml:space="preserve">comentarios de otras administraciones antes de presentar la petición de coordinación asociada. Sin </w:t>
      </w:r>
      <w:r>
        <w:rPr>
          <w:cs/>
        </w:rPr>
        <w:t>‎</w:t>
      </w:r>
      <w:r w:rsidRPr="00AD746D">
        <w:t xml:space="preserve">embargo, como consecuencia de los cambios introducidos en el Reglamento de </w:t>
      </w:r>
      <w:r>
        <w:rPr>
          <w:cs/>
        </w:rPr>
        <w:t>‎</w:t>
      </w:r>
      <w:r w:rsidRPr="00AD746D">
        <w:t xml:space="preserve">Radiocomunicaciones (RR) por la CMR-95, las API para redes de satélites sujetas a coordinación </w:t>
      </w:r>
      <w:r>
        <w:rPr>
          <w:cs/>
        </w:rPr>
        <w:t>‎</w:t>
      </w:r>
      <w:r w:rsidRPr="00AD746D">
        <w:t>con arreg</w:t>
      </w:r>
      <w:r>
        <w:t>lo a la Sección II del Artículo </w:t>
      </w:r>
      <w:r w:rsidRPr="00AD746D">
        <w:t xml:space="preserve">9 contienen ahora poca información (simplemente posición </w:t>
      </w:r>
      <w:r>
        <w:rPr>
          <w:cs/>
        </w:rPr>
        <w:t>‎</w:t>
      </w:r>
      <w:r w:rsidRPr="00AD746D">
        <w:t xml:space="preserve">orbital y bandas de frecuencia, así como una indicación de la zona de servicio prevista). En </w:t>
      </w:r>
      <w:r>
        <w:rPr>
          <w:cs/>
        </w:rPr>
        <w:t>‎</w:t>
      </w:r>
      <w:r w:rsidRPr="00AD746D">
        <w:t>consecuencia</w:t>
      </w:r>
      <w:r>
        <w:t>,</w:t>
      </w:r>
      <w:r w:rsidRPr="00AD746D">
        <w:t xml:space="preserve"> las administraciones apenas disponen de datos actualmente para su estudio y </w:t>
      </w:r>
      <w:r>
        <w:rPr>
          <w:cs/>
        </w:rPr>
        <w:t>‎</w:t>
      </w:r>
      <w:r w:rsidRPr="00AD746D">
        <w:t>presentación de observaciones.</w:t>
      </w:r>
      <w:r>
        <w:rPr>
          <w:cs/>
        </w:rPr>
        <w:t>‎</w:t>
      </w:r>
    </w:p>
    <w:p w:rsidR="00685AC5" w:rsidRPr="0064182D" w:rsidRDefault="00685AC5" w:rsidP="00685AC5">
      <w:pPr>
        <w:rPr>
          <w:rtl/>
          <w:cs/>
          <w:lang w:val="es-ES"/>
        </w:rPr>
      </w:pPr>
      <w:r w:rsidRPr="0064182D">
        <w:rPr>
          <w:lang w:val="es-ES"/>
        </w:rPr>
        <w:t>El plazo de seis meses tiene</w:t>
      </w:r>
      <w:r>
        <w:rPr>
          <w:lang w:val="es-ES"/>
        </w:rPr>
        <w:t>,</w:t>
      </w:r>
      <w:r w:rsidRPr="0064182D">
        <w:rPr>
          <w:lang w:val="es-ES"/>
        </w:rPr>
        <w:t xml:space="preserve"> </w:t>
      </w:r>
      <w:r>
        <w:rPr>
          <w:lang w:val="es-ES"/>
        </w:rPr>
        <w:t>n</w:t>
      </w:r>
      <w:r w:rsidRPr="0064182D">
        <w:rPr>
          <w:lang w:val="es-ES"/>
        </w:rPr>
        <w:t xml:space="preserve">o obstante, un objetivo adicional: una vez identificada por una </w:t>
      </w:r>
      <w:r w:rsidRPr="0064182D">
        <w:rPr>
          <w:cs/>
          <w:lang w:val="es-ES"/>
        </w:rPr>
        <w:t>‎</w:t>
      </w:r>
      <w:r w:rsidRPr="0064182D">
        <w:rPr>
          <w:lang w:val="es-ES"/>
        </w:rPr>
        <w:t xml:space="preserve">Administración una posición orbital viable de ser coordinada, la Administración envía a la Oficina la </w:t>
      </w:r>
      <w:r w:rsidRPr="0064182D">
        <w:rPr>
          <w:cs/>
          <w:lang w:val="es-ES"/>
        </w:rPr>
        <w:t>‎</w:t>
      </w:r>
      <w:r w:rsidRPr="0064182D">
        <w:rPr>
          <w:lang w:val="es-ES"/>
        </w:rPr>
        <w:t xml:space="preserve">información correspondiente a la API y dispone de un plazo de seis meses para definir, preparar y </w:t>
      </w:r>
      <w:r w:rsidRPr="0064182D">
        <w:rPr>
          <w:cs/>
          <w:lang w:val="es-ES"/>
        </w:rPr>
        <w:t>‎</w:t>
      </w:r>
      <w:r w:rsidRPr="0064182D">
        <w:rPr>
          <w:lang w:val="es-ES"/>
        </w:rPr>
        <w:t xml:space="preserve">enviar a la Oficina la información completa correspondiente a la solicitud de coordinación, teniendo </w:t>
      </w:r>
      <w:r w:rsidRPr="0064182D">
        <w:rPr>
          <w:cs/>
          <w:lang w:val="es-ES"/>
        </w:rPr>
        <w:t>‎</w:t>
      </w:r>
      <w:r w:rsidRPr="0064182D">
        <w:rPr>
          <w:lang w:val="es-ES"/>
        </w:rPr>
        <w:t>en cuenta las observaciones formuladas por otras administraciones en virtud del número</w:t>
      </w:r>
      <w:r>
        <w:rPr>
          <w:lang w:val="es-ES"/>
        </w:rPr>
        <w:t> </w:t>
      </w:r>
      <w:r w:rsidRPr="0064182D">
        <w:rPr>
          <w:lang w:val="es-ES"/>
        </w:rPr>
        <w:t xml:space="preserve">9.5B </w:t>
      </w:r>
      <w:r w:rsidRPr="0064182D">
        <w:rPr>
          <w:cs/>
          <w:lang w:val="es-ES"/>
        </w:rPr>
        <w:t>‎</w:t>
      </w:r>
      <w:r w:rsidRPr="0064182D">
        <w:rPr>
          <w:lang w:val="es-ES"/>
        </w:rPr>
        <w:t>del RR.</w:t>
      </w:r>
      <w:r w:rsidRPr="0064182D">
        <w:rPr>
          <w:cs/>
          <w:lang w:val="es-ES"/>
        </w:rPr>
        <w:t>‎</w:t>
      </w:r>
    </w:p>
    <w:p w:rsidR="00685AC5" w:rsidRDefault="00685AC5" w:rsidP="00685AC5">
      <w:pPr>
        <w:rPr>
          <w:rtl/>
          <w:cs/>
        </w:rPr>
      </w:pPr>
      <w:r w:rsidRPr="00AD746D">
        <w:lastRenderedPageBreak/>
        <w:t xml:space="preserve">Los estudios realizados por el UIT-R han demostrado que la supresión del periodo de seis meses </w:t>
      </w:r>
      <w:r w:rsidRPr="00AD746D">
        <w:rPr>
          <w:cs/>
        </w:rPr>
        <w:t>‎</w:t>
      </w:r>
      <w:r w:rsidRPr="00AD746D">
        <w:t xml:space="preserve">aumentaría el tiempo dedicado a debates sobre coordinación durante el periodo de siete años y que </w:t>
      </w:r>
      <w:r w:rsidRPr="00AD746D">
        <w:rPr>
          <w:cs/>
        </w:rPr>
        <w:t>‎</w:t>
      </w:r>
      <w:r w:rsidRPr="00AD746D">
        <w:t>la supresión de los co</w:t>
      </w:r>
      <w:r>
        <w:t>mentarios con arreglo al número </w:t>
      </w:r>
      <w:r w:rsidRPr="00AD746D">
        <w:t xml:space="preserve">9.5B del RR reduciría la carga de trabajo </w:t>
      </w:r>
      <w:r w:rsidRPr="00AD746D">
        <w:rPr>
          <w:cs/>
        </w:rPr>
        <w:t>‎</w:t>
      </w:r>
      <w:r w:rsidRPr="00AD746D">
        <w:t>burocrático de las administraciones y la BR. Los pa</w:t>
      </w:r>
      <w:r>
        <w:t>íses miembros de la EACO</w:t>
      </w:r>
      <w:r w:rsidRPr="00AD746D">
        <w:t xml:space="preserve"> </w:t>
      </w:r>
      <w:r w:rsidRPr="00AD746D">
        <w:rPr>
          <w:cs/>
        </w:rPr>
        <w:t>‎</w:t>
      </w:r>
      <w:r w:rsidRPr="00AD746D">
        <w:t xml:space="preserve">(BDI/KEN/RRW/TZA/UGA) </w:t>
      </w:r>
      <w:r w:rsidRPr="00AD746D">
        <w:rPr>
          <w:cs/>
        </w:rPr>
        <w:t>‎</w:t>
      </w:r>
      <w:r w:rsidRPr="00AD746D">
        <w:t xml:space="preserve">solo apoyan la </w:t>
      </w:r>
      <w:r w:rsidRPr="00AD746D">
        <w:rPr>
          <w:cs/>
        </w:rPr>
        <w:t>‎</w:t>
      </w:r>
      <w:r w:rsidRPr="00AD746D">
        <w:t xml:space="preserve">supresión del periodo de seis meses entre la API y la CR/C y desean mantener el número 9.5B del </w:t>
      </w:r>
      <w:r w:rsidRPr="00AD746D">
        <w:rPr>
          <w:cs/>
        </w:rPr>
        <w:t>‎</w:t>
      </w:r>
      <w:r w:rsidRPr="00AD746D">
        <w:t>RR.</w:t>
      </w:r>
      <w:r>
        <w:t xml:space="preserve"> En consecuencia, se apoya el Método C3 opción B.</w:t>
      </w:r>
      <w:r w:rsidRPr="00AD746D">
        <w:rPr>
          <w:cs/>
        </w:rPr>
        <w:t>‎</w:t>
      </w:r>
    </w:p>
    <w:p w:rsidR="00685AC5" w:rsidRPr="00AD746D" w:rsidRDefault="00685AC5" w:rsidP="00685AC5">
      <w:pPr>
        <w:pStyle w:val="Headingb"/>
      </w:pPr>
      <w:r w:rsidRPr="00AD746D">
        <w:t>Propuesta</w:t>
      </w:r>
    </w:p>
    <w:p w:rsidR="00685AC5" w:rsidRPr="00AD746D" w:rsidRDefault="00685AC5" w:rsidP="00685AC5">
      <w:r>
        <w:t xml:space="preserve">La propuesta de </w:t>
      </w:r>
      <w:r w:rsidRPr="00AD746D">
        <w:t xml:space="preserve">BDI/KEN/RRW/TZA/UGA (países miembros de la EACO </w:t>
      </w:r>
      <w:r w:rsidRPr="00AD746D">
        <w:rPr>
          <w:cs/>
        </w:rPr>
        <w:t>‎</w:t>
      </w:r>
      <w:r w:rsidRPr="00AD746D">
        <w:t xml:space="preserve">) </w:t>
      </w:r>
      <w:r>
        <w:t>se muestra a continuación</w:t>
      </w:r>
      <w:r w:rsidRPr="00AD746D">
        <w:t>.</w:t>
      </w:r>
    </w:p>
    <w:p w:rsidR="00685AC5" w:rsidRPr="00AD746D" w:rsidRDefault="00685AC5" w:rsidP="00685AC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D746D">
        <w:br w:type="page"/>
      </w:r>
    </w:p>
    <w:p w:rsidR="00F008F3" w:rsidRPr="00245062" w:rsidRDefault="00B64D04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9</w:t>
      </w:r>
    </w:p>
    <w:p w:rsidR="00F008F3" w:rsidRPr="00245062" w:rsidRDefault="00B64D04" w:rsidP="00835B7C">
      <w:pPr>
        <w:pStyle w:val="Arttitle"/>
        <w:rPr>
          <w:b w:val="0"/>
          <w:bCs/>
          <w:sz w:val="16"/>
        </w:rPr>
      </w:pPr>
      <w:r w:rsidRPr="00245062">
        <w:t xml:space="preserve">Procedimiento para efectuar la coordinación u obtener el acuerdo </w:t>
      </w:r>
      <w:r w:rsidRPr="00245062">
        <w:br/>
        <w:t>de otras administraciones</w:t>
      </w:r>
      <w:r w:rsidRPr="00245062">
        <w:rPr>
          <w:rStyle w:val="FootnoteReference"/>
          <w:bCs/>
          <w:szCs w:val="18"/>
        </w:rPr>
        <w:t>1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2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3,</w:t>
      </w:r>
      <w:r w:rsidRPr="00245062">
        <w:rPr>
          <w:bCs/>
          <w:position w:val="6"/>
          <w:sz w:val="18"/>
          <w:szCs w:val="18"/>
        </w:rPr>
        <w:t xml:space="preserve"> </w:t>
      </w:r>
      <w:r w:rsidRPr="00245062">
        <w:rPr>
          <w:rStyle w:val="FootnoteReference"/>
          <w:bCs/>
          <w:szCs w:val="18"/>
        </w:rPr>
        <w:t>4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5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6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>7</w:t>
      </w:r>
      <w:r w:rsidRPr="00245062">
        <w:rPr>
          <w:bCs/>
          <w:position w:val="6"/>
          <w:sz w:val="18"/>
          <w:szCs w:val="18"/>
        </w:rPr>
        <w:t xml:space="preserve">, </w:t>
      </w:r>
      <w:r w:rsidRPr="00245062">
        <w:rPr>
          <w:rStyle w:val="FootnoteReference"/>
          <w:bCs/>
          <w:szCs w:val="18"/>
        </w:rPr>
        <w:t xml:space="preserve">8, </w:t>
      </w:r>
      <w:r w:rsidRPr="00256D14">
        <w:rPr>
          <w:rStyle w:val="FootnoteReference"/>
          <w:bCs/>
          <w:szCs w:val="18"/>
        </w:rPr>
        <w:t>8</w:t>
      </w:r>
      <w:r w:rsidRPr="0071678E">
        <w:rPr>
          <w:rStyle w:val="FootnoteReference"/>
          <w:bCs/>
          <w:i/>
          <w:iCs/>
          <w:szCs w:val="18"/>
        </w:rPr>
        <w:t>bis</w:t>
      </w:r>
      <w:r w:rsidRPr="00245062">
        <w:rPr>
          <w:b w:val="0"/>
          <w:sz w:val="16"/>
          <w:szCs w:val="16"/>
        </w:rPr>
        <w:t>     </w:t>
      </w:r>
      <w:r w:rsidRPr="00245062">
        <w:rPr>
          <w:b w:val="0"/>
          <w:sz w:val="16"/>
        </w:rPr>
        <w:t>(CMR-12)</w:t>
      </w:r>
    </w:p>
    <w:p w:rsidR="00F008F3" w:rsidRPr="00245062" w:rsidRDefault="00B64D04" w:rsidP="00404830">
      <w:pPr>
        <w:pStyle w:val="Section1"/>
      </w:pPr>
      <w:r w:rsidRPr="00245062">
        <w:t>Sección I – Publicación anticipada de la información relativa</w:t>
      </w:r>
      <w:r w:rsidRPr="00245062">
        <w:br/>
        <w:t>a las redes o sistemas de satélites</w:t>
      </w:r>
    </w:p>
    <w:p w:rsidR="00F008F3" w:rsidRPr="00D95185" w:rsidRDefault="00B64D04" w:rsidP="00D95185">
      <w:pPr>
        <w:pStyle w:val="Section2"/>
        <w:rPr>
          <w:bCs/>
          <w:iCs/>
        </w:rPr>
      </w:pPr>
      <w:r w:rsidRPr="00D95185">
        <w:rPr>
          <w:bCs/>
          <w:iCs/>
        </w:rPr>
        <w:t>Generalidades</w:t>
      </w:r>
    </w:p>
    <w:p w:rsidR="008F6F6A" w:rsidRDefault="00B64D04">
      <w:pPr>
        <w:pStyle w:val="Proposal"/>
      </w:pPr>
      <w:r>
        <w:t>MOD</w:t>
      </w:r>
      <w:r>
        <w:tab/>
        <w:t>BDI/</w:t>
      </w:r>
      <w:r w:rsidR="00685AC5">
        <w:t>KEN/UGA/RWW/TZA/</w:t>
      </w:r>
      <w:r>
        <w:t>85A21A3/1</w:t>
      </w:r>
    </w:p>
    <w:p w:rsidR="00685AC5" w:rsidRPr="00685AC5" w:rsidRDefault="00685AC5" w:rsidP="00685AC5">
      <w:pPr>
        <w:pStyle w:val="Normalaftertitle"/>
        <w:spacing w:before="120"/>
        <w:rPr>
          <w:color w:val="000000"/>
        </w:rPr>
      </w:pPr>
      <w:r>
        <w:rPr>
          <w:rStyle w:val="Artdef"/>
          <w:color w:val="000000"/>
          <w:lang w:val="es-ES"/>
        </w:rPr>
        <w:t>9.1</w:t>
      </w:r>
      <w:r>
        <w:rPr>
          <w:rStyle w:val="Artdef"/>
          <w:color w:val="000000"/>
          <w:lang w:val="es-ES"/>
        </w:rPr>
        <w:tab/>
      </w:r>
      <w:r>
        <w:rPr>
          <w:color w:val="000000"/>
          <w:lang w:val="es-ES"/>
        </w:rPr>
        <w:tab/>
        <w:t>Antes de iniciar cualquiera de las medidas previstas en este Artículo o en el Artículo </w:t>
      </w:r>
      <w:r>
        <w:rPr>
          <w:rStyle w:val="Artref"/>
          <w:b/>
          <w:bCs/>
          <w:color w:val="000000"/>
          <w:lang w:val="es-ES"/>
        </w:rPr>
        <w:t>11</w:t>
      </w:r>
      <w:r>
        <w:rPr>
          <w:color w:val="000000"/>
          <w:lang w:val="es-ES"/>
        </w:rPr>
        <w:t xml:space="preserve"> con respecto a las asignaciones de frecuencia a una red o sistema de satélites, la administración interesada, o una</w:t>
      </w:r>
      <w:r>
        <w:rPr>
          <w:color w:val="000000"/>
          <w:vertAlign w:val="superscript"/>
          <w:lang w:val="es-ES"/>
        </w:rPr>
        <w:t>9</w:t>
      </w:r>
      <w:r>
        <w:rPr>
          <w:color w:val="000000"/>
          <w:lang w:val="es-ES"/>
        </w:rPr>
        <w:t xml:space="preserve"> que actúe en nombre de un grupo de administraciones nominadas, enviará a la Oficina, con anterioridad al procedimiento de coordinación descrito en la Sección II del Artículo </w:t>
      </w:r>
      <w:r>
        <w:rPr>
          <w:rStyle w:val="Artref"/>
          <w:b/>
          <w:color w:val="000000"/>
          <w:lang w:val="es-ES"/>
        </w:rPr>
        <w:t>9</w:t>
      </w:r>
      <w:r>
        <w:rPr>
          <w:color w:val="000000"/>
          <w:lang w:val="es-ES"/>
        </w:rPr>
        <w:t>, cuando sea aplicable, una descripción general de la red o sistema para su publicación anticipada en la Circular Internacional de Información sobre Frecuencias (BR IFIC) con una antelación no superior a siete años y preferiblemente no inferior a dos a la fecha prevista de la puesta en servicio de la red o del sistema (véase también el número </w:t>
      </w:r>
      <w:r>
        <w:rPr>
          <w:rStyle w:val="Artref"/>
          <w:b/>
          <w:color w:val="000000"/>
          <w:lang w:val="es-ES"/>
        </w:rPr>
        <w:t>11.44</w:t>
      </w:r>
      <w:r>
        <w:rPr>
          <w:color w:val="000000"/>
          <w:lang w:val="es-ES"/>
        </w:rPr>
        <w:t>). Las características que deben proporcionarse a estos efectos figuran en el Apéndice </w:t>
      </w:r>
      <w:r>
        <w:rPr>
          <w:rStyle w:val="Appref"/>
          <w:b/>
          <w:color w:val="000000"/>
          <w:lang w:val="es-ES"/>
        </w:rPr>
        <w:t>4</w:t>
      </w:r>
      <w:r>
        <w:rPr>
          <w:color w:val="000000"/>
          <w:lang w:val="es-ES"/>
        </w:rPr>
        <w:t>. La información de coordinación o notificación, puede notificarse igualmente a la Oficina al mismo tiempo</w:t>
      </w:r>
      <w:del w:id="6" w:author="Spanish" w:date="2015-10-23T10:28:00Z">
        <w:r w:rsidDel="00A70555">
          <w:rPr>
            <w:color w:val="000000"/>
            <w:lang w:val="es-ES"/>
          </w:rPr>
          <w:delText xml:space="preserve">; se considerará recibida por la Oficina no antes de seis meses a partir de la fecha de recepción de la información para publicación anticipada cuando es necesaria la coordinación en virtud de lo dispuesto en la Sección II del Artículo </w:delText>
        </w:r>
        <w:r w:rsidDel="00A70555">
          <w:rPr>
            <w:rStyle w:val="Artref"/>
            <w:b/>
            <w:color w:val="000000"/>
            <w:lang w:val="es-ES"/>
          </w:rPr>
          <w:delText>9</w:delText>
        </w:r>
      </w:del>
      <w:r>
        <w:rPr>
          <w:color w:val="000000"/>
          <w:lang w:val="es-ES"/>
        </w:rPr>
        <w:t>. Cuando no es necesaria dicha coordinación, la notificación se considerará recibida por la Oficina no antes de seis meses a partir de la fecha de publicación de la información para publicación anticipada.</w:t>
      </w:r>
      <w:r>
        <w:rPr>
          <w:color w:val="000000"/>
          <w:sz w:val="16"/>
          <w:lang w:val="es-ES"/>
        </w:rPr>
        <w:t>     </w:t>
      </w:r>
      <w:r w:rsidRPr="00685AC5">
        <w:rPr>
          <w:color w:val="000000"/>
          <w:sz w:val="16"/>
        </w:rPr>
        <w:t>(CMR-</w:t>
      </w:r>
      <w:del w:id="7" w:author="Spanish" w:date="2015-10-23T10:28:00Z">
        <w:r w:rsidRPr="00685AC5" w:rsidDel="00A70555">
          <w:rPr>
            <w:color w:val="000000"/>
            <w:sz w:val="16"/>
          </w:rPr>
          <w:delText>03</w:delText>
        </w:r>
      </w:del>
      <w:ins w:id="8" w:author="Spanish" w:date="2015-10-23T10:28:00Z">
        <w:r w:rsidRPr="00685AC5">
          <w:rPr>
            <w:color w:val="000000"/>
            <w:sz w:val="16"/>
          </w:rPr>
          <w:t>15</w:t>
        </w:r>
      </w:ins>
      <w:r w:rsidRPr="00685AC5">
        <w:rPr>
          <w:color w:val="000000"/>
          <w:sz w:val="16"/>
        </w:rPr>
        <w:t>)</w:t>
      </w:r>
    </w:p>
    <w:p w:rsidR="00685AC5" w:rsidRPr="00A70555" w:rsidRDefault="00685AC5" w:rsidP="00685AC5">
      <w:pPr>
        <w:pStyle w:val="Reasons"/>
      </w:pPr>
      <w:r w:rsidRPr="00A70555">
        <w:rPr>
          <w:b/>
        </w:rPr>
        <w:t>Motivos:</w:t>
      </w:r>
      <w:r w:rsidRPr="00A70555">
        <w:tab/>
      </w:r>
      <w:r w:rsidRPr="00A70555">
        <w:rPr>
          <w:lang w:eastAsia="fr-FR"/>
        </w:rPr>
        <w:t xml:space="preserve">Para suprimir el periodo de seis meses entre la fecha de recepción de API y la fecha de aceptabilidad </w:t>
      </w:r>
      <w:r w:rsidRPr="00A70555">
        <w:rPr>
          <w:cs/>
          <w:lang w:eastAsia="fr-FR"/>
        </w:rPr>
        <w:t>‎</w:t>
      </w:r>
      <w:r w:rsidRPr="00A70555">
        <w:rPr>
          <w:lang w:eastAsia="fr-FR"/>
        </w:rPr>
        <w:t>de la correspondiente solicitud de coordinación previst</w:t>
      </w:r>
      <w:r>
        <w:rPr>
          <w:lang w:eastAsia="fr-FR"/>
        </w:rPr>
        <w:t>a en la Sección II del Artículo </w:t>
      </w:r>
      <w:r w:rsidRPr="00A70555">
        <w:rPr>
          <w:lang w:eastAsia="fr-FR"/>
        </w:rPr>
        <w:t xml:space="preserve">9 del RR, a fin </w:t>
      </w:r>
      <w:r w:rsidRPr="00A70555">
        <w:rPr>
          <w:cs/>
          <w:lang w:eastAsia="fr-FR"/>
        </w:rPr>
        <w:t>‎</w:t>
      </w:r>
      <w:r w:rsidRPr="00A70555">
        <w:rPr>
          <w:lang w:eastAsia="fr-FR"/>
        </w:rPr>
        <w:t>de reducir la parte dedicada a la publicación de secciones especiales en el proceso de coordinación.</w:t>
      </w:r>
      <w:r w:rsidRPr="00A70555">
        <w:rPr>
          <w:cs/>
          <w:lang w:eastAsia="fr-FR"/>
        </w:rPr>
        <w:t>‎</w:t>
      </w:r>
    </w:p>
    <w:p w:rsidR="001D34FF" w:rsidRPr="00245062" w:rsidRDefault="00B64D04" w:rsidP="00404830">
      <w:pPr>
        <w:pStyle w:val="Subsection1"/>
      </w:pPr>
      <w:r w:rsidRPr="00245062">
        <w:t>Subsección IB – Publicación anticipada de la información relativa</w:t>
      </w:r>
      <w:r w:rsidRPr="00245062">
        <w:br/>
        <w:t>a las redes o sistemas de satélites que están sujetos a coordinación</w:t>
      </w:r>
      <w:r w:rsidRPr="00245062">
        <w:br/>
        <w:t>con arreglo al procedimiento de la Sección II</w:t>
      </w:r>
    </w:p>
    <w:p w:rsidR="008F6F6A" w:rsidRDefault="00B64D04" w:rsidP="00B64D04">
      <w:pPr>
        <w:pStyle w:val="Proposal"/>
      </w:pPr>
      <w:r>
        <w:t>MOD</w:t>
      </w:r>
      <w:r>
        <w:tab/>
        <w:t>BDI/KEN/UGA/RWW/TZA/85A21A3/2</w:t>
      </w:r>
    </w:p>
    <w:p w:rsidR="003441E7" w:rsidRPr="00245062" w:rsidRDefault="00B64D04" w:rsidP="006D4745">
      <w:pPr>
        <w:pStyle w:val="Note"/>
        <w:rPr>
          <w:sz w:val="16"/>
        </w:rPr>
      </w:pPr>
      <w:r w:rsidRPr="00D07895">
        <w:rPr>
          <w:rStyle w:val="Artdef"/>
        </w:rPr>
        <w:t>9.5B</w:t>
      </w:r>
      <w:r w:rsidRPr="00245062">
        <w:rPr>
          <w:b/>
          <w:bCs/>
        </w:rPr>
        <w:tab/>
      </w:r>
      <w:r w:rsidRPr="00245062">
        <w:rPr>
          <w:b/>
          <w:bCs/>
        </w:rPr>
        <w:tab/>
      </w:r>
      <w:r w:rsidRPr="00245062">
        <w:t>Si al recibir una BR IFIC que contiene información publicada de conformidad con el número </w:t>
      </w:r>
      <w:r w:rsidRPr="00BB5292">
        <w:rPr>
          <w:rStyle w:val="Artref"/>
          <w:b/>
          <w:bCs/>
        </w:rPr>
        <w:t>9.2B</w:t>
      </w:r>
      <w:r w:rsidRPr="00245062">
        <w:t xml:space="preserve"> una administración considera que sus sistemas o redes de satélites o estaciones terrenales</w:t>
      </w:r>
      <w:r w:rsidRPr="00245062">
        <w:rPr>
          <w:rStyle w:val="FootnoteReference"/>
        </w:rPr>
        <w:t>11</w:t>
      </w:r>
      <w:r w:rsidRPr="00245062">
        <w:t xml:space="preserve"> existentes o planificados se verán afectados, podrá comunicar sus comentarios a la administración que haya publicado la información, con el fin de que esta última pueda tomar dichos comentarios en consideración al iniciar el procedimiento de coordinación. Podrá enviarse también a la Oficina copia de dichos comentarios. A continuación, ambas administraciones intentarán cooperar conjuntamente para resolver cualquier dificultad que se suscite, con la asistencia de la Oficina, si lo solicita cualquiera de las partes, e intercambiarán la información adicional pertinente de que pueda disponerse.</w:t>
      </w:r>
      <w:r w:rsidRPr="00245062">
        <w:rPr>
          <w:sz w:val="16"/>
        </w:rPr>
        <w:t>     (CMR</w:t>
      </w:r>
      <w:r w:rsidRPr="00245062">
        <w:rPr>
          <w:sz w:val="16"/>
        </w:rPr>
        <w:noBreakHyphen/>
        <w:t>2000)</w:t>
      </w:r>
    </w:p>
    <w:p w:rsidR="00B64D04" w:rsidRDefault="00B64D04" w:rsidP="0032202E">
      <w:pPr>
        <w:pStyle w:val="Reasons"/>
      </w:pPr>
      <w:r>
        <w:rPr>
          <w:b/>
        </w:rPr>
        <w:t>Motivos:</w:t>
      </w:r>
      <w:r w:rsidR="00685AC5" w:rsidRPr="00CA32DF">
        <w:rPr>
          <w:lang w:eastAsia="fr-FR"/>
        </w:rPr>
        <w:tab/>
        <w:t>Como consecuencia de la supresión del periodo de seis meses, ya que el procedimiento de coordinación puede in</w:t>
      </w:r>
      <w:bookmarkStart w:id="9" w:name="_GoBack"/>
      <w:r w:rsidR="00685AC5" w:rsidRPr="00CA32DF">
        <w:rPr>
          <w:lang w:eastAsia="fr-FR"/>
        </w:rPr>
        <w:t>i</w:t>
      </w:r>
      <w:bookmarkEnd w:id="9"/>
      <w:r w:rsidR="00685AC5" w:rsidRPr="00CA32DF">
        <w:rPr>
          <w:lang w:eastAsia="fr-FR"/>
        </w:rPr>
        <w:t>ciarse antes de la publicación anticipada.</w:t>
      </w:r>
    </w:p>
    <w:p w:rsidR="00B64D04" w:rsidRDefault="00B64D04">
      <w:pPr>
        <w:jc w:val="center"/>
      </w:pPr>
      <w:r>
        <w:t>______________</w:t>
      </w:r>
    </w:p>
    <w:sectPr w:rsidR="00B64D0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4745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C5" w:rsidRDefault="00685AC5" w:rsidP="00685AC5">
    <w:pPr>
      <w:pStyle w:val="Footer"/>
    </w:pPr>
    <w:fldSimple w:instr=" FILENAME \p  \* MERGEFORMAT ">
      <w:r>
        <w:t>P:\ESP\ITU-R\CONF-R\CMR15\000\085ADD21ADD03S.docx</w:t>
      </w:r>
    </w:fldSimple>
    <w:r>
      <w:t xml:space="preserve"> (388605)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6D4745"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C5" w:rsidRDefault="006D474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85AC5">
      <w:t>P:\ESP\ITU-R\CONF-R\CMR15\000\085ADD21ADD03S.docx</w:t>
    </w:r>
    <w:r>
      <w:fldChar w:fldCharType="end"/>
    </w:r>
    <w:r w:rsidR="00685AC5">
      <w:t xml:space="preserve"> (388605)</w:t>
    </w:r>
    <w:r w:rsidR="00685AC5">
      <w:tab/>
    </w:r>
    <w:r w:rsidR="00685AC5">
      <w:fldChar w:fldCharType="begin"/>
    </w:r>
    <w:r w:rsidR="00685AC5">
      <w:instrText xml:space="preserve"> SAVEDATE \@ DD.MM.YY </w:instrText>
    </w:r>
    <w:r w:rsidR="00685AC5">
      <w:fldChar w:fldCharType="separate"/>
    </w:r>
    <w:r>
      <w:t>25.10.15</w:t>
    </w:r>
    <w:r w:rsidR="00685AC5">
      <w:fldChar w:fldCharType="end"/>
    </w:r>
    <w:r w:rsidR="00685AC5">
      <w:tab/>
    </w:r>
    <w:r w:rsidR="00685AC5">
      <w:fldChar w:fldCharType="begin"/>
    </w:r>
    <w:r w:rsidR="00685AC5">
      <w:instrText xml:space="preserve"> PRINTDATE \@ DD.MM.YY </w:instrText>
    </w:r>
    <w:r w:rsidR="00685AC5">
      <w:fldChar w:fldCharType="separate"/>
    </w:r>
    <w:r w:rsidR="00685AC5">
      <w:t>19.02.03</w:t>
    </w:r>
    <w:r w:rsidR="00685A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4745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85(Add.21)(Add.3)-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85AC5"/>
    <w:rsid w:val="00692AAE"/>
    <w:rsid w:val="006C177C"/>
    <w:rsid w:val="006D4745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8F6F6A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64D04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D95A226-E237-4657-9C86-9EFD1064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NormalaftertitleChar">
    <w:name w:val="Normal after title Char"/>
    <w:basedOn w:val="DefaultParagraphFont"/>
    <w:link w:val="Normalaftertitle"/>
    <w:rsid w:val="00685AC5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R15-WRC15-C-0085!A21-A3!MSW-S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C1A83-A566-47B3-91C1-17673B92047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purl.org/dc/terms/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3B0738-809B-43C6-AB1A-4A21D075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935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R15-WRC15-C-0085!A21-A3!MSW-S</vt:lpstr>
    </vt:vector>
  </TitlesOfParts>
  <Manager>Secretaría General - Pool</Manager>
  <Company>Unión Internacional de Telecomunicaciones (UIT)</Company>
  <LinksUpToDate>false</LinksUpToDate>
  <CharactersWithSpaces>6525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R15-WRC15-C-0085!A21-A3!MSW-S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4</cp:revision>
  <cp:lastPrinted>2003-02-19T20:20:00Z</cp:lastPrinted>
  <dcterms:created xsi:type="dcterms:W3CDTF">2015-10-25T13:52:00Z</dcterms:created>
  <dcterms:modified xsi:type="dcterms:W3CDTF">2015-10-25T14:04:00Z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