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5C5D87" w:rsidTr="0050008E">
        <w:trPr>
          <w:cantSplit/>
        </w:trPr>
        <w:tc>
          <w:tcPr>
            <w:tcW w:w="6911" w:type="dxa"/>
          </w:tcPr>
          <w:p w:rsidR="0090121B" w:rsidRPr="005C5D87" w:rsidRDefault="005D46FB" w:rsidP="005C5D87">
            <w:pPr>
              <w:spacing w:before="400" w:after="48"/>
              <w:rPr>
                <w:rFonts w:ascii="Verdana" w:hAnsi="Verdana"/>
                <w:position w:val="6"/>
                <w:lang w:val="es-ES"/>
              </w:rPr>
            </w:pPr>
            <w:r w:rsidRPr="005C5D87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(CMR-15)</w:t>
            </w:r>
            <w:r w:rsidRPr="005C5D87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5C5D87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s-ES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5C5D87" w:rsidRDefault="00CE7431" w:rsidP="005C5D87">
            <w:pPr>
              <w:spacing w:before="0"/>
              <w:jc w:val="right"/>
              <w:rPr>
                <w:lang w:val="es-ES"/>
              </w:rPr>
            </w:pPr>
            <w:bookmarkStart w:id="0" w:name="ditulogo"/>
            <w:bookmarkEnd w:id="0"/>
            <w:r w:rsidRPr="005C5D87">
              <w:rPr>
                <w:noProof/>
                <w:lang w:val="es-E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5C5D8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5C5D87" w:rsidRDefault="00CE7431" w:rsidP="005C5D87">
            <w:pPr>
              <w:spacing w:before="0" w:after="48"/>
              <w:rPr>
                <w:b/>
                <w:smallCaps/>
                <w:szCs w:val="24"/>
                <w:lang w:val="es-ES"/>
              </w:rPr>
            </w:pPr>
            <w:bookmarkStart w:id="1" w:name="dhead"/>
            <w:r w:rsidRPr="005C5D87">
              <w:rPr>
                <w:rFonts w:ascii="Verdana" w:hAnsi="Verdana"/>
                <w:b/>
                <w:smallCaps/>
                <w:sz w:val="20"/>
                <w:lang w:val="es-ES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5C5D87" w:rsidRDefault="0090121B" w:rsidP="005C5D87">
            <w:pPr>
              <w:spacing w:before="0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5C5D8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5C5D87" w:rsidRDefault="0090121B" w:rsidP="005C5D87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5C5D87" w:rsidRDefault="0090121B" w:rsidP="005C5D87">
            <w:pPr>
              <w:spacing w:before="0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5C5D87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5C5D87" w:rsidRDefault="00AE658F" w:rsidP="005C5D87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5C5D87">
              <w:rPr>
                <w:rFonts w:ascii="Verdana" w:hAnsi="Verdana"/>
                <w:b/>
                <w:sz w:val="20"/>
                <w:lang w:val="es-E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5C5D87" w:rsidRDefault="00AE658F" w:rsidP="005C5D87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5C5D87">
              <w:rPr>
                <w:rFonts w:ascii="Verdana" w:eastAsia="SimSun" w:hAnsi="Verdana" w:cs="Traditional Arabic"/>
                <w:b/>
                <w:sz w:val="20"/>
                <w:lang w:val="es-ES"/>
              </w:rPr>
              <w:t>Addéndum 12 al</w:t>
            </w:r>
            <w:r w:rsidRPr="005C5D87">
              <w:rPr>
                <w:rFonts w:ascii="Verdana" w:eastAsia="SimSun" w:hAnsi="Verdana" w:cs="Traditional Arabic"/>
                <w:b/>
                <w:sz w:val="20"/>
                <w:lang w:val="es-ES"/>
              </w:rPr>
              <w:br/>
              <w:t>Documento 85</w:t>
            </w:r>
            <w:r w:rsidR="0090121B" w:rsidRPr="005C5D87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5C5D87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5C5D87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5C5D87" w:rsidRDefault="000A5B9A" w:rsidP="005C5D87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5C5D87" w:rsidRDefault="000A5B9A" w:rsidP="005C5D87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5C5D87">
              <w:rPr>
                <w:rFonts w:ascii="Verdana" w:hAnsi="Verdana"/>
                <w:b/>
                <w:sz w:val="20"/>
                <w:lang w:val="es-ES"/>
              </w:rPr>
              <w:t>16 de octubre de 2015</w:t>
            </w:r>
          </w:p>
        </w:tc>
      </w:tr>
      <w:tr w:rsidR="000A5B9A" w:rsidRPr="005C5D87" w:rsidTr="0090121B">
        <w:trPr>
          <w:cantSplit/>
        </w:trPr>
        <w:tc>
          <w:tcPr>
            <w:tcW w:w="6911" w:type="dxa"/>
          </w:tcPr>
          <w:p w:rsidR="000A5B9A" w:rsidRPr="005C5D87" w:rsidRDefault="000A5B9A" w:rsidP="005C5D87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</w:tcPr>
          <w:p w:rsidR="000A5B9A" w:rsidRPr="005C5D87" w:rsidRDefault="000A5B9A" w:rsidP="005C5D87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5C5D87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0A5B9A" w:rsidRPr="005C5D87" w:rsidTr="006744FC">
        <w:trPr>
          <w:cantSplit/>
        </w:trPr>
        <w:tc>
          <w:tcPr>
            <w:tcW w:w="10031" w:type="dxa"/>
            <w:gridSpan w:val="2"/>
          </w:tcPr>
          <w:p w:rsidR="000A5B9A" w:rsidRPr="005C5D87" w:rsidRDefault="000A5B9A" w:rsidP="005C5D87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</w:p>
        </w:tc>
      </w:tr>
      <w:tr w:rsidR="000A5B9A" w:rsidRPr="005C5D87" w:rsidTr="0050008E">
        <w:trPr>
          <w:cantSplit/>
        </w:trPr>
        <w:tc>
          <w:tcPr>
            <w:tcW w:w="10031" w:type="dxa"/>
            <w:gridSpan w:val="2"/>
          </w:tcPr>
          <w:p w:rsidR="000A5B9A" w:rsidRPr="005C5D87" w:rsidRDefault="000A5B9A" w:rsidP="005C5D87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5C5D87">
              <w:rPr>
                <w:lang w:val="es-ES"/>
              </w:rPr>
              <w:t>Burundi (República de)/Kenya (República de)/Uganda (República de)/Rwanda (República de)/Tanzanía (República Unida de)</w:t>
            </w:r>
          </w:p>
        </w:tc>
      </w:tr>
      <w:tr w:rsidR="000A5B9A" w:rsidRPr="005C5D87" w:rsidTr="0050008E">
        <w:trPr>
          <w:cantSplit/>
        </w:trPr>
        <w:tc>
          <w:tcPr>
            <w:tcW w:w="10031" w:type="dxa"/>
            <w:gridSpan w:val="2"/>
          </w:tcPr>
          <w:p w:rsidR="000A5B9A" w:rsidRPr="005C5D87" w:rsidRDefault="00BF08BA" w:rsidP="005C5D87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5C5D87">
              <w:rPr>
                <w:lang w:val="es-ES"/>
              </w:rPr>
              <w:t>propuestas para los trabajos de la conferencia</w:t>
            </w:r>
          </w:p>
        </w:tc>
      </w:tr>
      <w:tr w:rsidR="000A5B9A" w:rsidRPr="005C5D87" w:rsidTr="0050008E">
        <w:trPr>
          <w:cantSplit/>
        </w:trPr>
        <w:tc>
          <w:tcPr>
            <w:tcW w:w="10031" w:type="dxa"/>
            <w:gridSpan w:val="2"/>
          </w:tcPr>
          <w:p w:rsidR="000A5B9A" w:rsidRPr="005C5D87" w:rsidRDefault="000A5B9A" w:rsidP="005C5D87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:rsidRPr="005C5D87" w:rsidTr="0050008E">
        <w:trPr>
          <w:cantSplit/>
        </w:trPr>
        <w:tc>
          <w:tcPr>
            <w:tcW w:w="10031" w:type="dxa"/>
            <w:gridSpan w:val="2"/>
          </w:tcPr>
          <w:p w:rsidR="000A5B9A" w:rsidRPr="005C5D87" w:rsidRDefault="000A5B9A" w:rsidP="005C5D87">
            <w:pPr>
              <w:pStyle w:val="Agendaitem"/>
              <w:rPr>
                <w:lang w:val="es-ES"/>
              </w:rPr>
            </w:pPr>
            <w:bookmarkStart w:id="5" w:name="dtitle3" w:colFirst="0" w:colLast="0"/>
            <w:bookmarkEnd w:id="4"/>
            <w:r w:rsidRPr="005C5D87">
              <w:rPr>
                <w:lang w:val="es-ES"/>
              </w:rPr>
              <w:t>Punto 1.12 del orden del día</w:t>
            </w:r>
          </w:p>
        </w:tc>
      </w:tr>
    </w:tbl>
    <w:bookmarkEnd w:id="5"/>
    <w:p w:rsidR="001C0E40" w:rsidRPr="005C5D87" w:rsidRDefault="00EC0E43" w:rsidP="005C5D87">
      <w:pPr>
        <w:rPr>
          <w:lang w:val="es-ES"/>
        </w:rPr>
      </w:pPr>
      <w:r w:rsidRPr="005C5D87">
        <w:rPr>
          <w:lang w:val="es-ES"/>
        </w:rPr>
        <w:t>1.12</w:t>
      </w:r>
      <w:r w:rsidRPr="005C5D87">
        <w:rPr>
          <w:lang w:val="es-ES"/>
        </w:rPr>
        <w:tab/>
        <w:t>considerar una ampliación de la actual atribución mundial al servicio de exploración de la Tierra por satélite (activo) en la banda de frecuencias 9 300-9 900 MHz, de hasta 600 MHz, en las bandas de frecuencias 8 700-9 300 MHz y/o 9</w:t>
      </w:r>
      <w:r w:rsidRPr="005C5D87">
        <w:rPr>
          <w:sz w:val="16"/>
          <w:szCs w:val="16"/>
          <w:lang w:val="es-ES"/>
        </w:rPr>
        <w:t> </w:t>
      </w:r>
      <w:r w:rsidRPr="005C5D87">
        <w:rPr>
          <w:lang w:val="es-ES"/>
        </w:rPr>
        <w:t>900-10</w:t>
      </w:r>
      <w:r w:rsidRPr="005C5D87">
        <w:rPr>
          <w:sz w:val="16"/>
          <w:szCs w:val="16"/>
          <w:lang w:val="es-ES"/>
        </w:rPr>
        <w:t> </w:t>
      </w:r>
      <w:r w:rsidRPr="005C5D87">
        <w:rPr>
          <w:lang w:val="es-ES"/>
        </w:rPr>
        <w:t>500 MHz, de conformidad con la Resolución </w:t>
      </w:r>
      <w:r w:rsidRPr="005C5D87">
        <w:rPr>
          <w:b/>
          <w:bCs/>
          <w:lang w:val="es-ES"/>
        </w:rPr>
        <w:t>651 (CMR-12)</w:t>
      </w:r>
      <w:r w:rsidRPr="005C5D87">
        <w:rPr>
          <w:lang w:val="es-ES"/>
        </w:rPr>
        <w:t>;</w:t>
      </w:r>
    </w:p>
    <w:p w:rsidR="00273D02" w:rsidRPr="005C5D87" w:rsidRDefault="00BF08BA" w:rsidP="005C5D87">
      <w:pPr>
        <w:pStyle w:val="Headingb"/>
        <w:rPr>
          <w:lang w:val="es-ES"/>
        </w:rPr>
      </w:pPr>
      <w:r w:rsidRPr="005C5D87">
        <w:t>Introducción</w:t>
      </w:r>
    </w:p>
    <w:p w:rsidR="001B7CA7" w:rsidRPr="001F2143" w:rsidRDefault="001B7CA7" w:rsidP="005C5D87">
      <w:pPr>
        <w:rPr>
          <w:lang w:val="es-ES"/>
        </w:rPr>
      </w:pPr>
      <w:r w:rsidRPr="005C5D87">
        <w:rPr>
          <w:lang w:val="es-ES"/>
        </w:rPr>
        <w:t xml:space="preserve">La creciente demanda de imágenes de radar de mayor resolución para proceder al seguimiento del medio ambiente a escala mundial hace necesario aumentar de nuevo el ancho de banda utilizado para la transmisión de </w:t>
      </w:r>
      <w:r w:rsidRPr="001F2143">
        <w:rPr>
          <w:lang w:val="es-ES"/>
        </w:rPr>
        <w:t>radar de impulsos modulados con MF lineal de la próxima generación de RAS del SETS.</w:t>
      </w:r>
    </w:p>
    <w:p w:rsidR="001B7CA7" w:rsidRPr="001F2143" w:rsidRDefault="001B7CA7" w:rsidP="005C5D87">
      <w:pPr>
        <w:rPr>
          <w:lang w:val="es-ES"/>
        </w:rPr>
      </w:pPr>
      <w:r w:rsidRPr="001F2143">
        <w:rPr>
          <w:lang w:val="es-ES"/>
        </w:rPr>
        <w:t>En la Resolución 651 (CMR-12) se invita al UIT-R a llevar a cabo y terminar estudios de compatibilidad entre el SETS (activo) y los servicios existentes en las bandas de frecuencia 8 700</w:t>
      </w:r>
      <w:r w:rsidRPr="001F2143">
        <w:rPr>
          <w:lang w:val="es-ES"/>
        </w:rPr>
        <w:noBreakHyphen/>
        <w:t>9 300 MHz y 9 900</w:t>
      </w:r>
      <w:r w:rsidRPr="001F2143">
        <w:rPr>
          <w:lang w:val="es-ES"/>
        </w:rPr>
        <w:noBreakHyphen/>
        <w:t>10 500 MHz, y las emisiones no deseadas causadas por las estaciones que funcionan en el SETS (activo) en estas bandas de frecuencia a las estaciones que funcionan en las bandas de frecuencia 8 400-8 500 MHz y 10,6</w:t>
      </w:r>
      <w:r w:rsidRPr="001F2143">
        <w:rPr>
          <w:lang w:val="es-ES"/>
        </w:rPr>
        <w:noBreakHyphen/>
        <w:t>10,7 GHz.</w:t>
      </w:r>
    </w:p>
    <w:p w:rsidR="00273D02" w:rsidRPr="005C5D87" w:rsidRDefault="00BF08BA" w:rsidP="005C5D87">
      <w:pPr>
        <w:rPr>
          <w:lang w:val="es-ES"/>
        </w:rPr>
      </w:pPr>
      <w:r w:rsidRPr="001F2143">
        <w:rPr>
          <w:lang w:val="es-ES"/>
        </w:rPr>
        <w:t xml:space="preserve">Mayoritariamente, en los países miembros de la </w:t>
      </w:r>
      <w:r w:rsidR="00273D02" w:rsidRPr="001F2143">
        <w:rPr>
          <w:lang w:val="es-ES"/>
        </w:rPr>
        <w:t>EACO (BDI</w:t>
      </w:r>
      <w:r w:rsidR="00273D02" w:rsidRPr="005C5D87">
        <w:rPr>
          <w:lang w:val="es-ES"/>
        </w:rPr>
        <w:t>/KEN/RRW/TZA/UGA)</w:t>
      </w:r>
      <w:r w:rsidR="00D76C9D" w:rsidRPr="005C5D87">
        <w:rPr>
          <w:lang w:val="es-ES"/>
        </w:rPr>
        <w:t xml:space="preserve"> las bandas propuestas están atribuidas a los servicios de radiolocalización.</w:t>
      </w:r>
    </w:p>
    <w:p w:rsidR="00273D02" w:rsidRPr="005C5D87" w:rsidRDefault="00BF08BA" w:rsidP="005C5D87">
      <w:pPr>
        <w:rPr>
          <w:lang w:val="es-ES"/>
        </w:rPr>
      </w:pPr>
      <w:r w:rsidRPr="005C5D87">
        <w:rPr>
          <w:lang w:val="es-ES"/>
        </w:rPr>
        <w:t xml:space="preserve">Los países miembros de la </w:t>
      </w:r>
      <w:r w:rsidR="00273D02" w:rsidRPr="005C5D87">
        <w:rPr>
          <w:lang w:val="es-ES"/>
        </w:rPr>
        <w:t xml:space="preserve">EACO </w:t>
      </w:r>
      <w:r w:rsidRPr="005C5D87">
        <w:rPr>
          <w:lang w:val="es-ES"/>
        </w:rPr>
        <w:t>apoyan el Método B1 propuesto en el Informe de la RPC</w:t>
      </w:r>
      <w:r w:rsidR="00273D02" w:rsidRPr="005C5D87">
        <w:rPr>
          <w:lang w:val="es-ES"/>
        </w:rPr>
        <w:t>.</w:t>
      </w:r>
    </w:p>
    <w:p w:rsidR="00273D02" w:rsidRPr="005C5D87" w:rsidRDefault="00A07654" w:rsidP="005C5D87">
      <w:pPr>
        <w:pStyle w:val="Headingb"/>
        <w:rPr>
          <w:lang w:val="es-ES"/>
        </w:rPr>
      </w:pPr>
      <w:r w:rsidRPr="005C5D87">
        <w:rPr>
          <w:lang w:val="es-ES"/>
        </w:rPr>
        <w:t>Propuesta</w:t>
      </w:r>
    </w:p>
    <w:p w:rsidR="00273D02" w:rsidRPr="005C5D87" w:rsidRDefault="00273D02" w:rsidP="005C5D87">
      <w:pPr>
        <w:rPr>
          <w:lang w:val="es-ES"/>
        </w:rPr>
      </w:pPr>
      <w:r w:rsidRPr="005C5D87">
        <w:rPr>
          <w:lang w:val="es-ES"/>
        </w:rPr>
        <w:t>BDI/KEN/RRW/TZA/UGA (</w:t>
      </w:r>
      <w:r w:rsidR="00BF08BA" w:rsidRPr="005C5D87">
        <w:rPr>
          <w:lang w:val="es-ES"/>
        </w:rPr>
        <w:t xml:space="preserve">países miembros de la </w:t>
      </w:r>
      <w:r w:rsidRPr="005C5D87">
        <w:rPr>
          <w:lang w:val="es-ES"/>
        </w:rPr>
        <w:t xml:space="preserve">EACO) </w:t>
      </w:r>
      <w:r w:rsidR="00BF08BA" w:rsidRPr="005C5D87">
        <w:rPr>
          <w:lang w:val="es-ES"/>
        </w:rPr>
        <w:t>proponen lo siguiente respecto del punto 1.12 del orden del día de la CMR-15</w:t>
      </w:r>
      <w:r w:rsidRPr="005C5D87">
        <w:rPr>
          <w:lang w:val="es-ES"/>
        </w:rPr>
        <w:t>.</w:t>
      </w:r>
    </w:p>
    <w:p w:rsidR="008750A8" w:rsidRPr="005C5D87" w:rsidRDefault="008750A8" w:rsidP="005C5D8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5C5D87">
        <w:rPr>
          <w:lang w:val="es-ES"/>
        </w:rPr>
        <w:br w:type="page"/>
      </w:r>
    </w:p>
    <w:p w:rsidR="00F008F3" w:rsidRPr="005C5D87" w:rsidRDefault="00EC0E43" w:rsidP="005C5D87">
      <w:pPr>
        <w:pStyle w:val="ArtNo"/>
        <w:rPr>
          <w:lang w:val="es-ES"/>
        </w:rPr>
      </w:pPr>
      <w:r w:rsidRPr="005C5D87">
        <w:rPr>
          <w:lang w:val="es-ES"/>
        </w:rPr>
        <w:lastRenderedPageBreak/>
        <w:t xml:space="preserve">ARTÍCULO </w:t>
      </w:r>
      <w:r w:rsidRPr="005C5D87">
        <w:rPr>
          <w:rStyle w:val="href"/>
          <w:lang w:val="es-ES"/>
        </w:rPr>
        <w:t>5</w:t>
      </w:r>
    </w:p>
    <w:p w:rsidR="00F008F3" w:rsidRPr="005C5D87" w:rsidRDefault="00EC0E43" w:rsidP="005C5D87">
      <w:pPr>
        <w:pStyle w:val="Arttitle"/>
        <w:rPr>
          <w:lang w:val="es-ES"/>
        </w:rPr>
      </w:pPr>
      <w:r w:rsidRPr="005C5D87">
        <w:rPr>
          <w:lang w:val="es-ES"/>
        </w:rPr>
        <w:t>Atribuciones de frecuencia</w:t>
      </w:r>
    </w:p>
    <w:p w:rsidR="00F008F3" w:rsidRPr="005C5D87" w:rsidRDefault="00EC0E43" w:rsidP="005C5D87">
      <w:pPr>
        <w:pStyle w:val="Section1"/>
        <w:rPr>
          <w:lang w:val="es-ES"/>
        </w:rPr>
      </w:pPr>
      <w:r w:rsidRPr="005C5D87">
        <w:rPr>
          <w:lang w:val="es-ES"/>
        </w:rPr>
        <w:t>Sección IV – Cuadro de atribución de bandas de frecuencias</w:t>
      </w:r>
      <w:r w:rsidRPr="005C5D87">
        <w:rPr>
          <w:lang w:val="es-ES"/>
        </w:rPr>
        <w:br/>
      </w:r>
      <w:r w:rsidRPr="005C5D87">
        <w:rPr>
          <w:b w:val="0"/>
          <w:bCs/>
          <w:lang w:val="es-ES"/>
        </w:rPr>
        <w:t>(Véase el número</w:t>
      </w:r>
      <w:r w:rsidRPr="005C5D87">
        <w:rPr>
          <w:lang w:val="es-ES"/>
        </w:rPr>
        <w:t xml:space="preserve"> </w:t>
      </w:r>
      <w:r w:rsidRPr="005C5D87">
        <w:rPr>
          <w:rStyle w:val="Artref"/>
          <w:lang w:val="es-ES"/>
        </w:rPr>
        <w:t>2.1</w:t>
      </w:r>
      <w:r w:rsidRPr="005C5D87">
        <w:rPr>
          <w:b w:val="0"/>
          <w:bCs/>
          <w:lang w:val="es-ES"/>
        </w:rPr>
        <w:t>)</w:t>
      </w:r>
      <w:r w:rsidRPr="005C5D87">
        <w:rPr>
          <w:lang w:val="es-ES"/>
        </w:rPr>
        <w:br/>
      </w:r>
    </w:p>
    <w:p w:rsidR="00C55A6D" w:rsidRPr="005C5D87" w:rsidRDefault="00EC0E43" w:rsidP="005C5D87">
      <w:pPr>
        <w:pStyle w:val="Proposal"/>
        <w:rPr>
          <w:lang w:val="es-ES"/>
        </w:rPr>
      </w:pPr>
      <w:r w:rsidRPr="005C5D87">
        <w:rPr>
          <w:lang w:val="es-ES"/>
        </w:rPr>
        <w:t>MOD</w:t>
      </w:r>
      <w:r w:rsidRPr="005C5D87">
        <w:rPr>
          <w:lang w:val="es-ES"/>
        </w:rPr>
        <w:tab/>
        <w:t>BDI/KEN/UGA/RRW/TZA/85A12/1</w:t>
      </w:r>
    </w:p>
    <w:p w:rsidR="0017749A" w:rsidRPr="005C5D87" w:rsidRDefault="0017749A" w:rsidP="005C5D87">
      <w:pPr>
        <w:rPr>
          <w:lang w:val="es-ES"/>
        </w:rPr>
      </w:pPr>
    </w:p>
    <w:p w:rsidR="00F008F3" w:rsidRPr="005C5D87" w:rsidRDefault="00EC0E43" w:rsidP="005C5D87">
      <w:pPr>
        <w:pStyle w:val="Tabletitle"/>
        <w:rPr>
          <w:lang w:val="es-ES"/>
        </w:rPr>
      </w:pPr>
      <w:r w:rsidRPr="005C5D87">
        <w:rPr>
          <w:lang w:val="es-ES"/>
        </w:rPr>
        <w:t>8 500-10 000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5C5D87" w:rsidTr="00880953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C5D87" w:rsidRDefault="00EC0E43" w:rsidP="005C5D87">
            <w:pPr>
              <w:pStyle w:val="Tablehead"/>
              <w:rPr>
                <w:color w:val="000000"/>
                <w:lang w:val="es-ES"/>
              </w:rPr>
            </w:pPr>
            <w:r w:rsidRPr="005C5D87">
              <w:rPr>
                <w:color w:val="000000"/>
                <w:lang w:val="es-ES"/>
              </w:rPr>
              <w:t>Atribución a los servicios</w:t>
            </w:r>
          </w:p>
        </w:tc>
      </w:tr>
      <w:tr w:rsidR="00F008F3" w:rsidRPr="005C5D87" w:rsidTr="00880953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C5D87" w:rsidRDefault="00EC0E43" w:rsidP="005C5D87">
            <w:pPr>
              <w:pStyle w:val="Tablehead"/>
              <w:rPr>
                <w:color w:val="000000"/>
                <w:lang w:val="es-ES"/>
              </w:rPr>
            </w:pPr>
            <w:r w:rsidRPr="005C5D87">
              <w:rPr>
                <w:color w:val="000000"/>
                <w:lang w:val="es-ES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C5D87" w:rsidRDefault="00EC0E43" w:rsidP="005C5D87">
            <w:pPr>
              <w:pStyle w:val="Tablehead"/>
              <w:rPr>
                <w:color w:val="000000"/>
                <w:lang w:val="es-ES"/>
              </w:rPr>
            </w:pPr>
            <w:r w:rsidRPr="005C5D87">
              <w:rPr>
                <w:color w:val="000000"/>
                <w:lang w:val="es-ES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C5D87" w:rsidRDefault="00EC0E43" w:rsidP="005C5D87">
            <w:pPr>
              <w:pStyle w:val="Tablehead"/>
              <w:rPr>
                <w:color w:val="000000"/>
                <w:lang w:val="es-ES"/>
              </w:rPr>
            </w:pPr>
            <w:r w:rsidRPr="005C5D87">
              <w:rPr>
                <w:color w:val="000000"/>
                <w:lang w:val="es-ES"/>
              </w:rPr>
              <w:t>Región 3</w:t>
            </w:r>
          </w:p>
        </w:tc>
      </w:tr>
      <w:tr w:rsidR="00F008F3" w:rsidRPr="005C5D87" w:rsidTr="00782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BA" w:rsidRPr="005C5D87" w:rsidRDefault="00EC0E43" w:rsidP="005C5D87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ins w:id="6" w:author="Spanish" w:date="2015-10-22T10:13:00Z"/>
                <w:color w:val="000000"/>
                <w:lang w:val="es-ES"/>
              </w:rPr>
            </w:pPr>
            <w:r w:rsidRPr="005C5D87">
              <w:rPr>
                <w:rStyle w:val="Tablefreq"/>
                <w:color w:val="000000"/>
                <w:lang w:val="es-ES"/>
              </w:rPr>
              <w:t>9</w:t>
            </w:r>
            <w:r w:rsidRPr="005C5D87">
              <w:rPr>
                <w:rStyle w:val="Tablefreq"/>
                <w:rFonts w:ascii="Tms Rmn" w:hAnsi="Tms Rmn" w:cs="Tms Rmn"/>
                <w:color w:val="000000"/>
                <w:sz w:val="12"/>
                <w:szCs w:val="12"/>
                <w:lang w:val="es-ES"/>
              </w:rPr>
              <w:t> </w:t>
            </w:r>
            <w:r w:rsidRPr="005C5D87">
              <w:rPr>
                <w:rStyle w:val="Tablefreq"/>
                <w:color w:val="000000"/>
                <w:lang w:val="es-ES"/>
              </w:rPr>
              <w:t>200-9</w:t>
            </w:r>
            <w:r w:rsidRPr="005C5D87">
              <w:rPr>
                <w:rStyle w:val="Tablefreq"/>
                <w:rFonts w:ascii="Tms Rmn" w:hAnsi="Tms Rmn" w:cs="Tms Rmn"/>
                <w:color w:val="000000"/>
                <w:sz w:val="12"/>
                <w:szCs w:val="12"/>
                <w:lang w:val="es-ES"/>
              </w:rPr>
              <w:t> </w:t>
            </w:r>
            <w:r w:rsidRPr="005C5D87">
              <w:rPr>
                <w:rStyle w:val="Tablefreq"/>
                <w:color w:val="000000"/>
                <w:lang w:val="es-ES"/>
              </w:rPr>
              <w:t>300</w:t>
            </w:r>
            <w:r w:rsidRPr="005C5D87">
              <w:rPr>
                <w:color w:val="000000"/>
                <w:lang w:val="es-ES"/>
              </w:rPr>
              <w:tab/>
            </w:r>
            <w:ins w:id="7" w:author="Spanish" w:date="2015-10-22T10:13:00Z">
              <w:r w:rsidR="00BF08BA" w:rsidRPr="005C5D87">
                <w:rPr>
                  <w:color w:val="000000"/>
                  <w:lang w:val="es-ES"/>
                </w:rPr>
                <w:t>EXPLORACIÓN DE LA TIERRA POR SATÉLITE (activo) ADD 5.A112</w:t>
              </w:r>
            </w:ins>
          </w:p>
          <w:p w:rsidR="00F008F3" w:rsidRPr="005C5D87" w:rsidRDefault="00FA7FBF" w:rsidP="005C5D87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ab/>
            </w:r>
            <w:r w:rsidR="00EC0E43" w:rsidRPr="005C5D87">
              <w:rPr>
                <w:color w:val="000000"/>
                <w:lang w:val="es-ES"/>
              </w:rPr>
              <w:t>RADIOLOCALIZACIÓN</w:t>
            </w:r>
          </w:p>
          <w:p w:rsidR="00F008F3" w:rsidRPr="005C5D87" w:rsidRDefault="00EC0E43" w:rsidP="005C5D87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  <w:lang w:val="es-ES"/>
              </w:rPr>
            </w:pPr>
            <w:r w:rsidRPr="005C5D87">
              <w:rPr>
                <w:color w:val="000000"/>
                <w:lang w:val="es-ES"/>
              </w:rPr>
              <w:tab/>
              <w:t xml:space="preserve">RADIONAVEGACIÓN MARÍTIMA  </w:t>
            </w:r>
            <w:r w:rsidRPr="005C5D87">
              <w:rPr>
                <w:rStyle w:val="Artref"/>
                <w:color w:val="000000"/>
                <w:lang w:val="es-ES"/>
              </w:rPr>
              <w:t>5.472</w:t>
            </w:r>
          </w:p>
          <w:p w:rsidR="00F008F3" w:rsidRPr="005C5D87" w:rsidRDefault="00EC0E43" w:rsidP="005C5D87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b/>
                <w:bCs/>
                <w:color w:val="000000"/>
                <w:lang w:val="es-ES"/>
              </w:rPr>
            </w:pPr>
            <w:r w:rsidRPr="005C5D87">
              <w:rPr>
                <w:color w:val="000000"/>
                <w:lang w:val="es-ES"/>
              </w:rPr>
              <w:tab/>
            </w:r>
            <w:r w:rsidRPr="005C5D87">
              <w:rPr>
                <w:rStyle w:val="Artref10pt"/>
                <w:lang w:val="es-ES"/>
              </w:rPr>
              <w:t>5.473</w:t>
            </w:r>
            <w:r w:rsidRPr="005C5D87">
              <w:rPr>
                <w:color w:val="000000"/>
                <w:lang w:val="es-ES"/>
              </w:rPr>
              <w:t xml:space="preserve">  </w:t>
            </w:r>
            <w:r w:rsidRPr="005C5D87">
              <w:rPr>
                <w:rStyle w:val="Artref10pt"/>
                <w:lang w:val="es-ES"/>
              </w:rPr>
              <w:t>5.474</w:t>
            </w:r>
            <w:ins w:id="8" w:author="Spanish" w:date="2015-10-22T10:14:00Z">
              <w:r w:rsidR="00BF08BA" w:rsidRPr="005C5D87">
                <w:rPr>
                  <w:rStyle w:val="Artref10pt"/>
                  <w:lang w:val="es-ES"/>
                </w:rPr>
                <w:t xml:space="preserve"> ADD 5.B112 ADD 5.C112 ADD 5.D112</w:t>
              </w:r>
            </w:ins>
          </w:p>
        </w:tc>
      </w:tr>
      <w:tr w:rsidR="00880953" w:rsidRPr="005C5D87" w:rsidTr="00782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3" w:rsidRPr="005C5D87" w:rsidRDefault="0017749A" w:rsidP="005C5D87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b/>
                <w:bCs/>
                <w:color w:val="000000"/>
                <w:lang w:val="es-ES"/>
              </w:rPr>
            </w:pPr>
            <w:r w:rsidRPr="005C5D87">
              <w:rPr>
                <w:rStyle w:val="Tablefreq"/>
                <w:b w:val="0"/>
                <w:bCs/>
                <w:lang w:val="es-ES"/>
              </w:rPr>
              <w:t>...</w:t>
            </w:r>
          </w:p>
        </w:tc>
      </w:tr>
      <w:tr w:rsidR="00880953" w:rsidRPr="005C5D87" w:rsidTr="00782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9A" w:rsidRPr="005C5D87" w:rsidRDefault="00EC0E43" w:rsidP="00FA7FB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b/>
                <w:bCs/>
                <w:lang w:val="es-ES"/>
              </w:rPr>
            </w:pPr>
            <w:r w:rsidRPr="005C5D87">
              <w:rPr>
                <w:rStyle w:val="Tablefreq"/>
                <w:color w:val="000000"/>
                <w:lang w:val="es-ES"/>
              </w:rPr>
              <w:t>9</w:t>
            </w:r>
            <w:r w:rsidRPr="005C5D87">
              <w:rPr>
                <w:rStyle w:val="Tablefreq"/>
                <w:rFonts w:ascii="Tms Rmn" w:hAnsi="Tms Rmn" w:cs="Tms Rmn"/>
                <w:color w:val="000000"/>
                <w:sz w:val="12"/>
                <w:szCs w:val="12"/>
                <w:lang w:val="es-ES"/>
              </w:rPr>
              <w:t> </w:t>
            </w:r>
            <w:r w:rsidRPr="005C5D87">
              <w:rPr>
                <w:rStyle w:val="Tablefreq"/>
                <w:color w:val="000000"/>
                <w:lang w:val="es-ES"/>
              </w:rPr>
              <w:t>900-10</w:t>
            </w:r>
            <w:r w:rsidRPr="005C5D87">
              <w:rPr>
                <w:rStyle w:val="Tablefreq"/>
                <w:rFonts w:ascii="Tms Rmn" w:hAnsi="Tms Rmn" w:cs="Tms Rmn"/>
                <w:color w:val="000000"/>
                <w:sz w:val="12"/>
                <w:szCs w:val="12"/>
                <w:lang w:val="es-ES"/>
              </w:rPr>
              <w:t> </w:t>
            </w:r>
            <w:r w:rsidRPr="005C5D87">
              <w:rPr>
                <w:rStyle w:val="Tablefreq"/>
                <w:color w:val="000000"/>
                <w:lang w:val="es-ES"/>
              </w:rPr>
              <w:t>000</w:t>
            </w:r>
            <w:r w:rsidRPr="005C5D87">
              <w:rPr>
                <w:b/>
                <w:bCs/>
                <w:lang w:val="es-ES"/>
              </w:rPr>
              <w:tab/>
            </w:r>
            <w:ins w:id="9" w:author="Satorre" w:date="2014-06-11T11:36:00Z">
              <w:r w:rsidR="0017749A" w:rsidRPr="005C5D87">
                <w:rPr>
                  <w:rFonts w:eastAsia="SimSun"/>
                  <w:lang w:val="es-ES"/>
                </w:rPr>
                <w:t>EXPLORACI</w:t>
              </w:r>
            </w:ins>
            <w:ins w:id="10" w:author="Satorre" w:date="2014-06-11T11:37:00Z">
              <w:r w:rsidR="0017749A" w:rsidRPr="005C5D87">
                <w:rPr>
                  <w:rFonts w:eastAsia="SimSun"/>
                  <w:lang w:val="es-ES"/>
                </w:rPr>
                <w:t>ÓN DE LA TIERRA POR SATÉLITE (activo)</w:t>
              </w:r>
            </w:ins>
            <w:ins w:id="11" w:author="WG 7C-3 AI 1.12" w:date="2014-05-11T17:54:00Z">
              <w:r w:rsidR="0017749A" w:rsidRPr="005C5D87">
                <w:rPr>
                  <w:lang w:val="es-ES"/>
                </w:rPr>
                <w:t xml:space="preserve"> ADD 5.A112</w:t>
              </w:r>
            </w:ins>
          </w:p>
          <w:p w:rsidR="00880953" w:rsidRPr="005C5D87" w:rsidRDefault="0017749A" w:rsidP="005C5D87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  <w:lang w:val="es-ES"/>
              </w:rPr>
            </w:pPr>
            <w:r w:rsidRPr="005C5D87">
              <w:rPr>
                <w:color w:val="000000"/>
                <w:lang w:val="es-ES"/>
              </w:rPr>
              <w:tab/>
            </w:r>
            <w:r w:rsidR="00EC0E43" w:rsidRPr="005C5D87">
              <w:rPr>
                <w:color w:val="000000"/>
                <w:lang w:val="es-ES"/>
              </w:rPr>
              <w:t>RADIOLOCALIZACIÓN</w:t>
            </w:r>
          </w:p>
          <w:p w:rsidR="00880953" w:rsidRPr="005C5D87" w:rsidRDefault="00EC0E43" w:rsidP="005C5D87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  <w:lang w:val="es-ES"/>
              </w:rPr>
            </w:pPr>
            <w:r w:rsidRPr="005C5D87">
              <w:rPr>
                <w:color w:val="000000"/>
                <w:lang w:val="es-ES"/>
              </w:rPr>
              <w:tab/>
              <w:t>Fijo</w:t>
            </w:r>
          </w:p>
          <w:p w:rsidR="00880953" w:rsidRPr="005C5D87" w:rsidRDefault="00EC0E43" w:rsidP="005C5D87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rStyle w:val="Tablefreq"/>
                <w:color w:val="000000"/>
                <w:lang w:val="es-ES"/>
              </w:rPr>
            </w:pPr>
            <w:r w:rsidRPr="005C5D87">
              <w:rPr>
                <w:color w:val="000000"/>
                <w:lang w:val="es-ES"/>
              </w:rPr>
              <w:tab/>
            </w:r>
            <w:r w:rsidRPr="005C5D87">
              <w:rPr>
                <w:rStyle w:val="Artref10pt"/>
                <w:lang w:val="es-ES"/>
              </w:rPr>
              <w:t>5.477</w:t>
            </w:r>
            <w:r w:rsidRPr="005C5D87">
              <w:rPr>
                <w:color w:val="000000"/>
                <w:lang w:val="es-ES"/>
              </w:rPr>
              <w:t xml:space="preserve">  </w:t>
            </w:r>
            <w:r w:rsidRPr="005C5D87">
              <w:rPr>
                <w:rStyle w:val="Artref10pt"/>
                <w:lang w:val="es-ES"/>
              </w:rPr>
              <w:t>5.478</w:t>
            </w:r>
            <w:r w:rsidRPr="005C5D87">
              <w:rPr>
                <w:color w:val="000000"/>
                <w:lang w:val="es-ES"/>
              </w:rPr>
              <w:t xml:space="preserve">  </w:t>
            </w:r>
            <w:r w:rsidRPr="005C5D87">
              <w:rPr>
                <w:rStyle w:val="Artref10pt"/>
                <w:lang w:val="es-ES"/>
              </w:rPr>
              <w:t>5.479</w:t>
            </w:r>
            <w:r w:rsidR="0017749A" w:rsidRPr="005C5D87">
              <w:rPr>
                <w:rStyle w:val="Artref10pt"/>
                <w:lang w:val="es-ES"/>
              </w:rPr>
              <w:t xml:space="preserve"> </w:t>
            </w:r>
            <w:r w:rsidR="0017749A" w:rsidRPr="005C5D87">
              <w:rPr>
                <w:rFonts w:eastAsia="SimSun"/>
                <w:color w:val="000000"/>
                <w:lang w:val="es-ES" w:eastAsia="zh-CN"/>
              </w:rPr>
              <w:t xml:space="preserve"> </w:t>
            </w:r>
            <w:ins w:id="12" w:author="Spanish" w:date="2015-10-22T10:14:00Z">
              <w:r w:rsidR="00BF08BA" w:rsidRPr="005C5D87">
                <w:rPr>
                  <w:rFonts w:eastAsia="SimSun"/>
                  <w:color w:val="000000"/>
                  <w:lang w:val="es-ES" w:eastAsia="zh-CN"/>
                </w:rPr>
                <w:t>ADD 5.C112 ADD 5.E112</w:t>
              </w:r>
            </w:ins>
          </w:p>
        </w:tc>
      </w:tr>
    </w:tbl>
    <w:p w:rsidR="00C55A6D" w:rsidRPr="00C10C12" w:rsidRDefault="00EC0E43" w:rsidP="005C5D87">
      <w:pPr>
        <w:pStyle w:val="Reasons"/>
        <w:rPr>
          <w:lang w:val="es-ES"/>
        </w:rPr>
      </w:pPr>
      <w:r w:rsidRPr="005C5D87">
        <w:rPr>
          <w:b/>
          <w:lang w:val="es-ES"/>
        </w:rPr>
        <w:t>Motivos:</w:t>
      </w:r>
      <w:r w:rsidRPr="005C5D87">
        <w:rPr>
          <w:lang w:val="es-ES"/>
        </w:rPr>
        <w:tab/>
      </w:r>
      <w:r w:rsidR="00B92445" w:rsidRPr="005C5D87">
        <w:rPr>
          <w:lang w:val="es-ES"/>
        </w:rPr>
        <w:t xml:space="preserve">Se otorga una atribución de </w:t>
      </w:r>
      <w:r w:rsidR="00B92445" w:rsidRPr="00C10C12">
        <w:rPr>
          <w:lang w:val="es-ES"/>
        </w:rPr>
        <w:t>600 MHz adicional al SETS (activo) para los SAR de alta resolución, como pide la Resolución 651 (CMR-12) y justifica el Informe UIT-R RS.2274.</w:t>
      </w:r>
    </w:p>
    <w:p w:rsidR="00C55A6D" w:rsidRPr="005C5D87" w:rsidRDefault="00EC0E43" w:rsidP="005C5D87">
      <w:pPr>
        <w:pStyle w:val="Proposal"/>
        <w:rPr>
          <w:lang w:val="es-ES"/>
        </w:rPr>
      </w:pPr>
      <w:r w:rsidRPr="005C5D87">
        <w:rPr>
          <w:lang w:val="es-ES"/>
        </w:rPr>
        <w:t>MOD</w:t>
      </w:r>
      <w:r w:rsidRPr="005C5D87">
        <w:rPr>
          <w:lang w:val="es-ES"/>
        </w:rPr>
        <w:tab/>
        <w:t>BDI/KEN/UGA/RRW/TZA/85A12/2</w:t>
      </w:r>
    </w:p>
    <w:p w:rsidR="00D06ADF" w:rsidRPr="005C5D87" w:rsidRDefault="00D06ADF" w:rsidP="005C5D87">
      <w:pPr>
        <w:rPr>
          <w:lang w:val="es-ES"/>
        </w:rPr>
      </w:pPr>
    </w:p>
    <w:p w:rsidR="00F008F3" w:rsidRPr="005C5D87" w:rsidRDefault="00EC0E43" w:rsidP="005C5D87">
      <w:pPr>
        <w:pStyle w:val="Tabletitle"/>
        <w:rPr>
          <w:lang w:val="es-ES"/>
        </w:rPr>
      </w:pPr>
      <w:r w:rsidRPr="005C5D87">
        <w:rPr>
          <w:lang w:val="es-ES"/>
        </w:rPr>
        <w:t>10-11,7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5C5D87" w:rsidTr="00605BB4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C5D87" w:rsidRDefault="00EC0E43" w:rsidP="005C5D87">
            <w:pPr>
              <w:pStyle w:val="Tablehead"/>
              <w:rPr>
                <w:color w:val="000000"/>
                <w:lang w:val="es-ES"/>
              </w:rPr>
            </w:pPr>
            <w:r w:rsidRPr="005C5D87">
              <w:rPr>
                <w:color w:val="000000"/>
                <w:lang w:val="es-ES"/>
              </w:rPr>
              <w:t>Atribución a los servicios</w:t>
            </w:r>
          </w:p>
        </w:tc>
      </w:tr>
      <w:tr w:rsidR="00F008F3" w:rsidRPr="005C5D87" w:rsidTr="00605BB4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8F3" w:rsidRPr="005C5D87" w:rsidRDefault="00EC0E43" w:rsidP="005C5D87">
            <w:pPr>
              <w:pStyle w:val="Tablehead"/>
              <w:rPr>
                <w:color w:val="000000"/>
                <w:lang w:val="es-ES"/>
              </w:rPr>
            </w:pPr>
            <w:r w:rsidRPr="005C5D87">
              <w:rPr>
                <w:color w:val="000000"/>
                <w:lang w:val="es-ES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8F3" w:rsidRPr="005C5D87" w:rsidRDefault="00EC0E43" w:rsidP="005C5D87">
            <w:pPr>
              <w:pStyle w:val="Tablehead"/>
              <w:rPr>
                <w:color w:val="000000"/>
                <w:lang w:val="es-ES"/>
              </w:rPr>
            </w:pPr>
            <w:r w:rsidRPr="005C5D87">
              <w:rPr>
                <w:color w:val="000000"/>
                <w:lang w:val="es-ES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8F3" w:rsidRPr="005C5D87" w:rsidRDefault="00EC0E43" w:rsidP="005C5D87">
            <w:pPr>
              <w:pStyle w:val="Tablehead"/>
              <w:rPr>
                <w:color w:val="000000"/>
                <w:lang w:val="es-ES"/>
              </w:rPr>
            </w:pPr>
            <w:r w:rsidRPr="005C5D87">
              <w:rPr>
                <w:color w:val="000000"/>
                <w:lang w:val="es-ES"/>
              </w:rPr>
              <w:t>Región 3</w:t>
            </w:r>
          </w:p>
        </w:tc>
      </w:tr>
      <w:tr w:rsidR="00F008F3" w:rsidRPr="005C5D87" w:rsidTr="00605BB4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8F3" w:rsidRPr="005C5D87" w:rsidRDefault="00EC0E43" w:rsidP="005C5D87">
            <w:pPr>
              <w:pStyle w:val="TableTextS5"/>
              <w:rPr>
                <w:color w:val="000000"/>
                <w:lang w:val="es-ES"/>
              </w:rPr>
            </w:pPr>
            <w:r w:rsidRPr="005C5D87">
              <w:rPr>
                <w:rStyle w:val="Tablefreq"/>
                <w:color w:val="000000"/>
                <w:lang w:val="es-ES"/>
              </w:rPr>
              <w:t>10-10,4</w:t>
            </w:r>
            <w:del w:id="13" w:author="Spanish" w:date="2015-10-22T10:26:00Z">
              <w:r w:rsidRPr="005C5D87" w:rsidDel="00D76C9D">
                <w:rPr>
                  <w:rStyle w:val="Tablefreq"/>
                  <w:color w:val="000000"/>
                  <w:lang w:val="es-ES"/>
                </w:rPr>
                <w:delText>5</w:delText>
              </w:r>
            </w:del>
          </w:p>
          <w:p w:rsidR="00BF08BA" w:rsidRPr="005C5D87" w:rsidRDefault="00BF08BA" w:rsidP="005C5D87">
            <w:pPr>
              <w:pStyle w:val="TableTextS5"/>
              <w:rPr>
                <w:ins w:id="14" w:author="Spanish" w:date="2015-10-22T10:15:00Z"/>
                <w:color w:val="000000"/>
                <w:lang w:val="es-ES"/>
              </w:rPr>
            </w:pPr>
            <w:ins w:id="15" w:author="Spanish" w:date="2015-10-22T10:14:00Z">
              <w:r w:rsidRPr="005C5D87">
                <w:rPr>
                  <w:color w:val="000000"/>
                  <w:lang w:val="es-ES"/>
                </w:rPr>
                <w:t>EXPLORACIÓN DE LA TIERRA POR SAT</w:t>
              </w:r>
            </w:ins>
            <w:ins w:id="16" w:author="Spanish" w:date="2015-10-22T10:15:00Z">
              <w:r w:rsidRPr="005C5D87">
                <w:rPr>
                  <w:color w:val="000000"/>
                  <w:lang w:val="es-ES"/>
                </w:rPr>
                <w:t>ÉLITE (activo) ADD 5.A112</w:t>
              </w:r>
            </w:ins>
          </w:p>
          <w:p w:rsidR="00F008F3" w:rsidRPr="005C5D87" w:rsidRDefault="00EC0E43" w:rsidP="005C5D87">
            <w:pPr>
              <w:pStyle w:val="TableTextS5"/>
              <w:rPr>
                <w:color w:val="000000"/>
                <w:lang w:val="es-ES"/>
              </w:rPr>
            </w:pPr>
            <w:r w:rsidRPr="005C5D87">
              <w:rPr>
                <w:color w:val="000000"/>
                <w:lang w:val="es-ES"/>
              </w:rPr>
              <w:t>FIJO</w:t>
            </w:r>
          </w:p>
          <w:p w:rsidR="00F008F3" w:rsidRPr="005C5D87" w:rsidRDefault="00EC0E43" w:rsidP="005C5D87">
            <w:pPr>
              <w:pStyle w:val="TableTextS5"/>
              <w:rPr>
                <w:color w:val="000000"/>
                <w:lang w:val="es-ES"/>
              </w:rPr>
            </w:pPr>
            <w:r w:rsidRPr="005C5D87">
              <w:rPr>
                <w:color w:val="000000"/>
                <w:lang w:val="es-ES"/>
              </w:rPr>
              <w:t>MÓVIL</w:t>
            </w:r>
          </w:p>
          <w:p w:rsidR="00F008F3" w:rsidRPr="005C5D87" w:rsidRDefault="00EC0E43" w:rsidP="005C5D87">
            <w:pPr>
              <w:pStyle w:val="TableTextS5"/>
              <w:rPr>
                <w:color w:val="000000"/>
                <w:lang w:val="es-ES"/>
              </w:rPr>
            </w:pPr>
            <w:r w:rsidRPr="005C5D87">
              <w:rPr>
                <w:color w:val="000000"/>
                <w:lang w:val="es-ES"/>
              </w:rPr>
              <w:t>RADIOLOCALIZACIÓN</w:t>
            </w:r>
          </w:p>
          <w:p w:rsidR="00F008F3" w:rsidRPr="005C5D87" w:rsidRDefault="00EC0E43" w:rsidP="005C5D87">
            <w:pPr>
              <w:pStyle w:val="TableTextS5"/>
              <w:rPr>
                <w:color w:val="000000"/>
                <w:lang w:val="es-ES"/>
              </w:rPr>
            </w:pPr>
            <w:r w:rsidRPr="005C5D87">
              <w:rPr>
                <w:color w:val="000000"/>
                <w:lang w:val="es-ES"/>
              </w:rPr>
              <w:t>Aficionados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8F3" w:rsidRPr="005C5D87" w:rsidRDefault="00EC0E43" w:rsidP="005C5D87">
            <w:pPr>
              <w:pStyle w:val="TableTextS5"/>
              <w:rPr>
                <w:color w:val="000000"/>
                <w:lang w:val="es-ES"/>
              </w:rPr>
            </w:pPr>
            <w:r w:rsidRPr="005C5D87">
              <w:rPr>
                <w:rStyle w:val="Tablefreq"/>
                <w:color w:val="000000"/>
                <w:lang w:val="es-ES"/>
              </w:rPr>
              <w:t>10-10,4</w:t>
            </w:r>
            <w:del w:id="17" w:author="Spanish" w:date="2015-10-22T10:26:00Z">
              <w:r w:rsidRPr="005C5D87" w:rsidDel="00D76C9D">
                <w:rPr>
                  <w:rStyle w:val="Tablefreq"/>
                  <w:color w:val="000000"/>
                  <w:lang w:val="es-ES"/>
                </w:rPr>
                <w:delText>5</w:delText>
              </w:r>
            </w:del>
          </w:p>
          <w:p w:rsidR="00BF08BA" w:rsidRPr="005C5D87" w:rsidRDefault="00BF08BA" w:rsidP="005C5D87">
            <w:pPr>
              <w:pStyle w:val="TableTextS5"/>
              <w:rPr>
                <w:ins w:id="18" w:author="Spanish" w:date="2015-10-22T10:15:00Z"/>
                <w:color w:val="000000"/>
                <w:lang w:val="es-ES"/>
              </w:rPr>
            </w:pPr>
            <w:ins w:id="19" w:author="Spanish" w:date="2015-10-22T10:15:00Z">
              <w:r w:rsidRPr="005C5D87">
                <w:rPr>
                  <w:color w:val="000000"/>
                  <w:lang w:val="es-ES"/>
                </w:rPr>
                <w:t>EXPLORACIÓN DE LA TIERRA POR SATÉLITE (activo) ADD 5.A112</w:t>
              </w:r>
            </w:ins>
          </w:p>
          <w:p w:rsidR="00F008F3" w:rsidRPr="005C5D87" w:rsidRDefault="00EC0E43" w:rsidP="005C5D87">
            <w:pPr>
              <w:pStyle w:val="TableTextS5"/>
              <w:rPr>
                <w:color w:val="000000"/>
                <w:lang w:val="es-ES"/>
              </w:rPr>
            </w:pPr>
            <w:r w:rsidRPr="005C5D87">
              <w:rPr>
                <w:color w:val="000000"/>
                <w:lang w:val="es-ES"/>
              </w:rPr>
              <w:t>RADIOLOCALIZACIÓN</w:t>
            </w:r>
          </w:p>
          <w:p w:rsidR="00F008F3" w:rsidRPr="005C5D87" w:rsidRDefault="00EC0E43" w:rsidP="005C5D87">
            <w:pPr>
              <w:pStyle w:val="TableTextS5"/>
              <w:rPr>
                <w:color w:val="000000"/>
                <w:lang w:val="es-ES"/>
              </w:rPr>
            </w:pPr>
            <w:r w:rsidRPr="005C5D87">
              <w:rPr>
                <w:color w:val="000000"/>
                <w:lang w:val="es-ES"/>
              </w:rPr>
              <w:t>Aficionados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8F3" w:rsidRPr="005C5D87" w:rsidRDefault="00EC0E43" w:rsidP="005C5D87">
            <w:pPr>
              <w:pStyle w:val="TableTextS5"/>
              <w:rPr>
                <w:color w:val="000000"/>
                <w:lang w:val="es-ES"/>
              </w:rPr>
            </w:pPr>
            <w:r w:rsidRPr="005C5D87">
              <w:rPr>
                <w:rStyle w:val="Tablefreq"/>
                <w:color w:val="000000"/>
                <w:lang w:val="es-ES"/>
              </w:rPr>
              <w:t>10-10,4</w:t>
            </w:r>
            <w:del w:id="20" w:author="Spanish" w:date="2015-10-22T10:26:00Z">
              <w:r w:rsidRPr="005C5D87" w:rsidDel="00D76C9D">
                <w:rPr>
                  <w:rStyle w:val="Tablefreq"/>
                  <w:color w:val="000000"/>
                  <w:lang w:val="es-ES"/>
                </w:rPr>
                <w:delText>5</w:delText>
              </w:r>
            </w:del>
          </w:p>
          <w:p w:rsidR="00BF08BA" w:rsidRPr="005C5D87" w:rsidRDefault="00BF08BA" w:rsidP="005C5D87">
            <w:pPr>
              <w:pStyle w:val="TableTextS5"/>
              <w:rPr>
                <w:ins w:id="21" w:author="Spanish" w:date="2015-10-22T10:15:00Z"/>
                <w:color w:val="000000"/>
                <w:lang w:val="es-ES"/>
              </w:rPr>
            </w:pPr>
            <w:ins w:id="22" w:author="Spanish" w:date="2015-10-22T10:15:00Z">
              <w:r w:rsidRPr="005C5D87">
                <w:rPr>
                  <w:color w:val="000000"/>
                  <w:lang w:val="es-ES"/>
                </w:rPr>
                <w:t>EXPLORACIÓN DE LA TIERRA POR SATÉLITE (activo) ADD 5.A112</w:t>
              </w:r>
            </w:ins>
          </w:p>
          <w:p w:rsidR="00F008F3" w:rsidRPr="005C5D87" w:rsidRDefault="00EC0E43" w:rsidP="005C5D87">
            <w:pPr>
              <w:pStyle w:val="TableTextS5"/>
              <w:rPr>
                <w:color w:val="000000"/>
                <w:lang w:val="es-ES"/>
              </w:rPr>
            </w:pPr>
            <w:r w:rsidRPr="005C5D87">
              <w:rPr>
                <w:color w:val="000000"/>
                <w:lang w:val="es-ES"/>
              </w:rPr>
              <w:t>FIJO</w:t>
            </w:r>
          </w:p>
          <w:p w:rsidR="00F008F3" w:rsidRPr="005C5D87" w:rsidRDefault="00EC0E43" w:rsidP="005C5D87">
            <w:pPr>
              <w:pStyle w:val="TableTextS5"/>
              <w:rPr>
                <w:color w:val="000000"/>
                <w:lang w:val="es-ES"/>
              </w:rPr>
            </w:pPr>
            <w:r w:rsidRPr="005C5D87">
              <w:rPr>
                <w:color w:val="000000"/>
                <w:lang w:val="es-ES"/>
              </w:rPr>
              <w:t>MÓVIL</w:t>
            </w:r>
          </w:p>
          <w:p w:rsidR="00F008F3" w:rsidRPr="005C5D87" w:rsidRDefault="00EC0E43" w:rsidP="005C5D87">
            <w:pPr>
              <w:pStyle w:val="TableTextS5"/>
              <w:rPr>
                <w:color w:val="000000"/>
                <w:lang w:val="es-ES"/>
              </w:rPr>
            </w:pPr>
            <w:r w:rsidRPr="005C5D87">
              <w:rPr>
                <w:color w:val="000000"/>
                <w:lang w:val="es-ES"/>
              </w:rPr>
              <w:t>RADIOLOCALIZACIÓN</w:t>
            </w:r>
          </w:p>
          <w:p w:rsidR="00F008F3" w:rsidRPr="005C5D87" w:rsidRDefault="00EC0E43" w:rsidP="005C5D87">
            <w:pPr>
              <w:pStyle w:val="TableTextS5"/>
              <w:rPr>
                <w:color w:val="000000"/>
                <w:lang w:val="es-ES"/>
              </w:rPr>
            </w:pPr>
            <w:r w:rsidRPr="005C5D87">
              <w:rPr>
                <w:color w:val="000000"/>
                <w:lang w:val="es-ES"/>
              </w:rPr>
              <w:t>Aficionados</w:t>
            </w:r>
          </w:p>
        </w:tc>
      </w:tr>
      <w:tr w:rsidR="00F008F3" w:rsidRPr="005C5D87" w:rsidTr="00D06ADF">
        <w:trPr>
          <w:cantSplit/>
        </w:trPr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F3" w:rsidRPr="005C5D87" w:rsidRDefault="00EC0E43" w:rsidP="005C5D87">
            <w:pPr>
              <w:pStyle w:val="TableTextS5"/>
              <w:rPr>
                <w:rStyle w:val="Artref10pt"/>
                <w:lang w:val="es-ES"/>
              </w:rPr>
            </w:pPr>
            <w:r w:rsidRPr="005C5D87">
              <w:rPr>
                <w:rStyle w:val="Artref10pt"/>
                <w:lang w:val="es-ES"/>
              </w:rPr>
              <w:t>5.479</w:t>
            </w:r>
            <w:ins w:id="23" w:author="Spanish" w:date="2015-10-22T10:15:00Z">
              <w:r w:rsidR="00BF08BA" w:rsidRPr="005C5D87">
                <w:rPr>
                  <w:rStyle w:val="Artref10pt"/>
                  <w:lang w:val="es-ES"/>
                </w:rPr>
                <w:t xml:space="preserve"> ADD 5.C112 ADD 5.E112</w:t>
              </w:r>
            </w:ins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C5D87" w:rsidRDefault="00EC0E43" w:rsidP="005C5D87">
            <w:pPr>
              <w:pStyle w:val="TableTextS5"/>
              <w:rPr>
                <w:color w:val="000000"/>
                <w:lang w:val="es-ES"/>
              </w:rPr>
            </w:pPr>
            <w:r w:rsidRPr="005C5D87">
              <w:rPr>
                <w:rStyle w:val="Artref10pt"/>
                <w:lang w:val="es-ES"/>
              </w:rPr>
              <w:t>5.479</w:t>
            </w:r>
            <w:r w:rsidRPr="005C5D87">
              <w:rPr>
                <w:color w:val="000000"/>
                <w:lang w:val="es-ES"/>
              </w:rPr>
              <w:t xml:space="preserve">  </w:t>
            </w:r>
            <w:r w:rsidRPr="005C5D87">
              <w:rPr>
                <w:rStyle w:val="Artref10pt"/>
                <w:lang w:val="es-ES"/>
              </w:rPr>
              <w:t>5.480</w:t>
            </w:r>
            <w:ins w:id="24" w:author="Spanish" w:date="2015-10-22T10:15:00Z">
              <w:r w:rsidR="00BF08BA" w:rsidRPr="005C5D87">
                <w:rPr>
                  <w:rStyle w:val="Artref10pt"/>
                  <w:lang w:val="es-ES"/>
                </w:rPr>
                <w:t xml:space="preserve">  ADD 5.C112 ADD 5.E112</w:t>
              </w:r>
            </w:ins>
          </w:p>
        </w:tc>
        <w:tc>
          <w:tcPr>
            <w:tcW w:w="310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F3" w:rsidRPr="005C5D87" w:rsidRDefault="00EC0E43" w:rsidP="005C5D87">
            <w:pPr>
              <w:pStyle w:val="TableTextS5"/>
              <w:rPr>
                <w:rStyle w:val="Artref10pt"/>
                <w:lang w:val="es-ES"/>
              </w:rPr>
            </w:pPr>
            <w:r w:rsidRPr="005C5D87">
              <w:rPr>
                <w:rStyle w:val="Artref10pt"/>
                <w:lang w:val="es-ES"/>
              </w:rPr>
              <w:t>5.479</w:t>
            </w:r>
            <w:ins w:id="25" w:author="Spanish" w:date="2015-10-22T10:15:00Z">
              <w:r w:rsidR="00BF08BA" w:rsidRPr="005C5D87">
                <w:rPr>
                  <w:rStyle w:val="Artref10pt"/>
                  <w:lang w:val="es-ES"/>
                </w:rPr>
                <w:t xml:space="preserve">  ADD 5.C112 ADD 5.E112</w:t>
              </w:r>
            </w:ins>
          </w:p>
        </w:tc>
      </w:tr>
      <w:tr w:rsidR="00D06ADF" w:rsidRPr="005C5D87" w:rsidTr="00D06ADF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ADF" w:rsidRPr="005C5D87" w:rsidRDefault="00D06ADF" w:rsidP="005C5D87">
            <w:pPr>
              <w:pStyle w:val="TableTextS5"/>
              <w:rPr>
                <w:color w:val="000000"/>
                <w:lang w:val="es-ES"/>
              </w:rPr>
            </w:pPr>
            <w:r w:rsidRPr="005C5D87">
              <w:rPr>
                <w:rStyle w:val="Tablefreq"/>
                <w:color w:val="000000"/>
                <w:lang w:val="es-ES"/>
              </w:rPr>
              <w:t>10</w:t>
            </w:r>
            <w:ins w:id="26" w:author="Spanish" w:date="2015-10-22T10:16:00Z">
              <w:r w:rsidR="00BF08BA" w:rsidRPr="005C5D87">
                <w:rPr>
                  <w:rStyle w:val="Tablefreq"/>
                  <w:color w:val="000000"/>
                  <w:lang w:val="es-ES"/>
                </w:rPr>
                <w:t>,</w:t>
              </w:r>
            </w:ins>
            <w:ins w:id="27" w:author="Spanish" w:date="2015-10-22T10:15:00Z">
              <w:r w:rsidR="00BF08BA" w:rsidRPr="005C5D87">
                <w:rPr>
                  <w:rStyle w:val="Tablefreq"/>
                  <w:color w:val="000000"/>
                  <w:lang w:val="es-ES"/>
                </w:rPr>
                <w:t>4</w:t>
              </w:r>
            </w:ins>
            <w:r w:rsidRPr="005C5D87">
              <w:rPr>
                <w:rStyle w:val="Tablefreq"/>
                <w:color w:val="000000"/>
                <w:lang w:val="es-ES"/>
              </w:rPr>
              <w:t>-10,45</w:t>
            </w:r>
          </w:p>
          <w:p w:rsidR="00D06ADF" w:rsidRPr="005C5D87" w:rsidRDefault="00D06ADF" w:rsidP="005C5D87">
            <w:pPr>
              <w:pStyle w:val="TableTextS5"/>
              <w:rPr>
                <w:color w:val="000000"/>
                <w:lang w:val="es-ES"/>
              </w:rPr>
            </w:pPr>
            <w:r w:rsidRPr="005C5D87">
              <w:rPr>
                <w:color w:val="000000"/>
                <w:lang w:val="es-ES"/>
              </w:rPr>
              <w:t>FIJO</w:t>
            </w:r>
          </w:p>
          <w:p w:rsidR="00D06ADF" w:rsidRPr="005C5D87" w:rsidRDefault="00D06ADF" w:rsidP="005C5D87">
            <w:pPr>
              <w:pStyle w:val="TableTextS5"/>
              <w:rPr>
                <w:color w:val="000000"/>
                <w:lang w:val="es-ES"/>
              </w:rPr>
            </w:pPr>
            <w:r w:rsidRPr="005C5D87">
              <w:rPr>
                <w:color w:val="000000"/>
                <w:lang w:val="es-ES"/>
              </w:rPr>
              <w:t>MÓVIL</w:t>
            </w:r>
          </w:p>
          <w:p w:rsidR="00D06ADF" w:rsidRPr="005C5D87" w:rsidRDefault="00D06ADF" w:rsidP="005C5D87">
            <w:pPr>
              <w:pStyle w:val="TableTextS5"/>
              <w:rPr>
                <w:color w:val="000000"/>
                <w:lang w:val="es-ES"/>
              </w:rPr>
            </w:pPr>
            <w:r w:rsidRPr="005C5D87">
              <w:rPr>
                <w:color w:val="000000"/>
                <w:lang w:val="es-ES"/>
              </w:rPr>
              <w:t>RADIOLOCALIZACIÓN</w:t>
            </w:r>
          </w:p>
          <w:p w:rsidR="00D06ADF" w:rsidRPr="005C5D87" w:rsidRDefault="00D06ADF" w:rsidP="005C5D87">
            <w:pPr>
              <w:pStyle w:val="TableTextS5"/>
              <w:rPr>
                <w:color w:val="000000"/>
                <w:lang w:val="es-ES"/>
              </w:rPr>
            </w:pPr>
            <w:r w:rsidRPr="005C5D87">
              <w:rPr>
                <w:color w:val="000000"/>
                <w:lang w:val="es-ES"/>
              </w:rPr>
              <w:t>Aficionados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ADF" w:rsidRPr="005C5D87" w:rsidRDefault="00D06ADF" w:rsidP="005C5D87">
            <w:pPr>
              <w:pStyle w:val="TableTextS5"/>
              <w:rPr>
                <w:color w:val="000000"/>
                <w:lang w:val="es-ES"/>
              </w:rPr>
            </w:pPr>
            <w:r w:rsidRPr="005C5D87">
              <w:rPr>
                <w:rStyle w:val="Tablefreq"/>
                <w:color w:val="000000"/>
                <w:lang w:val="es-ES"/>
              </w:rPr>
              <w:t>10</w:t>
            </w:r>
            <w:ins w:id="28" w:author="Spanish" w:date="2015-10-22T10:16:00Z">
              <w:r w:rsidR="00BF08BA" w:rsidRPr="005C5D87">
                <w:rPr>
                  <w:rStyle w:val="Tablefreq"/>
                  <w:color w:val="000000"/>
                  <w:lang w:val="es-ES"/>
                </w:rPr>
                <w:t>,</w:t>
              </w:r>
            </w:ins>
            <w:ins w:id="29" w:author="Spanish" w:date="2015-10-22T10:15:00Z">
              <w:r w:rsidR="00BF08BA" w:rsidRPr="005C5D87">
                <w:rPr>
                  <w:rStyle w:val="Tablefreq"/>
                  <w:color w:val="000000"/>
                  <w:lang w:val="es-ES"/>
                </w:rPr>
                <w:t>4</w:t>
              </w:r>
            </w:ins>
            <w:r w:rsidRPr="005C5D87">
              <w:rPr>
                <w:rStyle w:val="Tablefreq"/>
                <w:color w:val="000000"/>
                <w:lang w:val="es-ES"/>
              </w:rPr>
              <w:t>-10,45</w:t>
            </w:r>
          </w:p>
          <w:p w:rsidR="00D06ADF" w:rsidRPr="005C5D87" w:rsidRDefault="00D06ADF" w:rsidP="005C5D87">
            <w:pPr>
              <w:pStyle w:val="TableTextS5"/>
              <w:rPr>
                <w:color w:val="000000"/>
                <w:lang w:val="es-ES"/>
              </w:rPr>
            </w:pPr>
            <w:r w:rsidRPr="005C5D87">
              <w:rPr>
                <w:color w:val="000000"/>
                <w:lang w:val="es-ES"/>
              </w:rPr>
              <w:t>RADIOLOCALIZACIÓN</w:t>
            </w:r>
          </w:p>
          <w:p w:rsidR="00D06ADF" w:rsidRPr="005C5D87" w:rsidRDefault="00D06ADF" w:rsidP="005C5D87">
            <w:pPr>
              <w:pStyle w:val="TableTextS5"/>
              <w:rPr>
                <w:color w:val="000000"/>
                <w:lang w:val="es-ES"/>
              </w:rPr>
            </w:pPr>
            <w:r w:rsidRPr="005C5D87">
              <w:rPr>
                <w:color w:val="000000"/>
                <w:lang w:val="es-ES"/>
              </w:rPr>
              <w:t>Aficionados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DF" w:rsidRPr="005C5D87" w:rsidRDefault="00D06ADF" w:rsidP="005C5D87">
            <w:pPr>
              <w:pStyle w:val="TableTextS5"/>
              <w:rPr>
                <w:color w:val="000000"/>
                <w:lang w:val="es-ES"/>
              </w:rPr>
            </w:pPr>
            <w:r w:rsidRPr="005C5D87">
              <w:rPr>
                <w:rStyle w:val="Tablefreq"/>
                <w:color w:val="000000"/>
                <w:lang w:val="es-ES"/>
              </w:rPr>
              <w:t>10</w:t>
            </w:r>
            <w:ins w:id="30" w:author="Spanish" w:date="2015-10-22T10:15:00Z">
              <w:r w:rsidR="00BF08BA" w:rsidRPr="005C5D87">
                <w:rPr>
                  <w:rStyle w:val="Tablefreq"/>
                  <w:color w:val="000000"/>
                  <w:lang w:val="es-ES"/>
                </w:rPr>
                <w:t>,4</w:t>
              </w:r>
            </w:ins>
            <w:r w:rsidRPr="005C5D87">
              <w:rPr>
                <w:rStyle w:val="Tablefreq"/>
                <w:color w:val="000000"/>
                <w:lang w:val="es-ES"/>
              </w:rPr>
              <w:t>-10,45</w:t>
            </w:r>
          </w:p>
          <w:p w:rsidR="00D06ADF" w:rsidRPr="005C5D87" w:rsidRDefault="00D06ADF" w:rsidP="005C5D87">
            <w:pPr>
              <w:pStyle w:val="TableTextS5"/>
              <w:rPr>
                <w:color w:val="000000"/>
                <w:lang w:val="es-ES"/>
              </w:rPr>
            </w:pPr>
            <w:r w:rsidRPr="005C5D87">
              <w:rPr>
                <w:color w:val="000000"/>
                <w:lang w:val="es-ES"/>
              </w:rPr>
              <w:t>FIJO</w:t>
            </w:r>
          </w:p>
          <w:p w:rsidR="00D06ADF" w:rsidRPr="005C5D87" w:rsidRDefault="00D06ADF" w:rsidP="005C5D87">
            <w:pPr>
              <w:pStyle w:val="TableTextS5"/>
              <w:rPr>
                <w:color w:val="000000"/>
                <w:lang w:val="es-ES"/>
              </w:rPr>
            </w:pPr>
            <w:r w:rsidRPr="005C5D87">
              <w:rPr>
                <w:color w:val="000000"/>
                <w:lang w:val="es-ES"/>
              </w:rPr>
              <w:t>MÓVIL</w:t>
            </w:r>
          </w:p>
          <w:p w:rsidR="00D06ADF" w:rsidRPr="005C5D87" w:rsidRDefault="00D06ADF" w:rsidP="005C5D87">
            <w:pPr>
              <w:pStyle w:val="TableTextS5"/>
              <w:rPr>
                <w:color w:val="000000"/>
                <w:lang w:val="es-ES"/>
              </w:rPr>
            </w:pPr>
            <w:r w:rsidRPr="005C5D87">
              <w:rPr>
                <w:color w:val="000000"/>
                <w:lang w:val="es-ES"/>
              </w:rPr>
              <w:t>RADIOLOCALIZACIÓN</w:t>
            </w:r>
          </w:p>
          <w:p w:rsidR="00D06ADF" w:rsidRPr="005C5D87" w:rsidRDefault="00D06ADF" w:rsidP="005C5D87">
            <w:pPr>
              <w:pStyle w:val="TableTextS5"/>
              <w:rPr>
                <w:color w:val="000000"/>
                <w:lang w:val="es-ES"/>
              </w:rPr>
            </w:pPr>
            <w:r w:rsidRPr="005C5D87">
              <w:rPr>
                <w:color w:val="000000"/>
                <w:lang w:val="es-ES"/>
              </w:rPr>
              <w:t>Aficionados</w:t>
            </w:r>
          </w:p>
        </w:tc>
      </w:tr>
      <w:tr w:rsidR="00D06ADF" w:rsidRPr="005C5D87" w:rsidTr="00D06ADF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ADF" w:rsidRPr="005C5D87" w:rsidRDefault="00D06ADF" w:rsidP="005C5D87">
            <w:pPr>
              <w:pStyle w:val="TableTextS5"/>
              <w:rPr>
                <w:rStyle w:val="Tablefreq"/>
                <w:color w:val="000000"/>
                <w:lang w:val="es-ES"/>
              </w:rPr>
            </w:pPr>
            <w:r w:rsidRPr="005C5D87">
              <w:rPr>
                <w:rStyle w:val="Artref10pt"/>
                <w:lang w:val="es-ES"/>
              </w:rPr>
              <w:t>5.479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ADF" w:rsidRPr="005C5D87" w:rsidRDefault="00D06ADF" w:rsidP="005C5D87">
            <w:pPr>
              <w:pStyle w:val="TableTextS5"/>
              <w:rPr>
                <w:rStyle w:val="Tablefreq"/>
                <w:color w:val="000000"/>
                <w:lang w:val="es-ES"/>
              </w:rPr>
            </w:pPr>
            <w:r w:rsidRPr="005C5D87">
              <w:rPr>
                <w:rStyle w:val="Artref10pt"/>
                <w:lang w:val="es-ES"/>
              </w:rPr>
              <w:t>5.479</w:t>
            </w:r>
            <w:r w:rsidRPr="005C5D87">
              <w:rPr>
                <w:color w:val="000000"/>
                <w:lang w:val="es-ES"/>
              </w:rPr>
              <w:t xml:space="preserve">  </w:t>
            </w:r>
            <w:r w:rsidRPr="005C5D87">
              <w:rPr>
                <w:rStyle w:val="Artref10pt"/>
                <w:lang w:val="es-ES"/>
              </w:rPr>
              <w:t>5.480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ADF" w:rsidRPr="005C5D87" w:rsidRDefault="00D06ADF" w:rsidP="005C5D87">
            <w:pPr>
              <w:pStyle w:val="TableTextS5"/>
              <w:rPr>
                <w:rStyle w:val="Tablefreq"/>
                <w:color w:val="000000"/>
                <w:lang w:val="es-ES"/>
              </w:rPr>
            </w:pPr>
            <w:r w:rsidRPr="005C5D87">
              <w:rPr>
                <w:rStyle w:val="Artref10pt"/>
                <w:lang w:val="es-ES"/>
              </w:rPr>
              <w:t>5.479</w:t>
            </w:r>
          </w:p>
        </w:tc>
      </w:tr>
    </w:tbl>
    <w:p w:rsidR="00C55A6D" w:rsidRPr="005C5D87" w:rsidRDefault="00EC0E43" w:rsidP="005C5D87">
      <w:pPr>
        <w:pStyle w:val="Reasons"/>
        <w:rPr>
          <w:lang w:val="es-ES"/>
        </w:rPr>
      </w:pPr>
      <w:r w:rsidRPr="005C5D87">
        <w:rPr>
          <w:b/>
          <w:lang w:val="es-ES"/>
        </w:rPr>
        <w:lastRenderedPageBreak/>
        <w:t>Motivos:</w:t>
      </w:r>
      <w:r w:rsidRPr="005C5D87">
        <w:rPr>
          <w:lang w:val="es-ES"/>
        </w:rPr>
        <w:tab/>
      </w:r>
      <w:r w:rsidR="003456AE" w:rsidRPr="005C5D87">
        <w:rPr>
          <w:lang w:val="es-ES"/>
        </w:rPr>
        <w:t xml:space="preserve">Se otorga una </w:t>
      </w:r>
      <w:r w:rsidR="003456AE" w:rsidRPr="0098580A">
        <w:rPr>
          <w:lang w:val="es-ES"/>
        </w:rPr>
        <w:t>atribución de 600 MHz adicional al SETS (activo) para los SAR de alta resolución, como pide la Resolución 651 (CMR-12) y justifica el Informe</w:t>
      </w:r>
      <w:r w:rsidR="003456AE" w:rsidRPr="005C5D87">
        <w:rPr>
          <w:lang w:val="es-ES"/>
        </w:rPr>
        <w:t xml:space="preserve"> UIT-R RS.2274.</w:t>
      </w:r>
    </w:p>
    <w:p w:rsidR="00C55A6D" w:rsidRPr="005C5D87" w:rsidRDefault="00EC0E43" w:rsidP="005C5D87">
      <w:pPr>
        <w:pStyle w:val="Proposal"/>
        <w:rPr>
          <w:lang w:val="es-ES"/>
        </w:rPr>
      </w:pPr>
      <w:r w:rsidRPr="005C5D87">
        <w:rPr>
          <w:lang w:val="es-ES"/>
        </w:rPr>
        <w:t>ADD</w:t>
      </w:r>
      <w:r w:rsidRPr="005C5D87">
        <w:rPr>
          <w:lang w:val="es-ES"/>
        </w:rPr>
        <w:tab/>
        <w:t>BDI/KEN/UGA/RRW/TZA/85A12/3</w:t>
      </w:r>
    </w:p>
    <w:p w:rsidR="00C55A6D" w:rsidRPr="005C5D87" w:rsidRDefault="00EC0E43" w:rsidP="005C5D87">
      <w:pPr>
        <w:rPr>
          <w:lang w:val="es-ES"/>
        </w:rPr>
      </w:pPr>
      <w:r w:rsidRPr="005C5D87">
        <w:rPr>
          <w:rStyle w:val="Artdef"/>
          <w:lang w:val="es-ES"/>
        </w:rPr>
        <w:t>5.A112</w:t>
      </w:r>
      <w:r w:rsidRPr="005C5D87">
        <w:rPr>
          <w:lang w:val="es-ES"/>
        </w:rPr>
        <w:tab/>
      </w:r>
      <w:r w:rsidR="000103FD" w:rsidRPr="005C5D87">
        <w:rPr>
          <w:rStyle w:val="NoteChar"/>
          <w:lang w:val="es-ES"/>
        </w:rPr>
        <w:t>La utilización de las bandas de frecuencias 9 200-9 300 MHz y 9 900-10 400 MHz por el servicio de exploración de la Tierra por satélite (activo) se limita a los sistemas que necesitan un ancho de banda superior a 600 MHz que no puede acomodarse íntegramente en la banda de frecuencias 9 300-9 900 MHz.</w:t>
      </w:r>
      <w:r w:rsidR="000103FD" w:rsidRPr="005C5D87">
        <w:rPr>
          <w:sz w:val="16"/>
          <w:lang w:val="es-ES"/>
        </w:rPr>
        <w:t>     (CMR</w:t>
      </w:r>
      <w:r w:rsidR="000103FD" w:rsidRPr="005C5D87">
        <w:rPr>
          <w:sz w:val="16"/>
          <w:lang w:val="es-ES"/>
        </w:rPr>
        <w:noBreakHyphen/>
        <w:t>15)</w:t>
      </w:r>
    </w:p>
    <w:p w:rsidR="00C55A6D" w:rsidRPr="005C5D87" w:rsidRDefault="00EC0E43" w:rsidP="005C5D87">
      <w:pPr>
        <w:pStyle w:val="Reasons"/>
        <w:rPr>
          <w:lang w:val="es-ES"/>
        </w:rPr>
      </w:pPr>
      <w:r w:rsidRPr="005C5D87">
        <w:rPr>
          <w:b/>
          <w:lang w:val="es-ES"/>
        </w:rPr>
        <w:t>Motivos:</w:t>
      </w:r>
      <w:r w:rsidRPr="005C5D87">
        <w:rPr>
          <w:lang w:val="es-ES"/>
        </w:rPr>
        <w:tab/>
      </w:r>
      <w:r w:rsidR="000103FD" w:rsidRPr="005C5D87">
        <w:rPr>
          <w:lang w:val="es-ES"/>
        </w:rPr>
        <w:t>Limitar el número de sistemas, así como la duración de transmisión de los sistemas SAR en la ampliación de la banda de frecuencias.</w:t>
      </w:r>
    </w:p>
    <w:p w:rsidR="00C55A6D" w:rsidRPr="005C5D87" w:rsidRDefault="00EC0E43" w:rsidP="005C5D87">
      <w:pPr>
        <w:pStyle w:val="Proposal"/>
        <w:rPr>
          <w:lang w:val="es-ES"/>
        </w:rPr>
      </w:pPr>
      <w:r w:rsidRPr="005C5D87">
        <w:rPr>
          <w:lang w:val="es-ES"/>
        </w:rPr>
        <w:t>ADD</w:t>
      </w:r>
      <w:r w:rsidRPr="005C5D87">
        <w:rPr>
          <w:lang w:val="es-ES"/>
        </w:rPr>
        <w:tab/>
        <w:t>BDI/KEN/UGA/RRW/TZA/85A12/4</w:t>
      </w:r>
    </w:p>
    <w:p w:rsidR="00C55A6D" w:rsidRPr="005C5D87" w:rsidRDefault="00EC0E43" w:rsidP="005C5D87">
      <w:pPr>
        <w:rPr>
          <w:lang w:val="es-ES"/>
        </w:rPr>
      </w:pPr>
      <w:r w:rsidRPr="005C5D87">
        <w:rPr>
          <w:rStyle w:val="Artdef"/>
          <w:lang w:val="es-ES"/>
        </w:rPr>
        <w:t>5.B112</w:t>
      </w:r>
      <w:r w:rsidRPr="005C5D87">
        <w:rPr>
          <w:lang w:val="es-ES"/>
        </w:rPr>
        <w:tab/>
      </w:r>
      <w:r w:rsidR="000103FD" w:rsidRPr="005C5D87">
        <w:rPr>
          <w:rStyle w:val="NoteChar"/>
          <w:lang w:val="es-ES"/>
        </w:rPr>
        <w:t>En la banda de frecuencias 9 200-9 300 MHz las estaciones del servicio de exploración de la Tierra por satélite (activo) no causarán interferencia perjudicial a las estaciones de los servicios de radionavegación y radiolocalización, ni reclamarán protección contra las mismas</w:t>
      </w:r>
      <w:r w:rsidR="000103FD" w:rsidRPr="005C5D87">
        <w:rPr>
          <w:lang w:val="es-ES"/>
        </w:rPr>
        <w:t>.</w:t>
      </w:r>
      <w:r w:rsidR="000103FD" w:rsidRPr="005C5D87">
        <w:rPr>
          <w:sz w:val="16"/>
          <w:lang w:val="es-ES"/>
        </w:rPr>
        <w:t>      (CMR-15)</w:t>
      </w:r>
    </w:p>
    <w:p w:rsidR="00C55A6D" w:rsidRPr="005C5D87" w:rsidRDefault="00C55A6D" w:rsidP="005C5D87">
      <w:pPr>
        <w:pStyle w:val="Reasons"/>
        <w:rPr>
          <w:lang w:val="es-ES"/>
        </w:rPr>
      </w:pPr>
    </w:p>
    <w:p w:rsidR="00C55A6D" w:rsidRPr="005C5D87" w:rsidRDefault="00EC0E43" w:rsidP="005C5D87">
      <w:pPr>
        <w:pStyle w:val="Proposal"/>
        <w:rPr>
          <w:lang w:val="es-ES"/>
        </w:rPr>
      </w:pPr>
      <w:r w:rsidRPr="005C5D87">
        <w:rPr>
          <w:lang w:val="es-ES"/>
        </w:rPr>
        <w:t>ADD</w:t>
      </w:r>
      <w:r w:rsidRPr="005C5D87">
        <w:rPr>
          <w:lang w:val="es-ES"/>
        </w:rPr>
        <w:tab/>
        <w:t>BDI/KEN/UGA/RRW/TZA/85A12/5</w:t>
      </w:r>
    </w:p>
    <w:p w:rsidR="00C55A6D" w:rsidRPr="005C5D87" w:rsidRDefault="00EC0E43" w:rsidP="005C5D87">
      <w:pPr>
        <w:rPr>
          <w:lang w:val="es-ES"/>
        </w:rPr>
      </w:pPr>
      <w:r w:rsidRPr="005C5D87">
        <w:rPr>
          <w:rStyle w:val="Artdef"/>
          <w:lang w:val="es-ES"/>
        </w:rPr>
        <w:t>5.C112</w:t>
      </w:r>
      <w:r w:rsidRPr="005C5D87">
        <w:rPr>
          <w:lang w:val="es-ES"/>
        </w:rPr>
        <w:tab/>
      </w:r>
      <w:r w:rsidR="000103FD" w:rsidRPr="005C5D87">
        <w:rPr>
          <w:rStyle w:val="NoteChar"/>
          <w:lang w:val="es-ES"/>
        </w:rPr>
        <w:t>Las estaciones espaciales del servicio de exploración de la Tierra por satélite (activo) funcionarán de conformidad con la Recomendación UIT-R RS.2066-0.</w:t>
      </w:r>
      <w:r w:rsidR="000103FD" w:rsidRPr="005C5D87">
        <w:rPr>
          <w:rStyle w:val="NoteChar"/>
          <w:sz w:val="16"/>
          <w:szCs w:val="16"/>
          <w:lang w:val="es-ES"/>
        </w:rPr>
        <w:t xml:space="preserve">      (CMR</w:t>
      </w:r>
      <w:r w:rsidR="000103FD" w:rsidRPr="005C5D87">
        <w:rPr>
          <w:rStyle w:val="NoteChar"/>
          <w:sz w:val="16"/>
          <w:szCs w:val="16"/>
          <w:lang w:val="es-ES"/>
        </w:rPr>
        <w:noBreakHyphen/>
        <w:t>15)</w:t>
      </w:r>
    </w:p>
    <w:p w:rsidR="00C55A6D" w:rsidRPr="005C5D87" w:rsidRDefault="00EC0E43" w:rsidP="005C5D87">
      <w:pPr>
        <w:pStyle w:val="Reasons"/>
        <w:rPr>
          <w:lang w:val="es-ES"/>
        </w:rPr>
      </w:pPr>
      <w:r w:rsidRPr="005C5D87">
        <w:rPr>
          <w:b/>
          <w:lang w:val="es-ES"/>
        </w:rPr>
        <w:t>Motivos:</w:t>
      </w:r>
      <w:r w:rsidRPr="005C5D87">
        <w:rPr>
          <w:lang w:val="es-ES"/>
        </w:rPr>
        <w:tab/>
      </w:r>
      <w:r w:rsidR="000103FD" w:rsidRPr="005C5D87">
        <w:rPr>
          <w:lang w:val="es-ES"/>
        </w:rPr>
        <w:t>Garantizar la protección de las estaciones del SRA en la banda de frecuencias 10,6</w:t>
      </w:r>
      <w:r w:rsidR="000103FD" w:rsidRPr="005C5D87">
        <w:rPr>
          <w:lang w:val="es-ES"/>
        </w:rPr>
        <w:noBreakHyphen/>
        <w:t>10,7 GHz.</w:t>
      </w:r>
    </w:p>
    <w:p w:rsidR="00C55A6D" w:rsidRPr="005C5D87" w:rsidRDefault="00EC0E43" w:rsidP="005C5D87">
      <w:pPr>
        <w:pStyle w:val="Proposal"/>
        <w:rPr>
          <w:lang w:val="es-ES"/>
        </w:rPr>
      </w:pPr>
      <w:r w:rsidRPr="005C5D87">
        <w:rPr>
          <w:lang w:val="es-ES"/>
        </w:rPr>
        <w:t>ADD</w:t>
      </w:r>
      <w:r w:rsidRPr="005C5D87">
        <w:rPr>
          <w:lang w:val="es-ES"/>
        </w:rPr>
        <w:tab/>
        <w:t>BDI/KEN/UGA/RRW/TZA/85A12/6</w:t>
      </w:r>
    </w:p>
    <w:p w:rsidR="00C55A6D" w:rsidRPr="005C5D87" w:rsidRDefault="00EC0E43" w:rsidP="005C5D87">
      <w:pPr>
        <w:rPr>
          <w:lang w:val="es-ES"/>
        </w:rPr>
      </w:pPr>
      <w:r w:rsidRPr="005C5D87">
        <w:rPr>
          <w:rStyle w:val="Artdef"/>
          <w:lang w:val="es-ES"/>
        </w:rPr>
        <w:t>5.D112</w:t>
      </w:r>
      <w:r w:rsidRPr="005C5D87">
        <w:rPr>
          <w:lang w:val="es-ES"/>
        </w:rPr>
        <w:tab/>
      </w:r>
      <w:r w:rsidR="000103FD" w:rsidRPr="005C5D87">
        <w:rPr>
          <w:rStyle w:val="NoteChar"/>
          <w:lang w:val="es-ES"/>
        </w:rPr>
        <w:t>Las estaciones espaciales del servicio de exploración de la Tierra por satélite (activo) funcionarán de conformidad con la Recomendación UIT-R RS.2065-0.</w:t>
      </w:r>
      <w:r w:rsidR="000103FD" w:rsidRPr="005C5D87">
        <w:rPr>
          <w:rStyle w:val="NoteChar"/>
          <w:sz w:val="16"/>
          <w:szCs w:val="16"/>
          <w:lang w:val="es-ES"/>
        </w:rPr>
        <w:t xml:space="preserve">      (CMR</w:t>
      </w:r>
      <w:r w:rsidR="000103FD" w:rsidRPr="005C5D87">
        <w:rPr>
          <w:rStyle w:val="NoteChar"/>
          <w:sz w:val="16"/>
          <w:szCs w:val="16"/>
          <w:lang w:val="es-ES"/>
        </w:rPr>
        <w:noBreakHyphen/>
        <w:t>15)</w:t>
      </w:r>
    </w:p>
    <w:p w:rsidR="00C55A6D" w:rsidRPr="005C5D87" w:rsidRDefault="00EC0E43" w:rsidP="005C5D87">
      <w:pPr>
        <w:pStyle w:val="Reasons"/>
        <w:rPr>
          <w:lang w:val="es-ES"/>
        </w:rPr>
      </w:pPr>
      <w:r w:rsidRPr="005C5D87">
        <w:rPr>
          <w:b/>
          <w:lang w:val="es-ES"/>
        </w:rPr>
        <w:t>Motivos:</w:t>
      </w:r>
      <w:r w:rsidRPr="005C5D87">
        <w:rPr>
          <w:lang w:val="es-ES"/>
        </w:rPr>
        <w:tab/>
      </w:r>
      <w:r w:rsidR="000103FD" w:rsidRPr="005C5D87">
        <w:rPr>
          <w:lang w:val="es-ES"/>
        </w:rPr>
        <w:t>Garantizar la protección de los sistemas del SIE en la banda de frecuencias 8 400</w:t>
      </w:r>
      <w:r w:rsidR="000103FD" w:rsidRPr="005C5D87">
        <w:rPr>
          <w:lang w:val="es-ES"/>
        </w:rPr>
        <w:noBreakHyphen/>
        <w:t>8 500 MHz.</w:t>
      </w:r>
    </w:p>
    <w:p w:rsidR="00C55A6D" w:rsidRPr="005C5D87" w:rsidRDefault="00EC0E43" w:rsidP="005C5D87">
      <w:pPr>
        <w:pStyle w:val="Proposal"/>
        <w:rPr>
          <w:lang w:val="es-ES"/>
        </w:rPr>
      </w:pPr>
      <w:r w:rsidRPr="005C5D87">
        <w:rPr>
          <w:lang w:val="es-ES"/>
        </w:rPr>
        <w:t>ADD</w:t>
      </w:r>
      <w:r w:rsidRPr="005C5D87">
        <w:rPr>
          <w:lang w:val="es-ES"/>
        </w:rPr>
        <w:tab/>
        <w:t>BDI/KEN/UGA/RRW/TZA/85A12/7</w:t>
      </w:r>
    </w:p>
    <w:p w:rsidR="00C55A6D" w:rsidRPr="005C5D87" w:rsidRDefault="00EC0E43" w:rsidP="0098580A">
      <w:pPr>
        <w:rPr>
          <w:lang w:val="es-ES"/>
        </w:rPr>
      </w:pPr>
      <w:r w:rsidRPr="005C5D87">
        <w:rPr>
          <w:rStyle w:val="Artdef"/>
          <w:lang w:val="es-ES"/>
        </w:rPr>
        <w:t>5.E112</w:t>
      </w:r>
      <w:r w:rsidRPr="005C5D87">
        <w:rPr>
          <w:lang w:val="es-ES"/>
        </w:rPr>
        <w:tab/>
      </w:r>
      <w:r w:rsidR="000103FD" w:rsidRPr="005C5D87">
        <w:rPr>
          <w:rStyle w:val="NoteChar"/>
          <w:lang w:val="es-ES"/>
        </w:rPr>
        <w:t>En la banda de frecuencias 9</w:t>
      </w:r>
      <w:r w:rsidR="0098580A">
        <w:rPr>
          <w:rStyle w:val="NoteChar"/>
          <w:lang w:val="es-ES"/>
        </w:rPr>
        <w:t> </w:t>
      </w:r>
      <w:r w:rsidR="000103FD" w:rsidRPr="005C5D87">
        <w:rPr>
          <w:rStyle w:val="NoteChar"/>
          <w:lang w:val="es-ES"/>
        </w:rPr>
        <w:t>900-10</w:t>
      </w:r>
      <w:r w:rsidR="0098580A">
        <w:rPr>
          <w:rStyle w:val="NoteChar"/>
          <w:lang w:val="es-ES"/>
        </w:rPr>
        <w:t> </w:t>
      </w:r>
      <w:r w:rsidR="000103FD" w:rsidRPr="005C5D87">
        <w:rPr>
          <w:rStyle w:val="NoteChar"/>
          <w:lang w:val="es-ES"/>
        </w:rPr>
        <w:t>400 MHz las estaciones del servicio de exploración de la Tierra por satélite (activo) no causarán interferencia perjudicial a las estaciones del servicio de radiolocalización, ni reclamarán protección contra las mismas.</w:t>
      </w:r>
      <w:r w:rsidR="000103FD" w:rsidRPr="005C5D87">
        <w:rPr>
          <w:lang w:val="es-ES"/>
        </w:rPr>
        <w:t xml:space="preserve"> </w:t>
      </w:r>
      <w:r w:rsidR="000103FD" w:rsidRPr="005C5D87">
        <w:rPr>
          <w:sz w:val="16"/>
          <w:lang w:val="es-ES"/>
        </w:rPr>
        <w:t>     (CMR</w:t>
      </w:r>
      <w:r w:rsidR="000103FD" w:rsidRPr="005C5D87">
        <w:rPr>
          <w:sz w:val="16"/>
          <w:lang w:val="es-ES"/>
        </w:rPr>
        <w:noBreakHyphen/>
        <w:t>15)</w:t>
      </w:r>
    </w:p>
    <w:p w:rsidR="00C55A6D" w:rsidRPr="005C5D87" w:rsidRDefault="00EC0E43" w:rsidP="005C5D87">
      <w:pPr>
        <w:pStyle w:val="Reasons"/>
        <w:rPr>
          <w:lang w:val="es-ES"/>
        </w:rPr>
      </w:pPr>
      <w:r w:rsidRPr="005C5D87">
        <w:rPr>
          <w:b/>
          <w:lang w:val="es-ES"/>
        </w:rPr>
        <w:t>Motivos:</w:t>
      </w:r>
      <w:r w:rsidRPr="005C5D87">
        <w:rPr>
          <w:lang w:val="es-ES"/>
        </w:rPr>
        <w:tab/>
      </w:r>
      <w:r w:rsidR="000103FD" w:rsidRPr="005C5D87">
        <w:rPr>
          <w:lang w:val="es-ES"/>
        </w:rPr>
        <w:t>La atribución primaria al SETS (activo) pasa a ser secundaria con respecto al SRL con atribuciones en esta banda a fin de garantizar la protección de las estaciones de estos servicios contra la interferencia perjudicial.</w:t>
      </w:r>
    </w:p>
    <w:p w:rsidR="00C55A6D" w:rsidRPr="005C5D87" w:rsidRDefault="00EC0E43" w:rsidP="005C5D87">
      <w:pPr>
        <w:pStyle w:val="Proposal"/>
        <w:rPr>
          <w:lang w:val="es-ES"/>
        </w:rPr>
      </w:pPr>
      <w:r w:rsidRPr="005C5D87">
        <w:rPr>
          <w:lang w:val="es-ES"/>
        </w:rPr>
        <w:lastRenderedPageBreak/>
        <w:t>SUP</w:t>
      </w:r>
      <w:r w:rsidRPr="005C5D87">
        <w:rPr>
          <w:lang w:val="es-ES"/>
        </w:rPr>
        <w:tab/>
        <w:t>BDI/KEN/UGA/RRW/TZA/85A12/8</w:t>
      </w:r>
    </w:p>
    <w:p w:rsidR="001B5C7C" w:rsidRPr="005C5D87" w:rsidRDefault="00EC0E43" w:rsidP="005C5D87">
      <w:pPr>
        <w:pStyle w:val="ResNo"/>
        <w:rPr>
          <w:lang w:val="es-ES"/>
        </w:rPr>
      </w:pPr>
      <w:bookmarkStart w:id="31" w:name="_Toc328141442"/>
      <w:r w:rsidRPr="005C5D87">
        <w:rPr>
          <w:lang w:val="es-ES"/>
        </w:rPr>
        <w:t xml:space="preserve">RESOLUCIÓN </w:t>
      </w:r>
      <w:r w:rsidRPr="005C5D87">
        <w:rPr>
          <w:rStyle w:val="href"/>
          <w:lang w:val="es-ES"/>
        </w:rPr>
        <w:t>651</w:t>
      </w:r>
      <w:r w:rsidRPr="005C5D87">
        <w:rPr>
          <w:lang w:val="es-ES"/>
        </w:rPr>
        <w:t xml:space="preserve"> (CMR-12)</w:t>
      </w:r>
      <w:bookmarkEnd w:id="31"/>
    </w:p>
    <w:p w:rsidR="001B5C7C" w:rsidRPr="005C5D87" w:rsidRDefault="00EC0E43" w:rsidP="005C5D87">
      <w:pPr>
        <w:pStyle w:val="Restitle"/>
        <w:rPr>
          <w:lang w:val="es-ES"/>
        </w:rPr>
      </w:pPr>
      <w:bookmarkStart w:id="32" w:name="_Toc328141443"/>
      <w:r w:rsidRPr="005C5D87">
        <w:rPr>
          <w:lang w:val="es-ES"/>
        </w:rPr>
        <w:t>Posibilidad de ampliar la actual atribución mundial al servicio</w:t>
      </w:r>
      <w:r w:rsidRPr="005C5D87">
        <w:rPr>
          <w:lang w:val="es-ES"/>
        </w:rPr>
        <w:br/>
        <w:t>de exploración de la Tierra por satélite (activo) en la banda</w:t>
      </w:r>
      <w:r w:rsidRPr="005C5D87">
        <w:rPr>
          <w:lang w:val="es-ES"/>
        </w:rPr>
        <w:br/>
        <w:t>de frecuencias 9 300-9 900 MHz hasta 600 MHz en las</w:t>
      </w:r>
      <w:r w:rsidRPr="005C5D87">
        <w:rPr>
          <w:lang w:val="es-ES"/>
        </w:rPr>
        <w:br/>
        <w:t>bandas de frecuencias 8 700-9 300 MHz</w:t>
      </w:r>
      <w:r w:rsidRPr="005C5D87">
        <w:rPr>
          <w:lang w:val="es-ES"/>
        </w:rPr>
        <w:br/>
        <w:t>y/o 9 900-10 500 MHz</w:t>
      </w:r>
      <w:bookmarkEnd w:id="32"/>
    </w:p>
    <w:p w:rsidR="00C55A6D" w:rsidRPr="005C5D87" w:rsidRDefault="00EC0E43" w:rsidP="005C5D87">
      <w:pPr>
        <w:pStyle w:val="Reasons"/>
        <w:rPr>
          <w:lang w:val="es-ES"/>
        </w:rPr>
      </w:pPr>
      <w:r w:rsidRPr="005C5D87">
        <w:rPr>
          <w:b/>
          <w:lang w:val="es-ES"/>
        </w:rPr>
        <w:t>Motivos:</w:t>
      </w:r>
      <w:r w:rsidRPr="005C5D87">
        <w:rPr>
          <w:lang w:val="es-ES"/>
        </w:rPr>
        <w:tab/>
      </w:r>
      <w:r w:rsidR="007C5FA9" w:rsidRPr="005C5D87">
        <w:rPr>
          <w:lang w:val="es-ES"/>
        </w:rPr>
        <w:t>La CMR-15 ha aprobado la ampliación de 600 MHz.</w:t>
      </w:r>
    </w:p>
    <w:p w:rsidR="00EC0E43" w:rsidRPr="005C5D87" w:rsidRDefault="00EC0E43" w:rsidP="005C5D87">
      <w:pPr>
        <w:pStyle w:val="Reasons"/>
        <w:rPr>
          <w:lang w:val="es-ES"/>
        </w:rPr>
      </w:pPr>
    </w:p>
    <w:p w:rsidR="00EC0E43" w:rsidRPr="005C5D87" w:rsidRDefault="00EC0E43" w:rsidP="005C5D87">
      <w:pPr>
        <w:jc w:val="center"/>
        <w:rPr>
          <w:lang w:val="es-ES"/>
        </w:rPr>
      </w:pPr>
      <w:r w:rsidRPr="005C5D87">
        <w:rPr>
          <w:lang w:val="es-ES"/>
        </w:rPr>
        <w:t>______________</w:t>
      </w:r>
    </w:p>
    <w:p w:rsidR="00EC0E43" w:rsidRPr="005C5D87" w:rsidRDefault="00EC0E43" w:rsidP="005C5D87">
      <w:pPr>
        <w:pStyle w:val="Reasons"/>
        <w:rPr>
          <w:lang w:val="es-ES"/>
        </w:rPr>
      </w:pPr>
    </w:p>
    <w:sectPr w:rsidR="00EC0E43" w:rsidRPr="005C5D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565E17" w:rsidRDefault="0077084A">
    <w:pPr>
      <w:ind w:right="360"/>
    </w:pPr>
    <w:r>
      <w:fldChar w:fldCharType="begin"/>
    </w:r>
    <w:r w:rsidRPr="00565E17">
      <w:instrText xml:space="preserve"> FILENAME \p  \* MERGEFORMAT </w:instrText>
    </w:r>
    <w:r>
      <w:fldChar w:fldCharType="separate"/>
    </w:r>
    <w:r w:rsidR="00565E17">
      <w:rPr>
        <w:noProof/>
      </w:rPr>
      <w:t>P:\ESP\ITU-R\CONF-R\CMR15\000\085ADD12S.docx</w:t>
    </w:r>
    <w:r>
      <w:fldChar w:fldCharType="end"/>
    </w:r>
    <w:r w:rsidRPr="00565E17">
      <w:tab/>
    </w:r>
    <w:r>
      <w:fldChar w:fldCharType="begin"/>
    </w:r>
    <w:r>
      <w:instrText xml:space="preserve"> SAVEDATE \@ DD.MM.YY </w:instrText>
    </w:r>
    <w:r>
      <w:fldChar w:fldCharType="separate"/>
    </w:r>
    <w:r w:rsidR="00565E17">
      <w:rPr>
        <w:noProof/>
      </w:rPr>
      <w:t>25.10.15</w:t>
    </w:r>
    <w:r>
      <w:fldChar w:fldCharType="end"/>
    </w:r>
    <w:r w:rsidRPr="00565E17">
      <w:tab/>
    </w:r>
    <w:r>
      <w:fldChar w:fldCharType="begin"/>
    </w:r>
    <w:r>
      <w:instrText xml:space="preserve"> PRINTDATE \@ DD.MM.YY </w:instrText>
    </w:r>
    <w:r>
      <w:fldChar w:fldCharType="separate"/>
    </w:r>
    <w:r w:rsidR="00565E17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5FD" w:rsidRPr="00BA5F72" w:rsidRDefault="00BA5F72" w:rsidP="00565E17">
    <w:pPr>
      <w:pStyle w:val="Footer"/>
      <w:rPr>
        <w:lang w:val="en-US"/>
      </w:rPr>
    </w:pPr>
    <w:r>
      <w:rPr>
        <w:noProof w:val="0"/>
        <w:sz w:val="24"/>
      </w:rPr>
      <w:fldChar w:fldCharType="begin"/>
    </w:r>
    <w:r w:rsidRPr="00A07654">
      <w:rPr>
        <w:lang w:val="en-US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="00565E17">
      <w:rPr>
        <w:lang w:val="en-US"/>
      </w:rPr>
      <w:t>P:\ESP\ITU-R\CONF-R\CMR15\000\085ADD12S.docx</w:t>
    </w:r>
    <w:r>
      <w:fldChar w:fldCharType="end"/>
    </w:r>
    <w:r>
      <w:t xml:space="preserve"> (388586)</w:t>
    </w:r>
    <w:r w:rsidRPr="00A0765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65E17">
      <w:t>25.10.15</w:t>
    </w:r>
    <w:r>
      <w:fldChar w:fldCharType="end"/>
    </w:r>
    <w:r w:rsidRPr="00A0765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E17">
      <w:t>25.10.15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E465FD" w:rsidP="00565E17">
    <w:pPr>
      <w:pStyle w:val="Footer"/>
      <w:rPr>
        <w:lang w:val="en-US"/>
      </w:rPr>
    </w:pPr>
    <w:r>
      <w:rPr>
        <w:noProof w:val="0"/>
        <w:sz w:val="24"/>
      </w:rPr>
      <w:fldChar w:fldCharType="begin"/>
    </w:r>
    <w:r w:rsidRPr="00A07654">
      <w:rPr>
        <w:lang w:val="en-US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="00565E17">
      <w:rPr>
        <w:lang w:val="en-US"/>
      </w:rPr>
      <w:t>P:\ESP\ITU-R\CONF-R\CMR15\000\085ADD12S.docx</w:t>
    </w:r>
    <w:r>
      <w:fldChar w:fldCharType="end"/>
    </w:r>
    <w:r w:rsidR="00BA5F72">
      <w:t xml:space="preserve"> (388586)</w:t>
    </w:r>
    <w:r w:rsidRPr="00A0765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65E17">
      <w:t>25.10.15</w:t>
    </w:r>
    <w:r>
      <w:fldChar w:fldCharType="end"/>
    </w:r>
    <w:r w:rsidRPr="00A0765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E17">
      <w:t>25.10.15</w:t>
    </w:r>
    <w:r>
      <w:fldChar w:fldCharType="end"/>
    </w:r>
    <w:bookmarkStart w:id="33" w:name="_GoBack"/>
    <w:bookmarkEnd w:id="3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E17" w:rsidRDefault="00565E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65E17">
      <w:rPr>
        <w:rStyle w:val="PageNumber"/>
        <w:noProof/>
      </w:rPr>
      <w:t>4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85(Add.12)-</w:t>
    </w:r>
    <w:r w:rsidR="003248A9" w:rsidRPr="003248A9">
      <w:t>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E17" w:rsidRDefault="00565E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103FD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711D5"/>
    <w:rsid w:val="0017749A"/>
    <w:rsid w:val="00191A97"/>
    <w:rsid w:val="001A083F"/>
    <w:rsid w:val="001B7CA7"/>
    <w:rsid w:val="001C41FA"/>
    <w:rsid w:val="001E2B52"/>
    <w:rsid w:val="001E3F27"/>
    <w:rsid w:val="001F2143"/>
    <w:rsid w:val="00236D2A"/>
    <w:rsid w:val="00255F12"/>
    <w:rsid w:val="00262C09"/>
    <w:rsid w:val="00273D02"/>
    <w:rsid w:val="002A791F"/>
    <w:rsid w:val="002C1B26"/>
    <w:rsid w:val="002C5D6C"/>
    <w:rsid w:val="002E701F"/>
    <w:rsid w:val="003248A9"/>
    <w:rsid w:val="00324FFA"/>
    <w:rsid w:val="0032680B"/>
    <w:rsid w:val="003456AE"/>
    <w:rsid w:val="00363A65"/>
    <w:rsid w:val="003B1E8C"/>
    <w:rsid w:val="003B1FAA"/>
    <w:rsid w:val="003C2508"/>
    <w:rsid w:val="003D0AA3"/>
    <w:rsid w:val="00440B3A"/>
    <w:rsid w:val="0045384C"/>
    <w:rsid w:val="00454553"/>
    <w:rsid w:val="0047461B"/>
    <w:rsid w:val="004B124A"/>
    <w:rsid w:val="005133B5"/>
    <w:rsid w:val="00532097"/>
    <w:rsid w:val="00565E17"/>
    <w:rsid w:val="0058350F"/>
    <w:rsid w:val="00583C7E"/>
    <w:rsid w:val="005C5D87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B2549"/>
    <w:rsid w:val="007C0B95"/>
    <w:rsid w:val="007C2317"/>
    <w:rsid w:val="007C5FA9"/>
    <w:rsid w:val="007D330A"/>
    <w:rsid w:val="00866AE6"/>
    <w:rsid w:val="008750A8"/>
    <w:rsid w:val="008E5AF2"/>
    <w:rsid w:val="0090121B"/>
    <w:rsid w:val="009144C9"/>
    <w:rsid w:val="0094091F"/>
    <w:rsid w:val="00973754"/>
    <w:rsid w:val="0098580A"/>
    <w:rsid w:val="009C0BED"/>
    <w:rsid w:val="009E11EC"/>
    <w:rsid w:val="00A07654"/>
    <w:rsid w:val="00A118DB"/>
    <w:rsid w:val="00A4450C"/>
    <w:rsid w:val="00A7334F"/>
    <w:rsid w:val="00AA5E6C"/>
    <w:rsid w:val="00AE5677"/>
    <w:rsid w:val="00AE658F"/>
    <w:rsid w:val="00AF2F78"/>
    <w:rsid w:val="00B14F57"/>
    <w:rsid w:val="00B239FA"/>
    <w:rsid w:val="00B52D55"/>
    <w:rsid w:val="00B8288C"/>
    <w:rsid w:val="00B92445"/>
    <w:rsid w:val="00BA5F72"/>
    <w:rsid w:val="00BE2E80"/>
    <w:rsid w:val="00BE5EDD"/>
    <w:rsid w:val="00BE6A1F"/>
    <w:rsid w:val="00BF08BA"/>
    <w:rsid w:val="00C10C12"/>
    <w:rsid w:val="00C126C4"/>
    <w:rsid w:val="00C55A6D"/>
    <w:rsid w:val="00C63EB5"/>
    <w:rsid w:val="00CC01E0"/>
    <w:rsid w:val="00CD5FEE"/>
    <w:rsid w:val="00CE60D2"/>
    <w:rsid w:val="00CE7431"/>
    <w:rsid w:val="00D0288A"/>
    <w:rsid w:val="00D06ADF"/>
    <w:rsid w:val="00D06ECB"/>
    <w:rsid w:val="00D72A5D"/>
    <w:rsid w:val="00D76C9D"/>
    <w:rsid w:val="00DC629B"/>
    <w:rsid w:val="00E05BFF"/>
    <w:rsid w:val="00E262F1"/>
    <w:rsid w:val="00E3176A"/>
    <w:rsid w:val="00E465FD"/>
    <w:rsid w:val="00E54754"/>
    <w:rsid w:val="00E56BD3"/>
    <w:rsid w:val="00E71D14"/>
    <w:rsid w:val="00EC0E43"/>
    <w:rsid w:val="00EE247A"/>
    <w:rsid w:val="00F66597"/>
    <w:rsid w:val="00F675D0"/>
    <w:rsid w:val="00F8150C"/>
    <w:rsid w:val="00FA7FBF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F5CF6BB-06E1-47FC-918B-133EFEBD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link w:val="NoteChar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NoteChar">
    <w:name w:val="Note Char"/>
    <w:basedOn w:val="DefaultParagraphFont"/>
    <w:link w:val="Note"/>
    <w:rsid w:val="000103FD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BF08B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F08BA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R15-WRC15-C-0085!A12!MSW-S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40364BE-12D8-4325-9B70-F641F0149259}">
  <ds:schemaRefs>
    <ds:schemaRef ds:uri="http://schemas.openxmlformats.org/package/2006/metadata/core-properties"/>
    <ds:schemaRef ds:uri="http://www.w3.org/XML/1998/namespace"/>
    <ds:schemaRef ds:uri="32a1a8c5-2265-4ebc-b7a0-2071e2c5c9bb"/>
    <ds:schemaRef ds:uri="http://purl.org/dc/elements/1.1/"/>
    <ds:schemaRef ds:uri="996b2e75-67fd-4955-a3b0-5ab9934cb50b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5704A4-B287-4095-9263-1740B5CE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868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R15-WRC15-C-0085!A12!MSW-S</vt:lpstr>
    </vt:vector>
  </TitlesOfParts>
  <Manager>Secretaría General - Pool</Manager>
  <Company>Unión Internacional de Telecomunicaciones (UIT)</Company>
  <LinksUpToDate>false</LinksUpToDate>
  <CharactersWithSpaces>5764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R15-WRC15-C-0085!A12!MSW-S</dc:title>
  <dc:subject>Conferencia Mundial de Radiocomunicaciones - 2015</dc:subject>
  <dc:creator>Documents Proposals Manager (DPM)</dc:creator>
  <cp:keywords>DPM_v5.2015.10.8_prod</cp:keywords>
  <dc:description/>
  <cp:lastModifiedBy>Spanish</cp:lastModifiedBy>
  <cp:revision>10</cp:revision>
  <cp:lastPrinted>2015-10-25T12:50:00Z</cp:lastPrinted>
  <dcterms:created xsi:type="dcterms:W3CDTF">2015-10-25T12:46:00Z</dcterms:created>
  <dcterms:modified xsi:type="dcterms:W3CDTF">2015-10-25T12:50:00Z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