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DC4A0E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85(Add.10)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="00DC4A0E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C4A0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8B60D0" w:rsidRPr="00D42E4F" w:rsidRDefault="00F2549C" w:rsidP="00972BA5">
      <w:pPr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根据第</w:t>
      </w:r>
      <w:r w:rsidRPr="009C33AA">
        <w:rPr>
          <w:b/>
          <w:bCs/>
          <w:color w:val="000000"/>
          <w:lang w:eastAsia="zh-CN"/>
        </w:rPr>
        <w:t>234</w:t>
      </w:r>
      <w:r w:rsidRPr="009C33AA">
        <w:rPr>
          <w:rFonts w:hint="eastAsia"/>
          <w:color w:val="000000"/>
          <w:lang w:eastAsia="zh-CN"/>
        </w:rPr>
        <w:t>号决议</w:t>
      </w:r>
      <w:r w:rsidRPr="009C33AA">
        <w:rPr>
          <w:rFonts w:hint="eastAsia"/>
          <w:b/>
          <w:bCs/>
          <w:color w:val="000000"/>
          <w:lang w:eastAsia="zh-CN"/>
        </w:rPr>
        <w:t>（</w:t>
      </w:r>
      <w:r w:rsidRPr="009C33AA">
        <w:rPr>
          <w:b/>
          <w:bCs/>
          <w:color w:val="000000"/>
          <w:lang w:eastAsia="zh-CN"/>
        </w:rPr>
        <w:t>WRC-12</w:t>
      </w:r>
      <w:r w:rsidRPr="009C33AA">
        <w:rPr>
          <w:rFonts w:hint="eastAsia"/>
          <w:b/>
          <w:bCs/>
          <w:color w:val="000000"/>
          <w:lang w:eastAsia="zh-CN"/>
        </w:rPr>
        <w:t>）</w:t>
      </w:r>
      <w:r w:rsidRPr="009C33AA">
        <w:rPr>
          <w:rFonts w:hint="eastAsia"/>
          <w:color w:val="000000"/>
          <w:lang w:eastAsia="zh-CN"/>
        </w:rPr>
        <w:t>，考虑在</w:t>
      </w:r>
      <w:r w:rsidRPr="009C33AA">
        <w:rPr>
          <w:color w:val="000000"/>
          <w:lang w:eastAsia="zh-CN"/>
        </w:rPr>
        <w:t>22</w:t>
      </w:r>
      <w:r w:rsidRPr="009C33AA">
        <w:rPr>
          <w:lang w:eastAsia="zh-CN"/>
        </w:rPr>
        <w:t> 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26 GHz</w:t>
      </w:r>
      <w:r w:rsidRPr="009C33AA">
        <w:rPr>
          <w:rFonts w:hint="eastAsia"/>
          <w:color w:val="000000"/>
          <w:lang w:eastAsia="zh-CN"/>
        </w:rPr>
        <w:t>的频率范围内卫星移动业务地对空和空对地方向（包括涵盖国际移动通信（</w:t>
      </w:r>
      <w:r w:rsidRPr="009C33AA">
        <w:rPr>
          <w:color w:val="000000"/>
          <w:lang w:eastAsia="zh-CN"/>
        </w:rPr>
        <w:t>IMT</w:t>
      </w:r>
      <w:r w:rsidRPr="009C33AA">
        <w:rPr>
          <w:rFonts w:hint="eastAsia"/>
          <w:color w:val="000000"/>
          <w:lang w:eastAsia="zh-CN"/>
        </w:rPr>
        <w:t>）的宽带应用的卫星部分）的频谱需求并考虑做出可能的附加频谱划分；</w:t>
      </w:r>
    </w:p>
    <w:p w:rsidR="00DC4A0E" w:rsidRDefault="00DC4A0E" w:rsidP="00DC4A0E">
      <w:pPr>
        <w:rPr>
          <w:lang w:eastAsia="zh-CN"/>
        </w:rPr>
      </w:pPr>
    </w:p>
    <w:p w:rsidR="00DC4A0E" w:rsidRPr="00881745" w:rsidRDefault="00DC4A0E" w:rsidP="00DC4A0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C4A0E" w:rsidRDefault="00DC4A0E" w:rsidP="00DC4A0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本议项要求审议</w:t>
      </w:r>
      <w:r>
        <w:rPr>
          <w:rFonts w:hint="eastAsia"/>
          <w:lang w:val="en-US" w:eastAsia="zh-CN"/>
        </w:rPr>
        <w:t xml:space="preserve">22 </w:t>
      </w:r>
      <w:r>
        <w:rPr>
          <w:lang w:val="en-US" w:eastAsia="zh-CN"/>
        </w:rPr>
        <w:t>GHz</w:t>
      </w:r>
      <w:r>
        <w:rPr>
          <w:rFonts w:hint="eastAsia"/>
          <w:lang w:val="en-US" w:eastAsia="zh-CN"/>
        </w:rPr>
        <w:t>至</w:t>
      </w:r>
      <w:r>
        <w:rPr>
          <w:rFonts w:hint="eastAsia"/>
          <w:lang w:val="en-US" w:eastAsia="zh-CN"/>
        </w:rPr>
        <w:t>26</w:t>
      </w:r>
      <w:r>
        <w:rPr>
          <w:lang w:val="en-US" w:eastAsia="zh-CN"/>
        </w:rPr>
        <w:t xml:space="preserve"> GHz</w:t>
      </w:r>
      <w:r>
        <w:rPr>
          <w:rFonts w:hint="eastAsia"/>
          <w:lang w:val="en-US" w:eastAsia="zh-CN"/>
        </w:rPr>
        <w:t>频率范围内</w:t>
      </w:r>
      <w:r>
        <w:rPr>
          <w:rFonts w:hint="eastAsia"/>
          <w:lang w:val="en-US" w:eastAsia="zh-CN"/>
        </w:rPr>
        <w:t>MSS</w:t>
      </w:r>
      <w:r>
        <w:rPr>
          <w:rFonts w:hint="eastAsia"/>
          <w:lang w:val="en-US" w:eastAsia="zh-CN"/>
        </w:rPr>
        <w:t>的频谱需求和可能的附加频谱划分。在</w:t>
      </w: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成员国（</w:t>
      </w:r>
      <w:r>
        <w:rPr>
          <w:lang w:eastAsia="zh-CN"/>
        </w:rPr>
        <w:t>BDI/KEN/RRW/TZA/UGA</w:t>
      </w:r>
      <w:r>
        <w:rPr>
          <w:rFonts w:hint="eastAsia"/>
          <w:lang w:val="en-US" w:eastAsia="zh-CN"/>
        </w:rPr>
        <w:t>）内，此频率范围被广泛用于固定业务。此外，有关拟议候选频段的研究尚未最终完成，主管部门无法就此做出决定。因此，支持采用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报告中提议的方法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。</w:t>
      </w:r>
    </w:p>
    <w:p w:rsidR="00DC4A0E" w:rsidRPr="00A44BD7" w:rsidRDefault="00DC4A0E" w:rsidP="00DC4A0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DC4A0E" w:rsidP="00DC4A0E">
      <w:pPr>
        <w:ind w:firstLineChars="200" w:firstLine="480"/>
        <w:rPr>
          <w:lang w:eastAsia="zh-CN"/>
        </w:rPr>
      </w:pPr>
      <w:r>
        <w:rPr>
          <w:lang w:eastAsia="zh-CN"/>
        </w:rPr>
        <w:t>BDI/KEN/RRW/TZA/UGA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EACO</w:t>
      </w:r>
      <w:r>
        <w:rPr>
          <w:rFonts w:hint="eastAsia"/>
          <w:lang w:val="en-US" w:eastAsia="zh-CN"/>
        </w:rPr>
        <w:t>成员国）做出如下提案。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E590C" w:rsidRPr="00DC4A0E" w:rsidRDefault="00F2549C">
      <w:pPr>
        <w:pStyle w:val="Proposal"/>
        <w:rPr>
          <w:lang w:val="es-ES_tradnl"/>
        </w:rPr>
      </w:pPr>
      <w:r w:rsidRPr="00DC4A0E">
        <w:rPr>
          <w:u w:val="single"/>
          <w:lang w:val="es-ES_tradnl"/>
        </w:rPr>
        <w:lastRenderedPageBreak/>
        <w:t>NOC</w:t>
      </w:r>
      <w:r w:rsidRPr="00DC4A0E">
        <w:rPr>
          <w:lang w:val="es-ES_tradnl"/>
        </w:rPr>
        <w:tab/>
        <w:t>BDI/KEN/UGA/RRW/TZA/85A10/1</w:t>
      </w:r>
    </w:p>
    <w:p w:rsidR="00DC4A0E" w:rsidRDefault="00DC4A0E" w:rsidP="00DC4A0E">
      <w:pPr>
        <w:pStyle w:val="Title1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DC4A0E" w:rsidRDefault="00DC4A0E" w:rsidP="00F254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</w:p>
    <w:p w:rsidR="00DC4A0E" w:rsidRDefault="00DC4A0E" w:rsidP="00DC4A0E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研究尚未最终完成，主管部门无法就此做出决定。</w:t>
      </w:r>
    </w:p>
    <w:p w:rsidR="00DC4A0E" w:rsidRDefault="00DC4A0E" w:rsidP="00DC4A0E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国家内，该频率范围被广泛用于固定业务，而为</w:t>
      </w:r>
      <w:r>
        <w:rPr>
          <w:lang w:eastAsia="zh-CN"/>
        </w:rPr>
        <w:t>MSS</w:t>
      </w:r>
      <w:r>
        <w:rPr>
          <w:rFonts w:hint="eastAsia"/>
          <w:lang w:eastAsia="zh-CN"/>
        </w:rPr>
        <w:t>做出的新划分有可能对这些固定业务造成影响。</w:t>
      </w:r>
    </w:p>
    <w:p w:rsidR="007E590C" w:rsidRDefault="00F2549C">
      <w:pPr>
        <w:pStyle w:val="Proposal"/>
      </w:pPr>
      <w:r>
        <w:t>SUP</w:t>
      </w:r>
      <w:r>
        <w:tab/>
        <w:t>BDI/KEN/UGA/RRW/TZA/85A10/2</w:t>
      </w:r>
    </w:p>
    <w:p w:rsidR="00F24DDE" w:rsidRPr="00DC4A0E" w:rsidRDefault="00F2549C" w:rsidP="00DC4A0E">
      <w:pPr>
        <w:pStyle w:val="ResNo"/>
      </w:pPr>
      <w:bookmarkStart w:id="8" w:name="_Toc328053082"/>
      <w:r w:rsidRPr="00DC4A0E">
        <w:rPr>
          <w:rFonts w:hint="eastAsia"/>
        </w:rPr>
        <w:t>第</w:t>
      </w:r>
      <w:r w:rsidRPr="00DC4A0E">
        <w:rPr>
          <w:rStyle w:val="href"/>
          <w:rFonts w:hint="eastAsia"/>
        </w:rPr>
        <w:t>234</w:t>
      </w:r>
      <w:bookmarkStart w:id="9" w:name="_GoBack"/>
      <w:bookmarkEnd w:id="9"/>
      <w:r w:rsidRPr="00DC4A0E">
        <w:rPr>
          <w:rFonts w:hint="eastAsia"/>
        </w:rPr>
        <w:t>号决议</w:t>
      </w:r>
      <w:r w:rsidRPr="00DC4A0E">
        <w:rPr>
          <w:rFonts w:hint="eastAsia"/>
        </w:rPr>
        <w:t>（</w:t>
      </w:r>
      <w:r w:rsidRPr="00DC4A0E">
        <w:t>WRC-12</w:t>
      </w:r>
      <w:r w:rsidRPr="00DC4A0E">
        <w:rPr>
          <w:rFonts w:hint="eastAsia"/>
        </w:rPr>
        <w:t>）</w:t>
      </w:r>
      <w:bookmarkEnd w:id="8"/>
    </w:p>
    <w:p w:rsidR="00F24DDE" w:rsidRPr="00593CC2" w:rsidRDefault="00F2549C" w:rsidP="00F24DDE">
      <w:pPr>
        <w:pStyle w:val="Restitle"/>
        <w:rPr>
          <w:rFonts w:ascii="Times New Roman" w:hAnsi="Times New Roman"/>
          <w:lang w:eastAsia="zh-CN"/>
        </w:rPr>
      </w:pPr>
      <w:bookmarkStart w:id="10" w:name="_Toc328053083"/>
      <w:r w:rsidRPr="00593CC2">
        <w:rPr>
          <w:rFonts w:ascii="Times New Roman" w:hint="eastAsia"/>
          <w:lang w:eastAsia="zh-CN"/>
        </w:rPr>
        <w:t>在</w:t>
      </w:r>
      <w:r>
        <w:rPr>
          <w:rFonts w:hint="eastAsia"/>
          <w:lang w:eastAsia="zh-CN"/>
        </w:rPr>
        <w:t>22</w:t>
      </w:r>
      <w:r w:rsidRPr="00274E84">
        <w:rPr>
          <w:lang w:eastAsia="zh-CN"/>
        </w:rPr>
        <w:t xml:space="preserve"> 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 GHz</w:t>
      </w:r>
      <w:r>
        <w:rPr>
          <w:rFonts w:ascii="Times New Roman" w:hAnsi="Times New Roman" w:hint="eastAsia"/>
          <w:lang w:eastAsia="zh-CN"/>
        </w:rPr>
        <w:t>频段内增加</w:t>
      </w:r>
      <w:r w:rsidRPr="00593CC2">
        <w:rPr>
          <w:rFonts w:ascii="Times New Roman" w:hint="eastAsia"/>
          <w:lang w:eastAsia="zh-CN"/>
        </w:rPr>
        <w:t>卫星移动业务</w:t>
      </w:r>
      <w:r>
        <w:rPr>
          <w:rFonts w:ascii="Times New Roman"/>
          <w:lang w:eastAsia="zh-CN"/>
        </w:rPr>
        <w:br/>
      </w:r>
      <w:r>
        <w:rPr>
          <w:rFonts w:ascii="Times New Roman" w:hAnsi="Times New Roman" w:hint="eastAsia"/>
          <w:lang w:eastAsia="zh-CN"/>
        </w:rPr>
        <w:t>主要业务</w:t>
      </w:r>
      <w:r w:rsidRPr="00593CC2">
        <w:rPr>
          <w:rFonts w:ascii="Times New Roman" w:hint="eastAsia"/>
          <w:lang w:eastAsia="zh-CN"/>
        </w:rPr>
        <w:t>的划分</w:t>
      </w:r>
      <w:bookmarkEnd w:id="10"/>
    </w:p>
    <w:p w:rsidR="007E590C" w:rsidRDefault="007E590C">
      <w:pPr>
        <w:pStyle w:val="Reasons"/>
        <w:rPr>
          <w:lang w:eastAsia="zh-CN"/>
        </w:rPr>
      </w:pPr>
    </w:p>
    <w:p w:rsidR="00DC4A0E" w:rsidRDefault="00DC4A0E" w:rsidP="0032202E">
      <w:pPr>
        <w:pStyle w:val="Reasons"/>
      </w:pPr>
    </w:p>
    <w:p w:rsidR="00DC4A0E" w:rsidRDefault="00DC4A0E">
      <w:pPr>
        <w:jc w:val="center"/>
      </w:pPr>
      <w:r>
        <w:t>______________</w:t>
      </w:r>
    </w:p>
    <w:p w:rsidR="00DC4A0E" w:rsidRDefault="00DC4A0E">
      <w:pPr>
        <w:pStyle w:val="Reasons"/>
        <w:rPr>
          <w:lang w:eastAsia="zh-CN"/>
        </w:rPr>
      </w:pPr>
    </w:p>
    <w:sectPr w:rsidR="00DC4A0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2549C">
      <w:rPr>
        <w:lang w:val="en-US"/>
      </w:rPr>
      <w:t>P:\CHI\ITU-R\CONF-R\CMR15\000\085ADD10C.docx</w:t>
    </w:r>
    <w:r>
      <w:fldChar w:fldCharType="end"/>
    </w:r>
    <w:r w:rsidR="00F2549C">
      <w:t xml:space="preserve"> (388601)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549C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549C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2549C" w:rsidRDefault="00F2549C" w:rsidP="00F2549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P:\CHI\ITU-R\CONF-R\CMR15\000\085ADD10C.docx</w:t>
    </w:r>
    <w:r>
      <w:fldChar w:fldCharType="end"/>
    </w:r>
    <w:r>
      <w:t xml:space="preserve"> (388601)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549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E590C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C4A0E"/>
    <w:rsid w:val="00DD13B7"/>
    <w:rsid w:val="00DF3B0C"/>
    <w:rsid w:val="00E14984"/>
    <w:rsid w:val="00E22A25"/>
    <w:rsid w:val="00E560F1"/>
    <w:rsid w:val="00E92319"/>
    <w:rsid w:val="00F2549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47A103-F34F-420B-9D89-F641D2F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4E9C-88A9-42F5-A425-CE1317E47BD7}">
  <ds:schemaRefs>
    <ds:schemaRef ds:uri="http://schemas.microsoft.com/office/infopath/2007/PartnerControl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624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R15-WRC15-C-0085!A10!MSW-C</vt:lpstr>
    </vt:vector>
  </TitlesOfParts>
  <Manager>General Secretariat - Pool</Manager>
  <Company>International Telecommunication Union (ITU)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R15-WRC15-C-0085!A10!MSW-C</dc:title>
  <dc:subject>World Radiocommunication Conference - 2015</dc:subject>
  <dc:creator>Documents Proposals Manager (DPM)</dc:creator>
  <cp:keywords>DPM_v5.2015.10.280_prod</cp:keywords>
  <dc:description/>
  <cp:lastModifiedBy>Zheng, Bingyue</cp:lastModifiedBy>
  <cp:revision>3</cp:revision>
  <cp:lastPrinted>2015-10-28T22:30:00Z</cp:lastPrinted>
  <dcterms:created xsi:type="dcterms:W3CDTF">2015-10-28T22:24:00Z</dcterms:created>
  <dcterms:modified xsi:type="dcterms:W3CDTF">2015-10-28T22:30:00Z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