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569" w:type="dxa"/>
        <w:tblLayout w:type="fixed"/>
        <w:tblLook w:val="0000" w:firstRow="0" w:lastRow="0" w:firstColumn="0" w:lastColumn="0" w:noHBand="0" w:noVBand="0"/>
      </w:tblPr>
      <w:tblGrid>
        <w:gridCol w:w="6733"/>
        <w:gridCol w:w="3298"/>
        <w:gridCol w:w="538"/>
      </w:tblGrid>
      <w:tr w:rsidR="00BB1D82" w:rsidRPr="008C1268" w:rsidTr="00036FF3">
        <w:trPr>
          <w:gridAfter w:val="1"/>
          <w:wAfter w:w="538" w:type="dxa"/>
          <w:cantSplit/>
        </w:trPr>
        <w:tc>
          <w:tcPr>
            <w:tcW w:w="6733" w:type="dxa"/>
          </w:tcPr>
          <w:p w:rsidR="00BB1D82" w:rsidRPr="008C1268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 w:rsidRPr="008C1268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8C1268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126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8C126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126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298" w:type="dxa"/>
          </w:tcPr>
          <w:p w:rsidR="00BB1D82" w:rsidRPr="008C1268" w:rsidRDefault="002C28A4" w:rsidP="002C28A4">
            <w:pPr>
              <w:spacing w:before="0" w:line="240" w:lineRule="atLeast"/>
              <w:jc w:val="right"/>
              <w:rPr>
                <w:lang w:val="fr-CH"/>
              </w:rPr>
            </w:pPr>
            <w:bookmarkStart w:id="1" w:name="ditulogo"/>
            <w:bookmarkEnd w:id="1"/>
            <w:r w:rsidRPr="008C1268">
              <w:rPr>
                <w:noProof/>
                <w:lang w:val="en-GB" w:eastAsia="zh-CN"/>
              </w:rPr>
              <w:drawing>
                <wp:inline distT="0" distB="0" distL="0" distR="0" wp14:anchorId="48D7EC13" wp14:editId="1E8882E6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8C1268" w:rsidTr="00036FF3">
        <w:trPr>
          <w:gridAfter w:val="1"/>
          <w:wAfter w:w="538" w:type="dxa"/>
          <w:cantSplit/>
        </w:trPr>
        <w:tc>
          <w:tcPr>
            <w:tcW w:w="6733" w:type="dxa"/>
            <w:tcBorders>
              <w:bottom w:val="single" w:sz="12" w:space="0" w:color="auto"/>
            </w:tcBorders>
          </w:tcPr>
          <w:p w:rsidR="00BB1D82" w:rsidRPr="008C1268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2" w:name="dhead"/>
            <w:r w:rsidRPr="008C1268">
              <w:rPr>
                <w:rFonts w:ascii="Verdana" w:hAnsi="Verdana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298" w:type="dxa"/>
            <w:tcBorders>
              <w:bottom w:val="single" w:sz="12" w:space="0" w:color="auto"/>
            </w:tcBorders>
          </w:tcPr>
          <w:p w:rsidR="00BB1D82" w:rsidRPr="008C1268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8C1268" w:rsidTr="00036FF3">
        <w:trPr>
          <w:gridAfter w:val="1"/>
          <w:wAfter w:w="538" w:type="dxa"/>
          <w:cantSplit/>
        </w:trPr>
        <w:tc>
          <w:tcPr>
            <w:tcW w:w="6733" w:type="dxa"/>
            <w:tcBorders>
              <w:top w:val="single" w:sz="12" w:space="0" w:color="auto"/>
            </w:tcBorders>
          </w:tcPr>
          <w:p w:rsidR="00BB1D82" w:rsidRPr="008C1268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98" w:type="dxa"/>
            <w:tcBorders>
              <w:top w:val="single" w:sz="12" w:space="0" w:color="auto"/>
            </w:tcBorders>
          </w:tcPr>
          <w:p w:rsidR="00BB1D82" w:rsidRPr="008C1268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8C1268" w:rsidTr="00036FF3">
        <w:trPr>
          <w:cantSplit/>
        </w:trPr>
        <w:tc>
          <w:tcPr>
            <w:tcW w:w="6733" w:type="dxa"/>
            <w:shd w:val="clear" w:color="auto" w:fill="auto"/>
          </w:tcPr>
          <w:p w:rsidR="00BB1D82" w:rsidRPr="008C1268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8C1268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836" w:type="dxa"/>
            <w:gridSpan w:val="2"/>
            <w:shd w:val="clear" w:color="auto" w:fill="auto"/>
          </w:tcPr>
          <w:p w:rsidR="00BB1D82" w:rsidRPr="008C1268" w:rsidRDefault="00DB6285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 au</w:t>
            </w:r>
            <w:r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 xml:space="preserve">Document </w:t>
            </w:r>
            <w:r w:rsidR="006D4724" w:rsidRPr="008C1268">
              <w:rPr>
                <w:rFonts w:ascii="Verdana" w:eastAsia="SimSun" w:hAnsi="Verdana" w:cs="Traditional Arabic"/>
                <w:b/>
                <w:sz w:val="20"/>
                <w:lang w:val="fr-CH"/>
              </w:rPr>
              <w:t>82(Add.23)(Add.1)</w:t>
            </w:r>
            <w:r w:rsidR="00BB1D82" w:rsidRPr="008C1268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="006D4724" w:rsidRPr="008C1268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2"/>
      <w:tr w:rsidR="00690C7B" w:rsidRPr="008C1268" w:rsidTr="00036FF3">
        <w:trPr>
          <w:gridAfter w:val="1"/>
          <w:wAfter w:w="538" w:type="dxa"/>
          <w:cantSplit/>
        </w:trPr>
        <w:tc>
          <w:tcPr>
            <w:tcW w:w="6733" w:type="dxa"/>
            <w:shd w:val="clear" w:color="auto" w:fill="auto"/>
          </w:tcPr>
          <w:p w:rsidR="00690C7B" w:rsidRPr="008C1268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298" w:type="dxa"/>
            <w:shd w:val="clear" w:color="auto" w:fill="auto"/>
          </w:tcPr>
          <w:p w:rsidR="00690C7B" w:rsidRPr="008C1268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8C1268">
              <w:rPr>
                <w:rFonts w:ascii="Verdana" w:hAnsi="Verdana"/>
                <w:b/>
                <w:sz w:val="20"/>
                <w:lang w:val="fr-CH"/>
              </w:rPr>
              <w:t>16 octobre 2015</w:t>
            </w:r>
          </w:p>
        </w:tc>
      </w:tr>
      <w:tr w:rsidR="00690C7B" w:rsidRPr="008C1268" w:rsidTr="00036FF3">
        <w:trPr>
          <w:gridAfter w:val="1"/>
          <w:wAfter w:w="538" w:type="dxa"/>
          <w:cantSplit/>
        </w:trPr>
        <w:tc>
          <w:tcPr>
            <w:tcW w:w="6733" w:type="dxa"/>
          </w:tcPr>
          <w:p w:rsidR="00690C7B" w:rsidRPr="008C1268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98" w:type="dxa"/>
          </w:tcPr>
          <w:p w:rsidR="00690C7B" w:rsidRPr="008C1268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8C1268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8C1268" w:rsidTr="00036FF3">
        <w:trPr>
          <w:gridAfter w:val="1"/>
          <w:wAfter w:w="538" w:type="dxa"/>
          <w:cantSplit/>
        </w:trPr>
        <w:tc>
          <w:tcPr>
            <w:tcW w:w="10031" w:type="dxa"/>
            <w:gridSpan w:val="2"/>
          </w:tcPr>
          <w:p w:rsidR="00690C7B" w:rsidRPr="008C1268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8C1268" w:rsidTr="00036FF3">
        <w:trPr>
          <w:gridAfter w:val="1"/>
          <w:wAfter w:w="538" w:type="dxa"/>
          <w:cantSplit/>
        </w:trPr>
        <w:tc>
          <w:tcPr>
            <w:tcW w:w="10031" w:type="dxa"/>
            <w:gridSpan w:val="2"/>
          </w:tcPr>
          <w:p w:rsidR="00690C7B" w:rsidRPr="008C1268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8C1268">
              <w:rPr>
                <w:lang w:val="fr-CH"/>
              </w:rPr>
              <w:t>Ouganda (République de l')</w:t>
            </w:r>
          </w:p>
        </w:tc>
      </w:tr>
      <w:tr w:rsidR="00690C7B" w:rsidRPr="008C1268" w:rsidTr="00036FF3">
        <w:trPr>
          <w:gridAfter w:val="1"/>
          <w:wAfter w:w="538" w:type="dxa"/>
          <w:cantSplit/>
        </w:trPr>
        <w:tc>
          <w:tcPr>
            <w:tcW w:w="10031" w:type="dxa"/>
            <w:gridSpan w:val="2"/>
          </w:tcPr>
          <w:p w:rsidR="00690C7B" w:rsidRPr="008C1268" w:rsidRDefault="00690C7B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8C1268">
              <w:rPr>
                <w:lang w:val="fr-CH"/>
              </w:rPr>
              <w:t>Propositions pour les travaux de la conférence</w:t>
            </w:r>
          </w:p>
        </w:tc>
      </w:tr>
      <w:tr w:rsidR="00690C7B" w:rsidRPr="008C1268" w:rsidTr="00036FF3">
        <w:trPr>
          <w:gridAfter w:val="1"/>
          <w:wAfter w:w="538" w:type="dxa"/>
          <w:cantSplit/>
        </w:trPr>
        <w:tc>
          <w:tcPr>
            <w:tcW w:w="10031" w:type="dxa"/>
            <w:gridSpan w:val="2"/>
          </w:tcPr>
          <w:p w:rsidR="00690C7B" w:rsidRPr="008C1268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RPr="008C1268" w:rsidTr="00036FF3">
        <w:trPr>
          <w:gridAfter w:val="1"/>
          <w:wAfter w:w="538" w:type="dxa"/>
          <w:cantSplit/>
        </w:trPr>
        <w:tc>
          <w:tcPr>
            <w:tcW w:w="10031" w:type="dxa"/>
            <w:gridSpan w:val="2"/>
          </w:tcPr>
          <w:p w:rsidR="00690C7B" w:rsidRPr="008C1268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8C1268">
              <w:t>Point 9.1(9.1.2) de l'ordre du jour</w:t>
            </w:r>
          </w:p>
        </w:tc>
      </w:tr>
    </w:tbl>
    <w:bookmarkEnd w:id="6"/>
    <w:p w:rsidR="001C0E40" w:rsidRPr="008C1268" w:rsidRDefault="00DE70B9" w:rsidP="00FB05A7">
      <w:pPr>
        <w:rPr>
          <w:lang w:val="fr-CH"/>
        </w:rPr>
      </w:pPr>
      <w:r w:rsidRPr="008C1268">
        <w:rPr>
          <w:lang w:val="fr-CH"/>
        </w:rPr>
        <w:t>9</w:t>
      </w:r>
      <w:r w:rsidRPr="008C1268">
        <w:rPr>
          <w:lang w:val="fr-CH"/>
        </w:rPr>
        <w:tab/>
        <w:t>examiner et approuver le rapport du Directeur du Bureau des radiocommunications, conformément à l'article 7 de la Convention:</w:t>
      </w:r>
    </w:p>
    <w:p w:rsidR="001C0E40" w:rsidRPr="008C1268" w:rsidRDefault="00DE70B9" w:rsidP="00D4336F">
      <w:pPr>
        <w:rPr>
          <w:lang w:val="fr-CH"/>
        </w:rPr>
      </w:pPr>
      <w:r w:rsidRPr="008C1268">
        <w:rPr>
          <w:lang w:val="fr-CH"/>
        </w:rPr>
        <w:t>9.1</w:t>
      </w:r>
      <w:r w:rsidRPr="008C1268">
        <w:rPr>
          <w:lang w:val="fr-CH"/>
        </w:rPr>
        <w:tab/>
        <w:t>sur les activités du Secteur des radiocommunications depuis la CMR</w:t>
      </w:r>
      <w:r w:rsidRPr="008C1268">
        <w:rPr>
          <w:lang w:val="fr-CH"/>
        </w:rPr>
        <w:noBreakHyphen/>
        <w:t xml:space="preserve">12; </w:t>
      </w:r>
    </w:p>
    <w:p w:rsidR="001C0E40" w:rsidRPr="008C1268" w:rsidRDefault="00DE70B9" w:rsidP="00CE52CA">
      <w:pPr>
        <w:rPr>
          <w:lang w:val="fr-CH"/>
        </w:rPr>
      </w:pPr>
      <w:r w:rsidRPr="008C1268">
        <w:rPr>
          <w:lang w:val="fr-CH"/>
        </w:rPr>
        <w:t>9.1(9.1.2)</w:t>
      </w:r>
      <w:r w:rsidRPr="008C1268">
        <w:rPr>
          <w:lang w:val="fr-CH"/>
        </w:rPr>
        <w:tab/>
        <w:t xml:space="preserve">Résolution </w:t>
      </w:r>
      <w:r w:rsidRPr="008C1268">
        <w:rPr>
          <w:b/>
          <w:bCs/>
          <w:lang w:val="fr-CH"/>
        </w:rPr>
        <w:t>756 (CMR-12)</w:t>
      </w:r>
      <w:r w:rsidRPr="008C1268">
        <w:rPr>
          <w:lang w:val="fr-CH"/>
        </w:rPr>
        <w:t xml:space="preserve"> – Etudes relatives à la réduction possible de l'arc de coordination et aux critères techniques utilisés dans l'application du numéro </w:t>
      </w:r>
      <w:r w:rsidRPr="00296F83">
        <w:rPr>
          <w:b/>
          <w:bCs/>
          <w:lang w:val="fr-CH"/>
        </w:rPr>
        <w:t>9.41</w:t>
      </w:r>
      <w:r w:rsidRPr="008C1268">
        <w:rPr>
          <w:lang w:val="fr-CH"/>
        </w:rPr>
        <w:t xml:space="preserve"> en ce qui concerne la coordination au titre du numéro </w:t>
      </w:r>
      <w:r w:rsidRPr="00296F83">
        <w:rPr>
          <w:b/>
          <w:bCs/>
          <w:lang w:val="fr-CH"/>
        </w:rPr>
        <w:t>9.7</w:t>
      </w:r>
    </w:p>
    <w:p w:rsidR="003A583E" w:rsidRPr="008C1268" w:rsidRDefault="003A583E" w:rsidP="00786598">
      <w:pPr>
        <w:rPr>
          <w:lang w:val="fr-CH"/>
        </w:rPr>
      </w:pPr>
    </w:p>
    <w:p w:rsidR="00F45A32" w:rsidRPr="008C1268" w:rsidRDefault="008C1268" w:rsidP="00296F83">
      <w:pPr>
        <w:pStyle w:val="Headingb"/>
        <w:rPr>
          <w:lang w:val="fr-CH"/>
        </w:rPr>
      </w:pPr>
      <w:r w:rsidRPr="008C1268">
        <w:rPr>
          <w:lang w:val="fr-CH"/>
        </w:rPr>
        <w:t>Position de l’Ouganda</w:t>
      </w:r>
    </w:p>
    <w:p w:rsidR="00F45A32" w:rsidRPr="008C1268" w:rsidRDefault="008C1268" w:rsidP="00036FF3">
      <w:pPr>
        <w:rPr>
          <w:lang w:val="fr-CH"/>
        </w:rPr>
      </w:pPr>
      <w:r>
        <w:rPr>
          <w:lang w:val="fr-CH"/>
        </w:rPr>
        <w:t xml:space="preserve">Concernant le point </w:t>
      </w:r>
      <w:r w:rsidR="00F45A32" w:rsidRPr="008C1268">
        <w:rPr>
          <w:lang w:val="fr-CH"/>
        </w:rPr>
        <w:t>1</w:t>
      </w:r>
      <w:r w:rsidRPr="008C1268">
        <w:rPr>
          <w:lang w:val="fr-CH"/>
        </w:rPr>
        <w:t xml:space="preserve"> du </w:t>
      </w:r>
      <w:r w:rsidRPr="008C1268">
        <w:rPr>
          <w:i/>
          <w:iCs/>
          <w:lang w:val="fr-CH"/>
        </w:rPr>
        <w:t>décide d’inviter l’UIT-R</w:t>
      </w:r>
      <w:r>
        <w:rPr>
          <w:lang w:val="fr-CH"/>
        </w:rPr>
        <w:t>: E</w:t>
      </w:r>
      <w:r w:rsidR="00F45A32" w:rsidRPr="008C1268">
        <w:rPr>
          <w:lang w:val="fr-CH"/>
        </w:rPr>
        <w:t>xaminer si l'actuel critère (</w:t>
      </w:r>
      <w:r w:rsidR="00F45A32" w:rsidRPr="00036FF3">
        <w:rPr>
          <w:i/>
          <w:iCs/>
          <w:lang w:val="fr-CH"/>
        </w:rPr>
        <w:t>ΔT/T</w:t>
      </w:r>
      <w:r w:rsidR="00F45A32" w:rsidRPr="008C1268">
        <w:rPr>
          <w:lang w:val="fr-CH"/>
        </w:rPr>
        <w:t xml:space="preserve"> &gt; 6%) utilisé dans l'application du numéro 9.41 </w:t>
      </w:r>
      <w:r w:rsidR="00296F83">
        <w:rPr>
          <w:lang w:val="fr-CH"/>
        </w:rPr>
        <w:t xml:space="preserve">du RR </w:t>
      </w:r>
      <w:r w:rsidR="00F45A32" w:rsidRPr="008C1268">
        <w:rPr>
          <w:lang w:val="fr-CH"/>
        </w:rPr>
        <w:t xml:space="preserve">est efficace et approprié et envisager d'autres solutions possibles </w:t>
      </w:r>
      <w:r w:rsidRPr="008C1268">
        <w:rPr>
          <w:lang w:val="fr-CH"/>
        </w:rPr>
        <w:t>pour faciliter la coordination entre les réseaux du SFS</w:t>
      </w:r>
      <w:r w:rsidR="00296F83">
        <w:rPr>
          <w:lang w:val="fr-CH"/>
        </w:rPr>
        <w:t>.</w:t>
      </w:r>
    </w:p>
    <w:p w:rsidR="007E280B" w:rsidRPr="008C1268" w:rsidRDefault="008C1268" w:rsidP="00036FF3">
      <w:pPr>
        <w:rPr>
          <w:lang w:val="fr-CH"/>
        </w:rPr>
      </w:pPr>
      <w:r w:rsidRPr="008C1268">
        <w:rPr>
          <w:lang w:val="fr-CH"/>
        </w:rPr>
        <w:t>L’Ouganda appuie l’Option 1D</w:t>
      </w:r>
      <w:r>
        <w:rPr>
          <w:lang w:val="fr-CH"/>
        </w:rPr>
        <w:t>, qui consiste à n’apporter aucune modification au RR</w:t>
      </w:r>
      <w:r w:rsidR="000817FA">
        <w:rPr>
          <w:lang w:val="fr-CH"/>
        </w:rPr>
        <w:t>.</w:t>
      </w:r>
    </w:p>
    <w:p w:rsidR="00F45A32" w:rsidRPr="008C1268" w:rsidRDefault="008C1268" w:rsidP="00036FF3">
      <w:pPr>
        <w:rPr>
          <w:lang w:val="fr-CH"/>
        </w:rPr>
      </w:pPr>
      <w:r>
        <w:rPr>
          <w:lang w:val="fr-CH" w:eastAsia="ja-JP"/>
        </w:rPr>
        <w:t xml:space="preserve">Concernant le point 2 du </w:t>
      </w:r>
      <w:r w:rsidRPr="008C1268">
        <w:rPr>
          <w:i/>
          <w:iCs/>
          <w:lang w:val="fr-CH" w:eastAsia="ja-JP"/>
        </w:rPr>
        <w:t>décide d’inviter l’UIT-R</w:t>
      </w:r>
      <w:r>
        <w:rPr>
          <w:lang w:val="fr-CH" w:eastAsia="ja-JP"/>
        </w:rPr>
        <w:t xml:space="preserve">: </w:t>
      </w:r>
      <w:r w:rsidR="007E280B" w:rsidRPr="008C1268">
        <w:rPr>
          <w:lang w:val="fr-CH" w:eastAsia="ja-JP"/>
        </w:rPr>
        <w:t>La CMR</w:t>
      </w:r>
      <w:r w:rsidR="007E280B" w:rsidRPr="008C1268">
        <w:rPr>
          <w:lang w:val="fr-CH" w:eastAsia="ja-JP"/>
        </w:rPr>
        <w:noBreakHyphen/>
        <w:t>12 a décidé de réduire l'arc de coordination dans les gammes de fréquences des 6/4 GHz et des 14/10/11/12 GHz, mais a également décidé qu'il convenait d'approfondir l'étude de cette question conformément à</w:t>
      </w:r>
      <w:r w:rsidR="00296F83">
        <w:rPr>
          <w:lang w:val="fr-CH" w:eastAsia="ja-JP"/>
        </w:rPr>
        <w:t xml:space="preserve"> la Résolution 756 (Rév.CMR</w:t>
      </w:r>
      <w:r w:rsidR="00296F83">
        <w:rPr>
          <w:lang w:val="fr-CH" w:eastAsia="ja-JP"/>
        </w:rPr>
        <w:noBreakHyphen/>
        <w:t>12).</w:t>
      </w:r>
    </w:p>
    <w:p w:rsidR="000817FA" w:rsidRPr="008C1268" w:rsidRDefault="000817FA" w:rsidP="00036FF3">
      <w:pPr>
        <w:rPr>
          <w:lang w:val="fr-CH"/>
        </w:rPr>
      </w:pPr>
      <w:r w:rsidRPr="008C1268">
        <w:rPr>
          <w:lang w:val="fr-CH"/>
        </w:rPr>
        <w:t xml:space="preserve">L’Ouganda appuie l’Option </w:t>
      </w:r>
      <w:r>
        <w:rPr>
          <w:lang w:val="fr-CH"/>
        </w:rPr>
        <w:t>2C, qui consiste à n’apporter aucune modification au RR.</w:t>
      </w:r>
    </w:p>
    <w:p w:rsidR="00F45A32" w:rsidRPr="008C1268" w:rsidRDefault="00F45A32" w:rsidP="00786598">
      <w:pPr>
        <w:rPr>
          <w:lang w:val="fr-CH"/>
        </w:rPr>
      </w:pPr>
    </w:p>
    <w:p w:rsidR="0015203F" w:rsidRPr="008C1268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8C1268">
        <w:rPr>
          <w:lang w:val="fr-CH"/>
        </w:rPr>
        <w:br w:type="page"/>
      </w:r>
    </w:p>
    <w:p w:rsidR="00892D74" w:rsidRPr="008C1268" w:rsidRDefault="00DE70B9">
      <w:pPr>
        <w:pStyle w:val="Proposal"/>
        <w:rPr>
          <w:lang w:val="fr-CH"/>
        </w:rPr>
      </w:pPr>
      <w:r w:rsidRPr="008C1268">
        <w:rPr>
          <w:u w:val="single"/>
          <w:lang w:val="fr-CH"/>
        </w:rPr>
        <w:lastRenderedPageBreak/>
        <w:t>NOC</w:t>
      </w:r>
      <w:r w:rsidRPr="008C1268">
        <w:rPr>
          <w:lang w:val="fr-CH"/>
        </w:rPr>
        <w:tab/>
        <w:t>UGA/82A23A1A2/1</w:t>
      </w:r>
    </w:p>
    <w:p w:rsidR="004A6A8C" w:rsidRPr="008C1268" w:rsidRDefault="00DE70B9" w:rsidP="006B1E68">
      <w:pPr>
        <w:pStyle w:val="ArtNo"/>
        <w:rPr>
          <w:lang w:val="fr-CH"/>
        </w:rPr>
      </w:pPr>
      <w:r w:rsidRPr="008C1268">
        <w:rPr>
          <w:lang w:val="fr-CH"/>
        </w:rPr>
        <w:t xml:space="preserve">ARTICLE </w:t>
      </w:r>
      <w:r w:rsidRPr="008C1268">
        <w:rPr>
          <w:rStyle w:val="href"/>
          <w:color w:val="000000"/>
          <w:lang w:val="fr-CH"/>
        </w:rPr>
        <w:t>9</w:t>
      </w:r>
    </w:p>
    <w:p w:rsidR="004A6A8C" w:rsidRPr="008C1268" w:rsidRDefault="00DE70B9" w:rsidP="00D44795">
      <w:pPr>
        <w:pStyle w:val="Arttitle"/>
        <w:rPr>
          <w:lang w:val="fr-CH"/>
        </w:rPr>
      </w:pPr>
      <w:r w:rsidRPr="008C1268">
        <w:rPr>
          <w:lang w:val="fr-CH"/>
        </w:rPr>
        <w:t>Procédure à appliquer pour effectuer la coordination avec d'autres administrations ou obtenir leur accord</w:t>
      </w:r>
      <w:r w:rsidRPr="008C1268">
        <w:rPr>
          <w:rStyle w:val="FootnoteReference"/>
          <w:lang w:val="fr-CH"/>
        </w:rPr>
        <w:t>1, 2, 3, 4, 5, 6, 7, 8, 8bis </w:t>
      </w:r>
      <w:r w:rsidRPr="008C1268">
        <w:rPr>
          <w:b w:val="0"/>
          <w:bCs/>
          <w:sz w:val="16"/>
          <w:szCs w:val="16"/>
          <w:lang w:val="fr-CH"/>
        </w:rPr>
        <w:t>   (CMR-12)</w:t>
      </w:r>
    </w:p>
    <w:p w:rsidR="00DE70B9" w:rsidRPr="008C1268" w:rsidRDefault="00DE70B9" w:rsidP="005C2BBA">
      <w:pPr>
        <w:pStyle w:val="Reasons"/>
        <w:rPr>
          <w:lang w:val="fr-CH"/>
        </w:rPr>
      </w:pPr>
      <w:r w:rsidRPr="008C1268">
        <w:rPr>
          <w:b/>
          <w:lang w:val="fr-CH"/>
        </w:rPr>
        <w:t>Motifs:</w:t>
      </w:r>
      <w:r w:rsidRPr="008C1268">
        <w:rPr>
          <w:lang w:val="fr-CH"/>
        </w:rPr>
        <w:tab/>
      </w:r>
      <w:r w:rsidR="00A461E0">
        <w:rPr>
          <w:lang w:val="fr-CH"/>
        </w:rPr>
        <w:t>Ne pas apporter des modifications aux dispositions du RR</w:t>
      </w:r>
      <w:r w:rsidR="005C2BBA">
        <w:rPr>
          <w:lang w:val="fr-CH"/>
        </w:rPr>
        <w:t>,</w:t>
      </w:r>
      <w:r w:rsidR="00A461E0">
        <w:rPr>
          <w:lang w:val="fr-CH"/>
        </w:rPr>
        <w:t xml:space="preserve"> car cela pourrait accroître la complexité des procédures et, partant, rendre l’application de ces dispositions réglementaires plus difficiles pour les pays en développement.</w:t>
      </w:r>
    </w:p>
    <w:p w:rsidR="00DE70B9" w:rsidRPr="008C1268" w:rsidRDefault="00DE70B9">
      <w:pPr>
        <w:pStyle w:val="Reasons"/>
        <w:rPr>
          <w:lang w:val="fr-CH"/>
        </w:rPr>
      </w:pPr>
    </w:p>
    <w:p w:rsidR="00DE70B9" w:rsidRPr="008C1268" w:rsidRDefault="00DE70B9" w:rsidP="00DE70B9">
      <w:pPr>
        <w:jc w:val="center"/>
        <w:rPr>
          <w:lang w:val="fr-CH"/>
        </w:rPr>
      </w:pPr>
      <w:r w:rsidRPr="008C1268">
        <w:rPr>
          <w:lang w:val="fr-CH"/>
        </w:rPr>
        <w:t>___________</w:t>
      </w:r>
    </w:p>
    <w:sectPr w:rsidR="00DE70B9" w:rsidRPr="008C126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6592B">
      <w:rPr>
        <w:noProof/>
        <w:lang w:val="en-US"/>
      </w:rPr>
      <w:t>P:\FRA\ITU-R\CONF-R\CMR15\000\082ADD23ADD01ADD02F.docx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592B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592B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DB6285" w:rsidRDefault="0006592B" w:rsidP="00DB628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P:\FRA\ITU-R\CONF-R\CMR15\000\082ADD23ADD01ADD02F.docx</w:t>
    </w:r>
    <w:r>
      <w:fldChar w:fldCharType="end"/>
    </w:r>
    <w:r w:rsidR="00DB6285">
      <w:t xml:space="preserve"> (388575)</w:t>
    </w:r>
    <w:r w:rsidR="00DB6285">
      <w:tab/>
    </w:r>
    <w:r w:rsidR="00DB6285">
      <w:fldChar w:fldCharType="begin"/>
    </w:r>
    <w:r w:rsidR="00DB6285">
      <w:instrText xml:space="preserve"> SAVEDATE \@ DD.MM.YY </w:instrText>
    </w:r>
    <w:r w:rsidR="00DB6285">
      <w:fldChar w:fldCharType="separate"/>
    </w:r>
    <w:r>
      <w:t>25.10.15</w:t>
    </w:r>
    <w:r w:rsidR="00DB6285">
      <w:fldChar w:fldCharType="end"/>
    </w:r>
    <w:r w:rsidR="00DB6285">
      <w:tab/>
    </w:r>
    <w:r w:rsidR="00DB6285">
      <w:fldChar w:fldCharType="begin"/>
    </w:r>
    <w:r w:rsidR="00DB6285">
      <w:instrText xml:space="preserve"> PRINTDATE \@ DD.MM.YY </w:instrText>
    </w:r>
    <w:r w:rsidR="00DB6285">
      <w:fldChar w:fldCharType="separate"/>
    </w:r>
    <w:r>
      <w:t>25.10.15</w:t>
    </w:r>
    <w:r w:rsidR="00DB628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DB6285" w:rsidRDefault="0006592B" w:rsidP="00DB628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P:\FRA\ITU-R\CONF-R\CMR15\000\082ADD23ADD01ADD02F.docx</w:t>
    </w:r>
    <w:r>
      <w:fldChar w:fldCharType="end"/>
    </w:r>
    <w:r w:rsidR="00DB6285">
      <w:t xml:space="preserve"> (388575)</w:t>
    </w:r>
    <w:r w:rsidR="00DB6285">
      <w:tab/>
    </w:r>
    <w:r w:rsidR="00DB6285">
      <w:fldChar w:fldCharType="begin"/>
    </w:r>
    <w:r w:rsidR="00DB6285">
      <w:instrText xml:space="preserve"> SAVEDATE \@ DD.MM.YY </w:instrText>
    </w:r>
    <w:r w:rsidR="00DB6285">
      <w:fldChar w:fldCharType="separate"/>
    </w:r>
    <w:r>
      <w:t>25.10.15</w:t>
    </w:r>
    <w:r w:rsidR="00DB6285">
      <w:fldChar w:fldCharType="end"/>
    </w:r>
    <w:r w:rsidR="00DB6285">
      <w:tab/>
    </w:r>
    <w:r w:rsidR="00DB6285">
      <w:fldChar w:fldCharType="begin"/>
    </w:r>
    <w:r w:rsidR="00DB6285">
      <w:instrText xml:space="preserve"> PRINTDATE \@ DD.MM.YY </w:instrText>
    </w:r>
    <w:r w:rsidR="00DB6285">
      <w:fldChar w:fldCharType="separate"/>
    </w:r>
    <w:r>
      <w:t>25.10.15</w:t>
    </w:r>
    <w:r w:rsidR="00DB628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6592B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82(Add.23)(Add.1)(Add.2)-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CA2962-0C67-42FE-8E0D-EE56327AC149}"/>
    <w:docVar w:name="dgnword-eventsink" w:val="383391344"/>
  </w:docVars>
  <w:rsids>
    <w:rsidRoot w:val="00BB1D82"/>
    <w:rsid w:val="00007EC7"/>
    <w:rsid w:val="00010B43"/>
    <w:rsid w:val="00016648"/>
    <w:rsid w:val="0003522F"/>
    <w:rsid w:val="00036FF3"/>
    <w:rsid w:val="0006592B"/>
    <w:rsid w:val="00080E2C"/>
    <w:rsid w:val="000817FA"/>
    <w:rsid w:val="000848E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96F83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2BBA"/>
    <w:rsid w:val="005C3768"/>
    <w:rsid w:val="005C6C3F"/>
    <w:rsid w:val="006055D9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E280B"/>
    <w:rsid w:val="00851625"/>
    <w:rsid w:val="00863C0A"/>
    <w:rsid w:val="00892D74"/>
    <w:rsid w:val="008A3120"/>
    <w:rsid w:val="008C1268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461E0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B6285"/>
    <w:rsid w:val="00DC402B"/>
    <w:rsid w:val="00DE0932"/>
    <w:rsid w:val="00DE70B9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45A32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2061BBC-35B8-43D9-BA00-E7E6D55F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R15-WRC15-C-0082!A23-A1-A2!MSW-F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C0E03-4BBA-4054-8334-6E98B1B7EC17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1652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R15-WRC15-C-0082!A23-A1-A2!MSW-F</vt:lpstr>
    </vt:vector>
  </TitlesOfParts>
  <Manager>Secrétariat général - Pool</Manager>
  <Company>Union internationale des télécommunications (UIT)</Company>
  <LinksUpToDate>false</LinksUpToDate>
  <CharactersWithSpaces>1917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R15-WRC15-C-0082!A23-A1-A2!MSW-F</dc:title>
  <dc:subject>Conférence mondiale des radiocommunications - 2015</dc:subject>
  <dc:creator>Documents Proposals Manager (DPM)</dc:creator>
  <cp:keywords>DPM_v5.2015.10.22_prod</cp:keywords>
  <dc:description/>
  <cp:lastModifiedBy>Jones, Jacqueline</cp:lastModifiedBy>
  <cp:revision>7</cp:revision>
  <cp:lastPrinted>2015-10-25T14:56:00Z</cp:lastPrinted>
  <dcterms:created xsi:type="dcterms:W3CDTF">2015-10-23T07:31:00Z</dcterms:created>
  <dcterms:modified xsi:type="dcterms:W3CDTF">2015-10-25T14:56:00Z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