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270"/>
        <w:gridCol w:w="3119"/>
      </w:tblGrid>
      <w:tr w:rsidR="00280E04" w:rsidTr="00C73DD1">
        <w:trPr>
          <w:cantSplit/>
          <w:trHeight w:val="20"/>
        </w:trPr>
        <w:tc>
          <w:tcPr>
            <w:tcW w:w="627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C73DD1">
        <w:trPr>
          <w:cantSplit/>
          <w:trHeight w:val="20"/>
        </w:trPr>
        <w:tc>
          <w:tcPr>
            <w:tcW w:w="6270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C73DD1">
        <w:trPr>
          <w:cantSplit/>
          <w:trHeight w:val="20"/>
        </w:trPr>
        <w:tc>
          <w:tcPr>
            <w:tcW w:w="62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C73DD1">
        <w:trPr>
          <w:cantSplit/>
        </w:trPr>
        <w:tc>
          <w:tcPr>
            <w:tcW w:w="6270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608" w:rsidRPr="00C73DD1" w:rsidRDefault="003E1608" w:rsidP="00C73DD1">
            <w:pPr>
              <w:pStyle w:val="Adress"/>
              <w:framePr w:hSpace="0" w:wrap="auto" w:xAlign="left" w:yAlign="inline"/>
              <w:rPr>
                <w:rtl/>
              </w:rPr>
            </w:pPr>
            <w:r w:rsidRPr="00C73DD1">
              <w:rPr>
                <w:rtl/>
              </w:rPr>
              <w:t xml:space="preserve">الإضافة </w:t>
            </w:r>
            <w:r w:rsidRPr="00C73DD1">
              <w:t>2</w:t>
            </w:r>
            <w:r w:rsidRPr="00C73DD1">
              <w:br/>
            </w:r>
            <w:r w:rsidRPr="00C73DD1">
              <w:rPr>
                <w:rtl/>
              </w:rPr>
              <w:t xml:space="preserve">للوثيقة </w:t>
            </w:r>
            <w:r w:rsidRPr="00C73DD1">
              <w:t>82(Add.23)(Add.1)-</w:t>
            </w:r>
            <w:r w:rsidR="00C73DD1" w:rsidRPr="004C2F97">
              <w:t>A</w:t>
            </w:r>
          </w:p>
        </w:tc>
      </w:tr>
      <w:tr w:rsidR="00764079" w:rsidTr="00C73DD1">
        <w:trPr>
          <w:cantSplit/>
        </w:trPr>
        <w:tc>
          <w:tcPr>
            <w:tcW w:w="6270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4079" w:rsidRPr="00C73DD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73DD1">
              <w:rPr>
                <w:rFonts w:eastAsia="SimSun"/>
              </w:rPr>
              <w:t>16</w:t>
            </w:r>
            <w:r w:rsidRPr="00C73DD1">
              <w:rPr>
                <w:rFonts w:eastAsia="SimSun"/>
                <w:rtl/>
              </w:rPr>
              <w:t xml:space="preserve"> أكتوبر </w:t>
            </w:r>
            <w:r w:rsidRPr="00C73DD1">
              <w:rPr>
                <w:rFonts w:eastAsia="SimSun"/>
              </w:rPr>
              <w:t>2015</w:t>
            </w:r>
          </w:p>
        </w:tc>
      </w:tr>
      <w:tr w:rsidR="00764079" w:rsidTr="00C73DD1">
        <w:trPr>
          <w:cantSplit/>
        </w:trPr>
        <w:tc>
          <w:tcPr>
            <w:tcW w:w="6270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C73DD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73DD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C73DD1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C73DD1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أوغندا</w:t>
            </w:r>
          </w:p>
        </w:tc>
      </w:tr>
      <w:tr w:rsidR="00764079" w:rsidTr="00C73DD1">
        <w:trPr>
          <w:cantSplit/>
        </w:trPr>
        <w:tc>
          <w:tcPr>
            <w:tcW w:w="9389" w:type="dxa"/>
            <w:gridSpan w:val="2"/>
          </w:tcPr>
          <w:p w:rsidR="00764079" w:rsidRPr="00BD6EF3" w:rsidRDefault="00C73DD1" w:rsidP="00C73DD1">
            <w:pPr>
              <w:pStyle w:val="Title1"/>
              <w:spacing w:before="240"/>
              <w:rPr>
                <w:rtl/>
              </w:rPr>
            </w:pPr>
            <w:r w:rsidRPr="00C73DD1">
              <w:rPr>
                <w:rtl/>
                <w:lang w:bidi="ar-SA"/>
              </w:rPr>
              <w:t>مقترحات بشأن أعمال ال‍مؤت‍مر</w:t>
            </w:r>
          </w:p>
        </w:tc>
      </w:tr>
      <w:tr w:rsidR="00764079" w:rsidTr="00C73DD1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C73DD1">
        <w:trPr>
          <w:cantSplit/>
        </w:trPr>
        <w:tc>
          <w:tcPr>
            <w:tcW w:w="9389" w:type="dxa"/>
            <w:gridSpan w:val="2"/>
          </w:tcPr>
          <w:p w:rsidR="00764079" w:rsidRPr="002919E1" w:rsidRDefault="00C73DD1" w:rsidP="00C73DD1">
            <w:pPr>
              <w:pStyle w:val="Agendaitem"/>
              <w:spacing w:before="240" w:line="192" w:lineRule="auto"/>
            </w:pPr>
            <w:r w:rsidRPr="00C73DD1">
              <w:rPr>
                <w:rtl/>
                <w:lang w:bidi="ar-SA"/>
              </w:rPr>
              <w:t xml:space="preserve">البنـد </w:t>
            </w:r>
            <w:r w:rsidRPr="00431196">
              <w:rPr>
                <w:rFonts w:eastAsia="SimSun"/>
                <w:lang w:bidi="ar-SY"/>
              </w:rPr>
              <w:t>(</w:t>
            </w:r>
            <w:r w:rsidRPr="00431196">
              <w:rPr>
                <w:rFonts w:eastAsia="SimSun"/>
              </w:rPr>
              <w:t>2.1.9</w:t>
            </w:r>
            <w:r w:rsidRPr="00431196">
              <w:rPr>
                <w:rFonts w:eastAsia="SimSun"/>
                <w:lang w:bidi="ar-SY"/>
              </w:rPr>
              <w:t>)1.9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C73DD1">
              <w:rPr>
                <w:rtl/>
                <w:lang w:bidi="ar-SA"/>
              </w:rPr>
              <w:t>من جدول الأعمال</w:t>
            </w:r>
          </w:p>
        </w:tc>
      </w:tr>
    </w:tbl>
    <w:p w:rsidR="00534840" w:rsidRPr="00431196" w:rsidRDefault="005A68B6" w:rsidP="00ED7DF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5A68B6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5A68B6" w:rsidP="00711A75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2.1.9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 </w:t>
      </w:r>
      <w:r w:rsidR="00711A75">
        <w:rPr>
          <w:rFonts w:eastAsia="SimSun"/>
          <w:b/>
          <w:bCs/>
        </w:rPr>
        <w:t xml:space="preserve">756 </w:t>
      </w:r>
      <w:r w:rsidRPr="00431196">
        <w:rPr>
          <w:rFonts w:eastAsia="SimSun"/>
          <w:b/>
          <w:bCs/>
        </w:rPr>
        <w:t>(WRC-12)</w:t>
      </w:r>
      <w:r w:rsidRPr="00431196">
        <w:rPr>
          <w:rFonts w:eastAsia="SimSun" w:hint="cs"/>
          <w:rtl/>
        </w:rPr>
        <w:t>- 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بشأن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إمكانية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خفض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قوس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التنسيق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والمعايير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التقنية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المستخدمة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تطبيق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الرقم</w:t>
      </w:r>
      <w:r w:rsidR="000958FF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41.9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فيما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يتعلق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بالتنسيق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بموجب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الرقم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7.9</w:t>
      </w:r>
    </w:p>
    <w:p w:rsidR="0072415A" w:rsidRDefault="00B92558" w:rsidP="004C2F97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موقف أوغندا</w:t>
      </w:r>
    </w:p>
    <w:p w:rsidR="00C73DD1" w:rsidRDefault="00B92558" w:rsidP="00711A75">
      <w:pPr>
        <w:rPr>
          <w:b/>
          <w:bCs/>
          <w:rtl/>
        </w:rPr>
      </w:pPr>
      <w:r>
        <w:rPr>
          <w:rFonts w:eastAsia="SimSun" w:hint="cs"/>
          <w:rtl/>
          <w:lang w:bidi="ar-EG"/>
        </w:rPr>
        <w:t xml:space="preserve">الفقرة </w:t>
      </w:r>
      <w:r>
        <w:rPr>
          <w:rFonts w:eastAsia="SimSun"/>
          <w:lang w:bidi="ar-EG"/>
        </w:rPr>
        <w:t>1</w:t>
      </w:r>
      <w:r w:rsidR="004C2F97">
        <w:rPr>
          <w:rFonts w:eastAsia="SimSun" w:hint="cs"/>
          <w:rtl/>
          <w:lang w:bidi="ar-EG"/>
        </w:rPr>
        <w:t xml:space="preserve"> من منطوق القرار</w:t>
      </w:r>
      <w:r>
        <w:rPr>
          <w:rFonts w:eastAsia="SimSun" w:hint="cs"/>
          <w:rtl/>
          <w:lang w:bidi="ar-EG"/>
        </w:rPr>
        <w:t xml:space="preserve">: </w:t>
      </w:r>
      <w:r w:rsidR="00C77314" w:rsidRPr="00C77314">
        <w:rPr>
          <w:rFonts w:hint="cs"/>
          <w:rtl/>
        </w:rPr>
        <w:t>إجراء</w:t>
      </w:r>
      <w:r w:rsidR="00C77314" w:rsidRPr="00C77314">
        <w:rPr>
          <w:rtl/>
        </w:rPr>
        <w:t xml:space="preserve"> دراسات </w:t>
      </w:r>
      <w:r w:rsidR="00C77314" w:rsidRPr="00C77314">
        <w:rPr>
          <w:rFonts w:hint="cs"/>
          <w:rtl/>
        </w:rPr>
        <w:t xml:space="preserve">لبحث مدى </w:t>
      </w:r>
      <w:r w:rsidR="00C77314" w:rsidRPr="00C77314">
        <w:rPr>
          <w:rtl/>
        </w:rPr>
        <w:t xml:space="preserve">فعالية </w:t>
      </w:r>
      <w:r w:rsidR="00C77314" w:rsidRPr="00C77314">
        <w:rPr>
          <w:rFonts w:hint="cs"/>
          <w:rtl/>
        </w:rPr>
        <w:t xml:space="preserve">وملاءمة </w:t>
      </w:r>
      <w:r w:rsidR="00C77314" w:rsidRPr="00C77314">
        <w:rPr>
          <w:rtl/>
        </w:rPr>
        <w:t>المع</w:t>
      </w:r>
      <w:r w:rsidR="00C77314" w:rsidRPr="00C77314">
        <w:rPr>
          <w:rFonts w:hint="cs"/>
          <w:rtl/>
        </w:rPr>
        <w:t>ي</w:t>
      </w:r>
      <w:r w:rsidR="00C77314" w:rsidRPr="00C77314">
        <w:rPr>
          <w:rtl/>
        </w:rPr>
        <w:t>ار الحالي</w:t>
      </w:r>
      <w:r w:rsidR="00C77314" w:rsidRPr="00C77314">
        <w:rPr>
          <w:rFonts w:hint="cs"/>
          <w:rtl/>
        </w:rPr>
        <w:t xml:space="preserve"> </w:t>
      </w:r>
      <w:r w:rsidR="00C77314" w:rsidRPr="00C77314">
        <w:t>(Δ</w:t>
      </w:r>
      <w:r w:rsidR="00C77314" w:rsidRPr="00711A75">
        <w:t>T/T</w:t>
      </w:r>
      <w:r w:rsidR="00C77314" w:rsidRPr="00C77314">
        <w:t xml:space="preserve"> &gt; </w:t>
      </w:r>
      <w:r w:rsidR="00711A75">
        <w:t>%6</w:t>
      </w:r>
      <w:r w:rsidR="00C77314" w:rsidRPr="00C77314">
        <w:t>)</w:t>
      </w:r>
      <w:r w:rsidR="00C77314" w:rsidRPr="00C77314">
        <w:rPr>
          <w:rFonts w:hint="cs"/>
          <w:rtl/>
        </w:rPr>
        <w:t xml:space="preserve"> </w:t>
      </w:r>
      <w:r w:rsidR="00C77314" w:rsidRPr="00C77314">
        <w:rPr>
          <w:rtl/>
        </w:rPr>
        <w:t xml:space="preserve">المستخدم في تطبيق </w:t>
      </w:r>
      <w:r w:rsidR="00C77314" w:rsidRPr="00C77314">
        <w:rPr>
          <w:rFonts w:hint="cs"/>
          <w:rtl/>
        </w:rPr>
        <w:t>ال</w:t>
      </w:r>
      <w:r w:rsidR="00C77314" w:rsidRPr="00C77314">
        <w:rPr>
          <w:rtl/>
        </w:rPr>
        <w:t>رقم</w:t>
      </w:r>
      <w:r w:rsidR="00C77314" w:rsidRPr="00C77314">
        <w:rPr>
          <w:rFonts w:hint="cs"/>
          <w:rtl/>
        </w:rPr>
        <w:t> </w:t>
      </w:r>
      <w:r w:rsidR="00C77314" w:rsidRPr="00C77314">
        <w:t>41.9</w:t>
      </w:r>
      <w:r w:rsidR="00C77314" w:rsidRPr="00C77314">
        <w:rPr>
          <w:rtl/>
        </w:rPr>
        <w:t xml:space="preserve"> </w:t>
      </w:r>
      <w:r w:rsidRPr="00A54C3E">
        <w:rPr>
          <w:rFonts w:hint="cs"/>
          <w:rtl/>
        </w:rPr>
        <w:t>من لوائح الراديو</w:t>
      </w:r>
      <w:r>
        <w:rPr>
          <w:rFonts w:hint="cs"/>
          <w:b/>
          <w:bCs/>
          <w:rtl/>
        </w:rPr>
        <w:t xml:space="preserve"> </w:t>
      </w:r>
      <w:r w:rsidR="00C77314" w:rsidRPr="00C77314">
        <w:rPr>
          <w:rtl/>
        </w:rPr>
        <w:t xml:space="preserve">والنظر في أي بدائل </w:t>
      </w:r>
      <w:r w:rsidR="00C77314" w:rsidRPr="00C77314">
        <w:rPr>
          <w:rFonts w:hint="cs"/>
          <w:rtl/>
        </w:rPr>
        <w:t xml:space="preserve">ممكنة </w:t>
      </w:r>
      <w:r w:rsidR="00C77314" w:rsidRPr="00C77314">
        <w:rPr>
          <w:rtl/>
        </w:rPr>
        <w:t>أخرى</w:t>
      </w:r>
      <w:r w:rsidR="0032638C">
        <w:rPr>
          <w:rFonts w:hint="cs"/>
          <w:b/>
          <w:bCs/>
          <w:rtl/>
        </w:rPr>
        <w:t xml:space="preserve">، </w:t>
      </w:r>
      <w:r w:rsidR="0032638C" w:rsidRPr="0032638C">
        <w:rPr>
          <w:rFonts w:hint="cs"/>
          <w:rtl/>
        </w:rPr>
        <w:t xml:space="preserve">بغية تيسير التنسيق بين شبكات الخدمة الثابتة </w:t>
      </w:r>
      <w:proofErr w:type="spellStart"/>
      <w:r w:rsidR="0032638C" w:rsidRPr="0032638C">
        <w:rPr>
          <w:rFonts w:hint="cs"/>
          <w:rtl/>
        </w:rPr>
        <w:t>الساتلية</w:t>
      </w:r>
      <w:proofErr w:type="spellEnd"/>
      <w:r w:rsidR="00711A75">
        <w:rPr>
          <w:rFonts w:hint="cs"/>
          <w:b/>
          <w:bCs/>
          <w:rtl/>
        </w:rPr>
        <w:t>.</w:t>
      </w:r>
    </w:p>
    <w:p w:rsidR="0032638C" w:rsidRDefault="0032638C" w:rsidP="0032638C">
      <w:pPr>
        <w:rPr>
          <w:rtl/>
        </w:rPr>
      </w:pPr>
      <w:r>
        <w:rPr>
          <w:rFonts w:hint="cs"/>
          <w:rtl/>
        </w:rPr>
        <w:t xml:space="preserve">وموقف أوغندا هو: الخيار </w:t>
      </w:r>
      <w:r>
        <w:t>1D</w:t>
      </w:r>
      <w:r>
        <w:rPr>
          <w:rFonts w:hint="cs"/>
          <w:rtl/>
        </w:rPr>
        <w:t xml:space="preserve">: عدم </w:t>
      </w:r>
      <w:r w:rsidR="004C2F97">
        <w:rPr>
          <w:rFonts w:hint="cs"/>
          <w:rtl/>
        </w:rPr>
        <w:t>ال</w:t>
      </w:r>
      <w:r>
        <w:rPr>
          <w:rFonts w:hint="cs"/>
          <w:rtl/>
        </w:rPr>
        <w:t>تغيير</w:t>
      </w:r>
      <w:r w:rsidR="004C2F97">
        <w:rPr>
          <w:rFonts w:hint="cs"/>
          <w:rtl/>
        </w:rPr>
        <w:t xml:space="preserve"> في</w:t>
      </w:r>
      <w:r w:rsidR="0043129C">
        <w:rPr>
          <w:rFonts w:hint="cs"/>
          <w:rtl/>
        </w:rPr>
        <w:t xml:space="preserve"> لوائح الراديو</w:t>
      </w:r>
      <w:r w:rsidR="00711A75">
        <w:rPr>
          <w:rFonts w:hint="cs"/>
          <w:rtl/>
        </w:rPr>
        <w:t>.</w:t>
      </w:r>
    </w:p>
    <w:p w:rsidR="0072415A" w:rsidRDefault="0032638C" w:rsidP="00711A75">
      <w:pPr>
        <w:rPr>
          <w:rFonts w:hint="cs"/>
          <w:spacing w:val="-2"/>
          <w:rtl/>
          <w:lang w:bidi="ar-EG"/>
        </w:rPr>
      </w:pPr>
      <w:r>
        <w:rPr>
          <w:rFonts w:hint="cs"/>
          <w:rtl/>
        </w:rPr>
        <w:t xml:space="preserve">الفقرة </w:t>
      </w:r>
      <w:r>
        <w:t>2</w:t>
      </w:r>
      <w:r w:rsidR="004C2F97">
        <w:rPr>
          <w:rFonts w:hint="cs"/>
          <w:rtl/>
        </w:rPr>
        <w:t xml:space="preserve"> من منطوق القرار</w:t>
      </w:r>
      <w:r>
        <w:rPr>
          <w:rFonts w:hint="cs"/>
          <w:rtl/>
          <w:lang w:bidi="ar-EG"/>
        </w:rPr>
        <w:t xml:space="preserve">: </w:t>
      </w:r>
      <w:r w:rsidR="004C2F97">
        <w:rPr>
          <w:rFonts w:hint="cs"/>
          <w:i/>
          <w:iCs/>
          <w:spacing w:val="-2"/>
          <w:rtl/>
        </w:rPr>
        <w:t xml:space="preserve">قرر </w:t>
      </w:r>
      <w:r w:rsidR="0072415A" w:rsidRPr="00AD7E32">
        <w:rPr>
          <w:rFonts w:hint="cs"/>
          <w:spacing w:val="-2"/>
          <w:rtl/>
        </w:rPr>
        <w:t xml:space="preserve">المؤتمر العالمي للاتصالات الراديوية لعام </w:t>
      </w:r>
      <w:r w:rsidR="0072415A" w:rsidRPr="00AD7E32">
        <w:rPr>
          <w:spacing w:val="-2"/>
          <w:lang w:bidi="ar-SY"/>
        </w:rPr>
        <w:t>2012</w:t>
      </w:r>
      <w:r w:rsidR="0072415A" w:rsidRPr="00AD7E32">
        <w:rPr>
          <w:rFonts w:hint="cs"/>
          <w:spacing w:val="-2"/>
          <w:rtl/>
        </w:rPr>
        <w:t xml:space="preserve"> قرر تقليص قوس التنسيق في نطاقات التردد </w:t>
      </w:r>
      <w:r w:rsidR="0072415A" w:rsidRPr="00AD7E32">
        <w:rPr>
          <w:spacing w:val="-2"/>
        </w:rPr>
        <w:t>GHz </w:t>
      </w:r>
      <w:r w:rsidR="0072415A" w:rsidRPr="00AD7E32">
        <w:rPr>
          <w:spacing w:val="-2"/>
          <w:lang w:bidi="ar-SY"/>
        </w:rPr>
        <w:t>4/6</w:t>
      </w:r>
      <w:r w:rsidR="0072415A" w:rsidRPr="00AD7E32">
        <w:rPr>
          <w:rFonts w:hint="cs"/>
          <w:spacing w:val="-2"/>
          <w:rtl/>
        </w:rPr>
        <w:t xml:space="preserve"> و</w:t>
      </w:r>
      <w:r w:rsidR="0072415A" w:rsidRPr="00AD7E32">
        <w:rPr>
          <w:spacing w:val="-2"/>
        </w:rPr>
        <w:t>GHz </w:t>
      </w:r>
      <w:r w:rsidR="0072415A" w:rsidRPr="00AD7E32">
        <w:rPr>
          <w:spacing w:val="-2"/>
          <w:lang w:bidi="ar-SY"/>
        </w:rPr>
        <w:t>12/11/10/14</w:t>
      </w:r>
      <w:r w:rsidR="0072415A" w:rsidRPr="00AD7E32">
        <w:rPr>
          <w:rFonts w:hint="cs"/>
          <w:spacing w:val="-2"/>
          <w:rtl/>
        </w:rPr>
        <w:t>، لكنه قرر أيضاً مواصلة دارسة هذه المسألة وفقاً للقرار</w:t>
      </w:r>
      <w:r w:rsidR="0043129C">
        <w:rPr>
          <w:rFonts w:hint="cs"/>
          <w:spacing w:val="-2"/>
          <w:rtl/>
        </w:rPr>
        <w:t xml:space="preserve"> </w:t>
      </w:r>
      <w:r w:rsidR="00711A75">
        <w:rPr>
          <w:spacing w:val="-2"/>
          <w:lang w:bidi="ar-SY"/>
        </w:rPr>
        <w:t xml:space="preserve">756 </w:t>
      </w:r>
      <w:r w:rsidR="0072415A" w:rsidRPr="008E3A81">
        <w:rPr>
          <w:spacing w:val="-2"/>
          <w:lang w:bidi="ar-SY"/>
        </w:rPr>
        <w:t>(WRC</w:t>
      </w:r>
      <w:r w:rsidR="0072415A" w:rsidRPr="008E3A81">
        <w:rPr>
          <w:spacing w:val="-2"/>
          <w:lang w:bidi="ar-SY"/>
        </w:rPr>
        <w:noBreakHyphen/>
        <w:t>12)</w:t>
      </w:r>
      <w:r w:rsidR="00711A75">
        <w:rPr>
          <w:rFonts w:hint="cs"/>
          <w:spacing w:val="-2"/>
          <w:rtl/>
          <w:lang w:bidi="ar-EG"/>
        </w:rPr>
        <w:t>.</w:t>
      </w:r>
    </w:p>
    <w:p w:rsidR="0043129C" w:rsidRPr="0043129C" w:rsidRDefault="0043129C" w:rsidP="0043129C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SY"/>
        </w:rPr>
        <w:t xml:space="preserve">وموقف أوغندا هو الخيار </w:t>
      </w:r>
      <w:r>
        <w:rPr>
          <w:spacing w:val="-2"/>
          <w:lang w:bidi="ar-SY"/>
        </w:rPr>
        <w:t>2C</w:t>
      </w:r>
      <w:r>
        <w:rPr>
          <w:rFonts w:hint="cs"/>
          <w:spacing w:val="-2"/>
          <w:rtl/>
          <w:lang w:bidi="ar-EG"/>
        </w:rPr>
        <w:t xml:space="preserve">: عدم </w:t>
      </w:r>
      <w:r w:rsidR="004C2F97">
        <w:rPr>
          <w:rFonts w:hint="cs"/>
          <w:spacing w:val="-2"/>
          <w:rtl/>
          <w:lang w:bidi="ar-EG"/>
        </w:rPr>
        <w:t>ال</w:t>
      </w:r>
      <w:r>
        <w:rPr>
          <w:rFonts w:hint="cs"/>
          <w:spacing w:val="-2"/>
          <w:rtl/>
          <w:lang w:bidi="ar-EG"/>
        </w:rPr>
        <w:t xml:space="preserve">تغيير </w:t>
      </w:r>
      <w:r w:rsidR="004C2F97">
        <w:rPr>
          <w:rFonts w:hint="cs"/>
          <w:spacing w:val="-2"/>
          <w:rtl/>
          <w:lang w:bidi="ar-EG"/>
        </w:rPr>
        <w:t xml:space="preserve">في </w:t>
      </w:r>
      <w:r>
        <w:rPr>
          <w:rFonts w:hint="cs"/>
          <w:spacing w:val="-2"/>
          <w:rtl/>
          <w:lang w:bidi="ar-EG"/>
        </w:rPr>
        <w:t>لوائح الراديو</w:t>
      </w:r>
    </w:p>
    <w:p w:rsidR="007364BD" w:rsidRDefault="005A68B6">
      <w:pPr>
        <w:pStyle w:val="Proposal"/>
      </w:pPr>
      <w:r>
        <w:rPr>
          <w:u w:val="single"/>
        </w:rPr>
        <w:lastRenderedPageBreak/>
        <w:t>NOC</w:t>
      </w:r>
      <w:r>
        <w:tab/>
        <w:t>UGA/82A23A1A2/1</w:t>
      </w:r>
    </w:p>
    <w:p w:rsidR="009F37C9" w:rsidRDefault="005A68B6" w:rsidP="00680B42">
      <w:pPr>
        <w:pStyle w:val="ArtNo"/>
        <w:keepNext/>
        <w:keepLines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5A68B6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711A75">
        <w:rPr>
          <w:rStyle w:val="FootnoteReference"/>
          <w:rtl/>
        </w:rPr>
        <w:t>1</w:t>
      </w:r>
      <w:r w:rsidRPr="00711A75">
        <w:rPr>
          <w:rFonts w:hint="cs"/>
          <w:position w:val="6"/>
          <w:sz w:val="18"/>
          <w:szCs w:val="22"/>
          <w:rtl/>
        </w:rPr>
        <w:t xml:space="preserve">، </w:t>
      </w:r>
      <w:r w:rsidRPr="00711A75">
        <w:rPr>
          <w:rStyle w:val="FootnoteReference"/>
          <w:rtl/>
        </w:rPr>
        <w:t>2</w:t>
      </w:r>
      <w:r w:rsidRPr="00711A75">
        <w:rPr>
          <w:rFonts w:hint="cs"/>
          <w:position w:val="6"/>
          <w:sz w:val="18"/>
          <w:szCs w:val="22"/>
          <w:rtl/>
        </w:rPr>
        <w:t xml:space="preserve">، </w:t>
      </w:r>
      <w:r w:rsidRPr="00711A75">
        <w:rPr>
          <w:rStyle w:val="FootnoteReference"/>
          <w:rtl/>
        </w:rPr>
        <w:t>3</w:t>
      </w:r>
      <w:r w:rsidRPr="00711A75">
        <w:rPr>
          <w:rFonts w:hint="cs"/>
          <w:position w:val="6"/>
          <w:sz w:val="18"/>
          <w:szCs w:val="22"/>
          <w:rtl/>
        </w:rPr>
        <w:t xml:space="preserve">، </w:t>
      </w:r>
      <w:r w:rsidRPr="00711A75">
        <w:rPr>
          <w:rStyle w:val="FootnoteReference"/>
          <w:rtl/>
        </w:rPr>
        <w:t>4</w:t>
      </w:r>
      <w:r w:rsidRPr="00711A75">
        <w:rPr>
          <w:rFonts w:hint="cs"/>
          <w:position w:val="6"/>
          <w:sz w:val="18"/>
          <w:szCs w:val="22"/>
          <w:rtl/>
        </w:rPr>
        <w:t xml:space="preserve">، </w:t>
      </w:r>
      <w:r w:rsidRPr="00711A75">
        <w:rPr>
          <w:rStyle w:val="FootnoteReference"/>
          <w:rtl/>
        </w:rPr>
        <w:t>5</w:t>
      </w:r>
      <w:r w:rsidRPr="00711A75">
        <w:rPr>
          <w:rFonts w:hint="cs"/>
          <w:position w:val="6"/>
          <w:sz w:val="18"/>
          <w:szCs w:val="22"/>
          <w:rtl/>
        </w:rPr>
        <w:t>،</w:t>
      </w:r>
      <w:r w:rsidRPr="00711A75">
        <w:rPr>
          <w:position w:val="6"/>
          <w:sz w:val="18"/>
          <w:szCs w:val="22"/>
          <w:rtl/>
        </w:rPr>
        <w:t xml:space="preserve"> </w:t>
      </w:r>
      <w:r w:rsidRPr="00711A75">
        <w:rPr>
          <w:rStyle w:val="FootnoteReference"/>
          <w:rtl/>
        </w:rPr>
        <w:t>6</w:t>
      </w:r>
      <w:r w:rsidRPr="00711A75">
        <w:rPr>
          <w:rFonts w:hint="cs"/>
          <w:position w:val="6"/>
          <w:sz w:val="18"/>
          <w:szCs w:val="22"/>
          <w:rtl/>
        </w:rPr>
        <w:t>،</w:t>
      </w:r>
      <w:r w:rsidRPr="00711A75">
        <w:rPr>
          <w:position w:val="6"/>
          <w:sz w:val="18"/>
          <w:szCs w:val="22"/>
          <w:rtl/>
        </w:rPr>
        <w:t xml:space="preserve"> </w:t>
      </w:r>
      <w:r w:rsidRPr="00711A75">
        <w:rPr>
          <w:rStyle w:val="FootnoteReference"/>
          <w:rtl/>
        </w:rPr>
        <w:t>7</w:t>
      </w:r>
      <w:r w:rsidRPr="00711A75">
        <w:rPr>
          <w:rFonts w:hint="cs"/>
          <w:position w:val="6"/>
          <w:sz w:val="18"/>
          <w:szCs w:val="22"/>
          <w:rtl/>
        </w:rPr>
        <w:t xml:space="preserve">، </w:t>
      </w:r>
      <w:r w:rsidRPr="00711A75">
        <w:rPr>
          <w:rStyle w:val="FootnoteReference"/>
          <w:rtl/>
        </w:rPr>
        <w:t>8</w:t>
      </w:r>
      <w:r w:rsidRPr="00711A75">
        <w:rPr>
          <w:rFonts w:hint="cs"/>
          <w:position w:val="6"/>
          <w:sz w:val="18"/>
          <w:szCs w:val="22"/>
          <w:rtl/>
        </w:rPr>
        <w:t xml:space="preserve">، </w:t>
      </w:r>
      <w:r w:rsidRPr="00711A75">
        <w:rPr>
          <w:rStyle w:val="FootnoteReference"/>
          <w:i/>
          <w:iCs/>
          <w:rtl/>
        </w:rPr>
        <w:t>8</w:t>
      </w:r>
      <w:r w:rsidRPr="00711A75">
        <w:rPr>
          <w:rStyle w:val="FootnoteReference"/>
          <w:rFonts w:cs="Traditional Arabic"/>
          <w:i/>
          <w:iCs/>
          <w:rtl/>
        </w:rPr>
        <w:t>مكررا</w:t>
      </w:r>
      <w:r w:rsidRPr="00825D03">
        <w:rPr>
          <w:rStyle w:val="FootnoteReference"/>
          <w:rFonts w:cs="Traditional Arabic"/>
          <w:b w:val="0"/>
          <w:bCs w:val="0"/>
          <w:i/>
          <w:iCs/>
          <w:rtl/>
        </w:rPr>
        <w:t>ً</w:t>
      </w:r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7364BD" w:rsidRPr="0043129C" w:rsidRDefault="005A68B6" w:rsidP="004C2F97">
      <w:pPr>
        <w:pStyle w:val="Reasons"/>
        <w:spacing w:before="360"/>
        <w:rPr>
          <w:rFonts w:ascii="Traditional Arabic" w:hAnsi="Traditional Arabic"/>
          <w:b w:val="0"/>
          <w:bCs w:val="0"/>
          <w:sz w:val="30"/>
          <w:rtl/>
          <w:lang w:bidi="ar-EG"/>
        </w:rPr>
      </w:pPr>
      <w:r>
        <w:rPr>
          <w:rtl/>
        </w:rPr>
        <w:t>الأسباب:</w:t>
      </w:r>
      <w:r>
        <w:tab/>
      </w:r>
      <w:r w:rsidR="0043129C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لا ت</w:t>
      </w:r>
      <w:bookmarkStart w:id="3" w:name="_GoBack"/>
      <w:bookmarkEnd w:id="3"/>
      <w:r w:rsidR="0043129C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غيير لأحكام لوائح الراديو بسبب الزيادة المحتملة في </w:t>
      </w:r>
      <w:r w:rsidR="009C611D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تعقد الإجراءات التي قد تواجهها البلدان النامية في</w:t>
      </w:r>
      <w:r w:rsidR="004C2F97">
        <w:rPr>
          <w:rFonts w:ascii="Traditional Arabic" w:hAnsi="Traditional Arabic" w:hint="eastAsia"/>
          <w:b w:val="0"/>
          <w:bCs w:val="0"/>
          <w:sz w:val="30"/>
          <w:rtl/>
          <w:lang w:bidi="ar-EG"/>
        </w:rPr>
        <w:t> </w:t>
      </w:r>
      <w:r w:rsidR="009C611D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تطبيق هذه الأحكام التنظيمية.</w:t>
      </w:r>
    </w:p>
    <w:p w:rsidR="00C73DD1" w:rsidRPr="00C73DD1" w:rsidRDefault="00ED7DF7" w:rsidP="00C73DD1">
      <w:pPr>
        <w:spacing w:before="600"/>
        <w:jc w:val="center"/>
      </w:pPr>
      <w:r>
        <w:rPr>
          <w:rFonts w:hint="cs"/>
          <w:rtl/>
        </w:rPr>
        <w:t>___________</w:t>
      </w:r>
    </w:p>
    <w:sectPr w:rsidR="00C73DD1" w:rsidRPr="00C73DD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A68B6" w:rsidRDefault="00281F5F" w:rsidP="005A68B6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A68B6">
      <w:instrText xml:space="preserve"> FILENAME \p \* MERGEFORMAT </w:instrText>
    </w:r>
    <w:r w:rsidRPr="00CB4300">
      <w:fldChar w:fldCharType="separate"/>
    </w:r>
    <w:r w:rsidR="00711A75">
      <w:rPr>
        <w:noProof/>
      </w:rPr>
      <w:t>P:\ARA\ITU-R\CONF-R\CMR15\000\082ADD23ADD01ADD02A.docx</w:t>
    </w:r>
    <w:r w:rsidRPr="00CB4300">
      <w:fldChar w:fldCharType="end"/>
    </w:r>
    <w:r w:rsidRPr="005A68B6">
      <w:t xml:space="preserve">  (</w:t>
    </w:r>
    <w:r w:rsidR="005A68B6">
      <w:t>388575</w:t>
    </w:r>
    <w:r w:rsidRPr="005A68B6">
      <w:t>)</w:t>
    </w:r>
    <w:r w:rsidRPr="005A68B6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11A75">
      <w:rPr>
        <w:noProof/>
      </w:rPr>
      <w:t>30.10.15</w:t>
    </w:r>
    <w:r w:rsidRPr="00CB4300">
      <w:fldChar w:fldCharType="end"/>
    </w:r>
    <w:r w:rsidRPr="005A68B6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711A75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A68B6" w:rsidRDefault="00281F5F" w:rsidP="005A68B6">
    <w:pPr>
      <w:pStyle w:val="Footer"/>
    </w:pPr>
    <w:r>
      <w:fldChar w:fldCharType="begin"/>
    </w:r>
    <w:r w:rsidRPr="005A68B6">
      <w:instrText xml:space="preserve"> FILENAME \p \* MERGEFORMAT </w:instrText>
    </w:r>
    <w:r>
      <w:fldChar w:fldCharType="separate"/>
    </w:r>
    <w:r w:rsidR="00711A75">
      <w:rPr>
        <w:noProof/>
      </w:rPr>
      <w:t>P:\ARA\ITU-R\CONF-R\CMR15\000\082ADD23ADD01ADD02A.docx</w:t>
    </w:r>
    <w:r>
      <w:fldChar w:fldCharType="end"/>
    </w:r>
    <w:r w:rsidRPr="005A68B6">
      <w:t xml:space="preserve">   (</w:t>
    </w:r>
    <w:r w:rsidR="005A68B6">
      <w:t>388575</w:t>
    </w:r>
    <w:r w:rsidRPr="005A68B6">
      <w:t>)</w:t>
    </w:r>
    <w:r w:rsidRPr="005A68B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11A75">
      <w:rPr>
        <w:noProof/>
      </w:rPr>
      <w:t>30.10.15</w:t>
    </w:r>
    <w:r w:rsidRPr="00B12661">
      <w:fldChar w:fldCharType="end"/>
    </w:r>
    <w:r w:rsidRPr="005A68B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11A75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11A7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82(Add.23)(Add.1)(Add.2)-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58FF"/>
    <w:rsid w:val="000A1B16"/>
    <w:rsid w:val="000A35A9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040"/>
    <w:rsid w:val="002D5F64"/>
    <w:rsid w:val="002D6FBF"/>
    <w:rsid w:val="002E48BF"/>
    <w:rsid w:val="002E61C2"/>
    <w:rsid w:val="0032638C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129C"/>
    <w:rsid w:val="0045156E"/>
    <w:rsid w:val="00461FA7"/>
    <w:rsid w:val="00470CBD"/>
    <w:rsid w:val="0047407D"/>
    <w:rsid w:val="004909DD"/>
    <w:rsid w:val="004A05E6"/>
    <w:rsid w:val="004A6C66"/>
    <w:rsid w:val="004A7AA0"/>
    <w:rsid w:val="004C11BC"/>
    <w:rsid w:val="004C2F97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68B6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0B42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1A75"/>
    <w:rsid w:val="00716B1D"/>
    <w:rsid w:val="0072415A"/>
    <w:rsid w:val="007248EC"/>
    <w:rsid w:val="00731150"/>
    <w:rsid w:val="007364BD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5D03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3A81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611D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4C3E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6BEB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2558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3DD1"/>
    <w:rsid w:val="00C77314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D7DF7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1F34281-1E8A-4243-A769-EFE43309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le-converted-space">
    <w:name w:val="apple-converted-space"/>
    <w:basedOn w:val="DefaultParagraphFont"/>
    <w:rsid w:val="0072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R15-WRC15-C-0082!A23-A1-A2!MSW-A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EF6833-89A0-4B71-88B2-E66F1B3AA07E}">
  <ds:schemaRefs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A35C63B-45D0-4532-A291-308E1FF6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R15-WRC15-C-0082!A23-A1-A2!MSW-A</vt:lpstr>
    </vt:vector>
  </TitlesOfParts>
  <Manager>General Secretariat - Pool</Manager>
  <Company>International Telecommunication Union (ITU)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R15-WRC15-C-0082!A23-A1-A2!MSW-A</dc:title>
  <dc:creator>Documents Proposals Manager (DPM)</dc:creator>
  <cp:keywords>DPM_v5.2015.10.22_prod</cp:keywords>
  <cp:lastModifiedBy>Eltawabti, Ibrahim</cp:lastModifiedBy>
  <cp:revision>5</cp:revision>
  <cp:lastPrinted>2015-10-30T20:50:00Z</cp:lastPrinted>
  <dcterms:created xsi:type="dcterms:W3CDTF">2015-10-30T10:37:00Z</dcterms:created>
  <dcterms:modified xsi:type="dcterms:W3CDTF">2015-10-30T20:54:00Z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