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747DA" w:rsidTr="0050008E">
        <w:trPr>
          <w:cantSplit/>
        </w:trPr>
        <w:tc>
          <w:tcPr>
            <w:tcW w:w="6911" w:type="dxa"/>
          </w:tcPr>
          <w:p w:rsidR="0090121B" w:rsidRPr="005747DA" w:rsidRDefault="005D46FB" w:rsidP="007B16F3">
            <w:pPr>
              <w:spacing w:before="400" w:after="48"/>
              <w:rPr>
                <w:rFonts w:ascii="Verdana" w:hAnsi="Verdana"/>
                <w:position w:val="6"/>
                <w:lang w:val="es-ES"/>
              </w:rPr>
            </w:pPr>
            <w:r w:rsidRPr="005747DA">
              <w:rPr>
                <w:rFonts w:ascii="Verdana" w:hAnsi="Verdana" w:cs="Times"/>
                <w:b/>
                <w:position w:val="6"/>
                <w:sz w:val="20"/>
                <w:lang w:val="es-ES"/>
              </w:rPr>
              <w:t>Conferencia Mundial de Radiocomunicaciones (CMR-15)</w:t>
            </w:r>
            <w:r w:rsidRPr="005747DA">
              <w:rPr>
                <w:rFonts w:ascii="Verdana" w:hAnsi="Verdana" w:cs="Times"/>
                <w:b/>
                <w:position w:val="6"/>
                <w:sz w:val="20"/>
                <w:lang w:val="es-ES"/>
              </w:rPr>
              <w:br/>
            </w:r>
            <w:r w:rsidRPr="005747DA">
              <w:rPr>
                <w:rFonts w:ascii="Verdana" w:hAnsi="Verdana"/>
                <w:b/>
                <w:bCs/>
                <w:position w:val="6"/>
                <w:sz w:val="18"/>
                <w:szCs w:val="18"/>
                <w:lang w:val="es-ES"/>
              </w:rPr>
              <w:t>Ginebra, 2-27 de noviembre de 2015</w:t>
            </w:r>
          </w:p>
        </w:tc>
        <w:tc>
          <w:tcPr>
            <w:tcW w:w="3120" w:type="dxa"/>
          </w:tcPr>
          <w:p w:rsidR="0090121B" w:rsidRPr="005747DA" w:rsidRDefault="00CE7431" w:rsidP="007B16F3">
            <w:pPr>
              <w:spacing w:before="0"/>
              <w:jc w:val="right"/>
              <w:rPr>
                <w:lang w:val="es-ES"/>
              </w:rPr>
            </w:pPr>
            <w:bookmarkStart w:id="0" w:name="ditulogo"/>
            <w:bookmarkEnd w:id="0"/>
            <w:r w:rsidRPr="005747DA">
              <w:rPr>
                <w:noProof/>
                <w:lang w:val="es-E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747DA" w:rsidTr="0050008E">
        <w:trPr>
          <w:cantSplit/>
        </w:trPr>
        <w:tc>
          <w:tcPr>
            <w:tcW w:w="6911" w:type="dxa"/>
            <w:tcBorders>
              <w:bottom w:val="single" w:sz="12" w:space="0" w:color="auto"/>
            </w:tcBorders>
          </w:tcPr>
          <w:p w:rsidR="0090121B" w:rsidRPr="005747DA" w:rsidRDefault="00CE7431" w:rsidP="007B16F3">
            <w:pPr>
              <w:spacing w:before="0" w:after="48"/>
              <w:rPr>
                <w:b/>
                <w:smallCaps/>
                <w:szCs w:val="24"/>
                <w:lang w:val="es-ES"/>
              </w:rPr>
            </w:pPr>
            <w:bookmarkStart w:id="1" w:name="dhead"/>
            <w:r w:rsidRPr="005747DA">
              <w:rPr>
                <w:rFonts w:ascii="Verdana" w:hAnsi="Verdana"/>
                <w:b/>
                <w:smallCaps/>
                <w:sz w:val="20"/>
                <w:lang w:val="es-ES"/>
              </w:rPr>
              <w:t>UNIÓN INTERNACIONAL DE TELECOMUNICACIONES</w:t>
            </w:r>
          </w:p>
        </w:tc>
        <w:tc>
          <w:tcPr>
            <w:tcW w:w="3120" w:type="dxa"/>
            <w:tcBorders>
              <w:bottom w:val="single" w:sz="12" w:space="0" w:color="auto"/>
            </w:tcBorders>
          </w:tcPr>
          <w:p w:rsidR="0090121B" w:rsidRPr="005747DA" w:rsidRDefault="0090121B" w:rsidP="007B16F3">
            <w:pPr>
              <w:spacing w:before="0"/>
              <w:rPr>
                <w:rFonts w:ascii="Verdana" w:hAnsi="Verdana"/>
                <w:szCs w:val="24"/>
                <w:lang w:val="es-ES"/>
              </w:rPr>
            </w:pPr>
          </w:p>
        </w:tc>
      </w:tr>
      <w:tr w:rsidR="0090121B" w:rsidRPr="005747DA" w:rsidTr="0090121B">
        <w:trPr>
          <w:cantSplit/>
        </w:trPr>
        <w:tc>
          <w:tcPr>
            <w:tcW w:w="6911" w:type="dxa"/>
            <w:tcBorders>
              <w:top w:val="single" w:sz="12" w:space="0" w:color="auto"/>
            </w:tcBorders>
          </w:tcPr>
          <w:p w:rsidR="0090121B" w:rsidRPr="005747DA" w:rsidRDefault="0090121B" w:rsidP="007B16F3">
            <w:pPr>
              <w:spacing w:before="0" w:after="48"/>
              <w:rPr>
                <w:rFonts w:ascii="Verdana" w:hAnsi="Verdana"/>
                <w:b/>
                <w:smallCaps/>
                <w:sz w:val="20"/>
                <w:lang w:val="es-ES"/>
              </w:rPr>
            </w:pPr>
          </w:p>
        </w:tc>
        <w:tc>
          <w:tcPr>
            <w:tcW w:w="3120" w:type="dxa"/>
            <w:tcBorders>
              <w:top w:val="single" w:sz="12" w:space="0" w:color="auto"/>
            </w:tcBorders>
          </w:tcPr>
          <w:p w:rsidR="0090121B" w:rsidRPr="005747DA" w:rsidRDefault="0090121B" w:rsidP="007B16F3">
            <w:pPr>
              <w:spacing w:before="0"/>
              <w:rPr>
                <w:rFonts w:ascii="Verdana" w:hAnsi="Verdana"/>
                <w:sz w:val="20"/>
                <w:lang w:val="es-ES"/>
              </w:rPr>
            </w:pPr>
          </w:p>
        </w:tc>
      </w:tr>
      <w:tr w:rsidR="0090121B" w:rsidRPr="005747DA" w:rsidTr="0090121B">
        <w:trPr>
          <w:cantSplit/>
        </w:trPr>
        <w:tc>
          <w:tcPr>
            <w:tcW w:w="6911" w:type="dxa"/>
            <w:shd w:val="clear" w:color="auto" w:fill="auto"/>
          </w:tcPr>
          <w:p w:rsidR="0090121B" w:rsidRPr="005747DA" w:rsidRDefault="00AE658F" w:rsidP="007B16F3">
            <w:pPr>
              <w:spacing w:before="0"/>
              <w:rPr>
                <w:rFonts w:ascii="Verdana" w:hAnsi="Verdana"/>
                <w:b/>
                <w:sz w:val="20"/>
                <w:lang w:val="es-ES"/>
              </w:rPr>
            </w:pPr>
            <w:r w:rsidRPr="005747DA">
              <w:rPr>
                <w:rFonts w:ascii="Verdana" w:hAnsi="Verdana"/>
                <w:b/>
                <w:sz w:val="20"/>
                <w:lang w:val="es-ES"/>
              </w:rPr>
              <w:t>SESIÓN PLENARIA</w:t>
            </w:r>
          </w:p>
        </w:tc>
        <w:tc>
          <w:tcPr>
            <w:tcW w:w="3120" w:type="dxa"/>
            <w:shd w:val="clear" w:color="auto" w:fill="auto"/>
          </w:tcPr>
          <w:p w:rsidR="0090121B" w:rsidRPr="005747DA" w:rsidRDefault="00AE658F" w:rsidP="007B16F3">
            <w:pPr>
              <w:spacing w:before="0"/>
              <w:rPr>
                <w:rFonts w:ascii="Verdana" w:hAnsi="Verdana"/>
                <w:sz w:val="20"/>
                <w:lang w:val="es-ES"/>
              </w:rPr>
            </w:pPr>
            <w:r w:rsidRPr="005747DA">
              <w:rPr>
                <w:rFonts w:ascii="Verdana" w:eastAsia="SimSun" w:hAnsi="Verdana" w:cs="Traditional Arabic"/>
                <w:b/>
                <w:sz w:val="20"/>
                <w:lang w:val="es-ES"/>
              </w:rPr>
              <w:t>Addéndum 11 al</w:t>
            </w:r>
            <w:r w:rsidRPr="005747DA">
              <w:rPr>
                <w:rFonts w:ascii="Verdana" w:eastAsia="SimSun" w:hAnsi="Verdana" w:cs="Traditional Arabic"/>
                <w:b/>
                <w:sz w:val="20"/>
                <w:lang w:val="es-ES"/>
              </w:rPr>
              <w:br/>
              <w:t>Documento 82(Add.21)</w:t>
            </w:r>
            <w:r w:rsidR="0090121B" w:rsidRPr="005747DA">
              <w:rPr>
                <w:rFonts w:ascii="Verdana" w:hAnsi="Verdana"/>
                <w:b/>
                <w:sz w:val="20"/>
                <w:lang w:val="es-ES"/>
              </w:rPr>
              <w:t>-</w:t>
            </w:r>
            <w:r w:rsidRPr="005747DA">
              <w:rPr>
                <w:rFonts w:ascii="Verdana" w:hAnsi="Verdana"/>
                <w:b/>
                <w:sz w:val="20"/>
                <w:lang w:val="es-ES"/>
              </w:rPr>
              <w:t>S</w:t>
            </w:r>
          </w:p>
        </w:tc>
      </w:tr>
      <w:bookmarkEnd w:id="1"/>
      <w:tr w:rsidR="000A5B9A" w:rsidRPr="005747DA" w:rsidTr="0090121B">
        <w:trPr>
          <w:cantSplit/>
        </w:trPr>
        <w:tc>
          <w:tcPr>
            <w:tcW w:w="6911" w:type="dxa"/>
            <w:shd w:val="clear" w:color="auto" w:fill="auto"/>
          </w:tcPr>
          <w:p w:rsidR="000A5B9A" w:rsidRPr="005747DA" w:rsidRDefault="000A5B9A" w:rsidP="007B16F3">
            <w:pPr>
              <w:spacing w:before="0" w:after="48"/>
              <w:rPr>
                <w:rFonts w:ascii="Verdana" w:hAnsi="Verdana"/>
                <w:b/>
                <w:smallCaps/>
                <w:sz w:val="20"/>
                <w:lang w:val="es-ES"/>
              </w:rPr>
            </w:pPr>
          </w:p>
        </w:tc>
        <w:tc>
          <w:tcPr>
            <w:tcW w:w="3120" w:type="dxa"/>
            <w:shd w:val="clear" w:color="auto" w:fill="auto"/>
          </w:tcPr>
          <w:p w:rsidR="000A5B9A" w:rsidRPr="005747DA" w:rsidRDefault="000A5B9A" w:rsidP="007B16F3">
            <w:pPr>
              <w:spacing w:before="0"/>
              <w:rPr>
                <w:rFonts w:ascii="Verdana" w:hAnsi="Verdana"/>
                <w:b/>
                <w:sz w:val="20"/>
                <w:lang w:val="es-ES"/>
              </w:rPr>
            </w:pPr>
            <w:r w:rsidRPr="005747DA">
              <w:rPr>
                <w:rFonts w:ascii="Verdana" w:hAnsi="Verdana"/>
                <w:b/>
                <w:sz w:val="20"/>
                <w:lang w:val="es-ES"/>
              </w:rPr>
              <w:t>16 de octubre de 2015</w:t>
            </w:r>
          </w:p>
        </w:tc>
      </w:tr>
      <w:tr w:rsidR="000A5B9A" w:rsidRPr="005747DA" w:rsidTr="0090121B">
        <w:trPr>
          <w:cantSplit/>
        </w:trPr>
        <w:tc>
          <w:tcPr>
            <w:tcW w:w="6911" w:type="dxa"/>
          </w:tcPr>
          <w:p w:rsidR="000A5B9A" w:rsidRPr="005747DA" w:rsidRDefault="000A5B9A" w:rsidP="007B16F3">
            <w:pPr>
              <w:spacing w:before="0" w:after="48"/>
              <w:rPr>
                <w:rFonts w:ascii="Verdana" w:hAnsi="Verdana"/>
                <w:b/>
                <w:smallCaps/>
                <w:sz w:val="20"/>
                <w:lang w:val="es-ES"/>
              </w:rPr>
            </w:pPr>
          </w:p>
        </w:tc>
        <w:tc>
          <w:tcPr>
            <w:tcW w:w="3120" w:type="dxa"/>
          </w:tcPr>
          <w:p w:rsidR="000A5B9A" w:rsidRPr="005747DA" w:rsidRDefault="000A5B9A" w:rsidP="007B16F3">
            <w:pPr>
              <w:spacing w:before="0"/>
              <w:rPr>
                <w:rFonts w:ascii="Verdana" w:hAnsi="Verdana"/>
                <w:b/>
                <w:sz w:val="20"/>
                <w:lang w:val="es-ES"/>
              </w:rPr>
            </w:pPr>
            <w:r w:rsidRPr="005747DA">
              <w:rPr>
                <w:rFonts w:ascii="Verdana" w:hAnsi="Verdana"/>
                <w:b/>
                <w:sz w:val="20"/>
                <w:lang w:val="es-ES"/>
              </w:rPr>
              <w:t>Original: inglés</w:t>
            </w:r>
          </w:p>
        </w:tc>
      </w:tr>
      <w:tr w:rsidR="000A5B9A" w:rsidRPr="005747DA" w:rsidTr="006744FC">
        <w:trPr>
          <w:cantSplit/>
        </w:trPr>
        <w:tc>
          <w:tcPr>
            <w:tcW w:w="10031" w:type="dxa"/>
            <w:gridSpan w:val="2"/>
          </w:tcPr>
          <w:p w:rsidR="000A5B9A" w:rsidRPr="005747DA" w:rsidRDefault="000A5B9A" w:rsidP="007B16F3">
            <w:pPr>
              <w:spacing w:before="0"/>
              <w:rPr>
                <w:rFonts w:ascii="Verdana" w:hAnsi="Verdana"/>
                <w:b/>
                <w:sz w:val="20"/>
                <w:lang w:val="es-ES"/>
              </w:rPr>
            </w:pPr>
          </w:p>
        </w:tc>
      </w:tr>
      <w:tr w:rsidR="000A5B9A" w:rsidRPr="005747DA" w:rsidTr="0050008E">
        <w:trPr>
          <w:cantSplit/>
        </w:trPr>
        <w:tc>
          <w:tcPr>
            <w:tcW w:w="10031" w:type="dxa"/>
            <w:gridSpan w:val="2"/>
          </w:tcPr>
          <w:p w:rsidR="000A5B9A" w:rsidRPr="005747DA" w:rsidRDefault="000A5B9A" w:rsidP="007B16F3">
            <w:pPr>
              <w:pStyle w:val="Source"/>
              <w:rPr>
                <w:lang w:val="es-ES"/>
              </w:rPr>
            </w:pPr>
            <w:bookmarkStart w:id="2" w:name="dsource" w:colFirst="0" w:colLast="0"/>
            <w:r w:rsidRPr="005747DA">
              <w:rPr>
                <w:lang w:val="es-ES"/>
              </w:rPr>
              <w:t>Uganda (República de)</w:t>
            </w:r>
          </w:p>
        </w:tc>
      </w:tr>
      <w:tr w:rsidR="000A5B9A" w:rsidRPr="005747DA" w:rsidTr="0050008E">
        <w:trPr>
          <w:cantSplit/>
        </w:trPr>
        <w:tc>
          <w:tcPr>
            <w:tcW w:w="10031" w:type="dxa"/>
            <w:gridSpan w:val="2"/>
          </w:tcPr>
          <w:p w:rsidR="000A5B9A" w:rsidRPr="005747DA" w:rsidRDefault="007B16F3" w:rsidP="007B16F3">
            <w:pPr>
              <w:pStyle w:val="Title1"/>
              <w:rPr>
                <w:lang w:val="es-ES"/>
              </w:rPr>
            </w:pPr>
            <w:bookmarkStart w:id="3" w:name="dtitle1" w:colFirst="0" w:colLast="0"/>
            <w:bookmarkEnd w:id="2"/>
            <w:r w:rsidRPr="005747DA">
              <w:rPr>
                <w:lang w:val="es-ES"/>
              </w:rPr>
              <w:t>PROPUESTAS PARA LOS TRABAJOS DE LA CONFERENCIA</w:t>
            </w:r>
          </w:p>
        </w:tc>
      </w:tr>
      <w:tr w:rsidR="000A5B9A" w:rsidRPr="005747DA" w:rsidTr="0050008E">
        <w:trPr>
          <w:cantSplit/>
        </w:trPr>
        <w:tc>
          <w:tcPr>
            <w:tcW w:w="10031" w:type="dxa"/>
            <w:gridSpan w:val="2"/>
          </w:tcPr>
          <w:p w:rsidR="000A5B9A" w:rsidRPr="005747DA" w:rsidRDefault="000A5B9A" w:rsidP="007B16F3">
            <w:pPr>
              <w:pStyle w:val="Title2"/>
              <w:rPr>
                <w:lang w:val="es-ES"/>
              </w:rPr>
            </w:pPr>
            <w:bookmarkStart w:id="4" w:name="dtitle2" w:colFirst="0" w:colLast="0"/>
            <w:bookmarkEnd w:id="3"/>
          </w:p>
        </w:tc>
      </w:tr>
      <w:tr w:rsidR="000A5B9A" w:rsidRPr="005747DA" w:rsidTr="0050008E">
        <w:trPr>
          <w:cantSplit/>
        </w:trPr>
        <w:tc>
          <w:tcPr>
            <w:tcW w:w="10031" w:type="dxa"/>
            <w:gridSpan w:val="2"/>
          </w:tcPr>
          <w:p w:rsidR="000A5B9A" w:rsidRPr="005747DA" w:rsidRDefault="000A5B9A" w:rsidP="007B16F3">
            <w:pPr>
              <w:pStyle w:val="Agendaitem"/>
              <w:rPr>
                <w:lang w:val="es-ES"/>
              </w:rPr>
            </w:pPr>
            <w:bookmarkStart w:id="5" w:name="dtitle3" w:colFirst="0" w:colLast="0"/>
            <w:bookmarkEnd w:id="4"/>
            <w:r w:rsidRPr="005747DA">
              <w:rPr>
                <w:lang w:val="es-ES"/>
              </w:rPr>
              <w:t>Punto 7(K) del orden del día</w:t>
            </w:r>
          </w:p>
        </w:tc>
      </w:tr>
    </w:tbl>
    <w:bookmarkEnd w:id="5"/>
    <w:p w:rsidR="001C0E40" w:rsidRPr="005747DA" w:rsidRDefault="003C426F" w:rsidP="007B16F3">
      <w:pPr>
        <w:rPr>
          <w:lang w:val="es-ES"/>
        </w:rPr>
      </w:pPr>
      <w:r w:rsidRPr="005747DA">
        <w:rPr>
          <w:lang w:val="es-ES"/>
        </w:rPr>
        <w:t>7</w:t>
      </w:r>
      <w:r w:rsidRPr="005747DA">
        <w:rPr>
          <w:lang w:val="es-ES"/>
        </w:rPr>
        <w:tab/>
        <w:t>considerar posibles modificaciones y otras opciones como consecuencia de la Resolución</w:t>
      </w:r>
      <w:r w:rsidRPr="005747DA">
        <w:rPr>
          <w:lang w:val="es-ES"/>
        </w:rPr>
        <w:t> </w:t>
      </w:r>
      <w:r w:rsidRPr="005747DA">
        <w:rPr>
          <w:lang w:val="es-ES"/>
        </w:rPr>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5747DA">
        <w:rPr>
          <w:b/>
          <w:bCs/>
          <w:lang w:val="es-ES"/>
        </w:rPr>
        <w:t>86 (Rev.CM</w:t>
      </w:r>
      <w:r w:rsidRPr="005747DA">
        <w:rPr>
          <w:b/>
          <w:bCs/>
          <w:lang w:val="es-ES"/>
        </w:rPr>
        <w:t>R-07)</w:t>
      </w:r>
      <w:r w:rsidRPr="005747DA">
        <w:rPr>
          <w:lang w:val="es-ES"/>
        </w:rPr>
        <w:t>, para facilitar la utilización racional, eficaz y económica de las frecuencias radioeléctricas y toda órbita asociada, incluida la órbita de los satélites geoestacionarios;</w:t>
      </w:r>
    </w:p>
    <w:p w:rsidR="00636349" w:rsidRPr="005747DA" w:rsidRDefault="003C426F" w:rsidP="007B16F3">
      <w:pPr>
        <w:rPr>
          <w:lang w:val="es-ES"/>
        </w:rPr>
      </w:pPr>
      <w:r w:rsidRPr="005747DA">
        <w:rPr>
          <w:lang w:val="es-ES"/>
        </w:rPr>
        <w:t xml:space="preserve">7(K) </w:t>
      </w:r>
      <w:r w:rsidRPr="005747DA">
        <w:rPr>
          <w:lang w:val="es-ES"/>
        </w:rPr>
        <w:tab/>
      </w:r>
      <w:r w:rsidRPr="005747DA">
        <w:rPr>
          <w:lang w:val="es-ES"/>
        </w:rPr>
        <w:t xml:space="preserve">Tema K – Adición de </w:t>
      </w:r>
      <w:bookmarkStart w:id="6" w:name="_GoBack"/>
      <w:bookmarkEnd w:id="6"/>
      <w:r w:rsidRPr="005747DA">
        <w:rPr>
          <w:lang w:val="es-ES"/>
        </w:rPr>
        <w:t>una disposición reglamentaria en el Artículo </w:t>
      </w:r>
      <w:r w:rsidRPr="005747DA">
        <w:rPr>
          <w:b/>
          <w:bCs/>
          <w:lang w:val="es-ES"/>
        </w:rPr>
        <w:t>11</w:t>
      </w:r>
      <w:r w:rsidRPr="005747DA">
        <w:rPr>
          <w:lang w:val="es-ES"/>
        </w:rPr>
        <w:t xml:space="preserve"> del</w:t>
      </w:r>
      <w:r w:rsidRPr="005747DA">
        <w:rPr>
          <w:lang w:val="es-ES"/>
        </w:rPr>
        <w:t xml:space="preserve"> RR relativa al caso de fallo de lanzamiento</w:t>
      </w:r>
    </w:p>
    <w:p w:rsidR="007B16F3" w:rsidRPr="003C426F" w:rsidRDefault="007B16F3" w:rsidP="003C426F">
      <w:pPr>
        <w:pStyle w:val="Headingb"/>
      </w:pPr>
      <w:r w:rsidRPr="003C426F">
        <w:t xml:space="preserve">Postura de Uganda </w:t>
      </w:r>
    </w:p>
    <w:p w:rsidR="007B16F3" w:rsidRPr="005747DA" w:rsidRDefault="007B16F3" w:rsidP="007B16F3">
      <w:pPr>
        <w:rPr>
          <w:lang w:val="es-ES"/>
        </w:rPr>
      </w:pPr>
      <w:r w:rsidRPr="005747DA">
        <w:rPr>
          <w:lang w:val="es-ES"/>
        </w:rPr>
        <w:t>Uganda apoya el método K2.</w:t>
      </w:r>
    </w:p>
    <w:p w:rsidR="007B16F3" w:rsidRPr="005747DA" w:rsidRDefault="007B16F3" w:rsidP="007B16F3">
      <w:pPr>
        <w:rPr>
          <w:lang w:val="es-ES"/>
        </w:rPr>
      </w:pPr>
      <w:r w:rsidRPr="005747DA">
        <w:rPr>
          <w:lang w:val="es-ES"/>
        </w:rPr>
        <w:t>Este método consiste en introducir una disposición reglamentaria 11.XX, aplicable caso por caso, relativa a todo fallo de lanzamiento que impida la puesta en servicio o la nueva puesta en servicio de la asignación de frecuencias notificadas para ese satélite.</w:t>
      </w:r>
    </w:p>
    <w:p w:rsidR="00363A65" w:rsidRPr="005747DA" w:rsidRDefault="007B16F3" w:rsidP="007B16F3">
      <w:pPr>
        <w:pStyle w:val="Headingb"/>
        <w:rPr>
          <w:lang w:val="es-ES"/>
        </w:rPr>
      </w:pPr>
      <w:r w:rsidRPr="005747DA">
        <w:rPr>
          <w:lang w:val="es-ES"/>
        </w:rPr>
        <w:t>Propuesta</w:t>
      </w:r>
      <w:r w:rsidRPr="005747DA">
        <w:rPr>
          <w:lang w:val="es-ES"/>
        </w:rPr>
        <w:tab/>
      </w:r>
      <w:r w:rsidRPr="005747DA">
        <w:rPr>
          <w:lang w:val="es-ES"/>
        </w:rPr>
        <w:tab/>
      </w:r>
    </w:p>
    <w:p w:rsidR="008750A8" w:rsidRPr="005747DA" w:rsidRDefault="008750A8" w:rsidP="007B16F3">
      <w:pPr>
        <w:tabs>
          <w:tab w:val="clear" w:pos="1134"/>
          <w:tab w:val="clear" w:pos="1871"/>
          <w:tab w:val="clear" w:pos="2268"/>
        </w:tabs>
        <w:overflowPunct/>
        <w:autoSpaceDE/>
        <w:autoSpaceDN/>
        <w:adjustRightInd/>
        <w:spacing w:before="0"/>
        <w:textAlignment w:val="auto"/>
        <w:rPr>
          <w:lang w:val="es-ES"/>
        </w:rPr>
      </w:pPr>
      <w:r w:rsidRPr="005747DA">
        <w:rPr>
          <w:lang w:val="es-ES"/>
        </w:rPr>
        <w:br w:type="page"/>
      </w:r>
    </w:p>
    <w:p w:rsidR="00F008F3" w:rsidRPr="005747DA" w:rsidRDefault="003C426F" w:rsidP="007B16F3">
      <w:pPr>
        <w:pStyle w:val="ArtNo"/>
        <w:rPr>
          <w:lang w:val="es-ES"/>
        </w:rPr>
      </w:pPr>
      <w:r w:rsidRPr="005747DA">
        <w:rPr>
          <w:lang w:val="es-ES"/>
        </w:rPr>
        <w:lastRenderedPageBreak/>
        <w:t xml:space="preserve">ARTÍCULO </w:t>
      </w:r>
      <w:r w:rsidRPr="005747DA">
        <w:rPr>
          <w:rStyle w:val="href"/>
          <w:lang w:val="es-ES"/>
        </w:rPr>
        <w:t>11</w:t>
      </w:r>
    </w:p>
    <w:p w:rsidR="00F008F3" w:rsidRPr="005747DA" w:rsidRDefault="003C426F" w:rsidP="007B16F3">
      <w:pPr>
        <w:pStyle w:val="Arttitle"/>
        <w:spacing w:before="120"/>
        <w:rPr>
          <w:bCs/>
          <w:lang w:val="es-ES"/>
        </w:rPr>
      </w:pPr>
      <w:r w:rsidRPr="005747DA">
        <w:rPr>
          <w:lang w:val="es-ES"/>
        </w:rPr>
        <w:t>Notificación e inscripción de asignaciones</w:t>
      </w:r>
      <w:r w:rsidRPr="005747DA">
        <w:rPr>
          <w:lang w:val="es-ES"/>
        </w:rPr>
        <w:br/>
        <w:t>de frecuencia</w:t>
      </w:r>
      <w:r w:rsidRPr="005747DA">
        <w:rPr>
          <w:rStyle w:val="FootnoteReference"/>
          <w:bCs/>
          <w:szCs w:val="18"/>
          <w:lang w:val="es-ES"/>
        </w:rPr>
        <w:t>1</w:t>
      </w:r>
      <w:r w:rsidRPr="005747DA">
        <w:rPr>
          <w:bCs/>
          <w:position w:val="6"/>
          <w:sz w:val="18"/>
          <w:szCs w:val="18"/>
          <w:lang w:val="es-ES"/>
        </w:rPr>
        <w:t xml:space="preserve">, </w:t>
      </w:r>
      <w:r w:rsidRPr="005747DA">
        <w:rPr>
          <w:rStyle w:val="FootnoteReference"/>
          <w:bCs/>
          <w:szCs w:val="18"/>
          <w:lang w:val="es-ES"/>
        </w:rPr>
        <w:t>2</w:t>
      </w:r>
      <w:r w:rsidRPr="005747DA">
        <w:rPr>
          <w:bCs/>
          <w:position w:val="6"/>
          <w:sz w:val="18"/>
          <w:szCs w:val="18"/>
          <w:lang w:val="es-ES"/>
        </w:rPr>
        <w:t xml:space="preserve">, </w:t>
      </w:r>
      <w:r w:rsidRPr="005747DA">
        <w:rPr>
          <w:rStyle w:val="FootnoteReference"/>
          <w:bCs/>
          <w:szCs w:val="18"/>
          <w:lang w:val="es-ES"/>
        </w:rPr>
        <w:t>3</w:t>
      </w:r>
      <w:r w:rsidRPr="005747DA">
        <w:rPr>
          <w:bCs/>
          <w:position w:val="6"/>
          <w:sz w:val="18"/>
          <w:szCs w:val="18"/>
          <w:lang w:val="es-ES"/>
        </w:rPr>
        <w:t xml:space="preserve">, </w:t>
      </w:r>
      <w:r w:rsidRPr="005747DA">
        <w:rPr>
          <w:rStyle w:val="FootnoteReference"/>
          <w:bCs/>
          <w:szCs w:val="18"/>
          <w:lang w:val="es-ES"/>
        </w:rPr>
        <w:t>4</w:t>
      </w:r>
      <w:r w:rsidRPr="005747DA">
        <w:rPr>
          <w:bCs/>
          <w:position w:val="6"/>
          <w:sz w:val="18"/>
          <w:szCs w:val="18"/>
          <w:lang w:val="es-ES"/>
        </w:rPr>
        <w:t xml:space="preserve">, </w:t>
      </w:r>
      <w:r w:rsidRPr="005747DA">
        <w:rPr>
          <w:rStyle w:val="FootnoteReference"/>
          <w:bCs/>
          <w:szCs w:val="18"/>
          <w:lang w:val="es-ES"/>
        </w:rPr>
        <w:t>5</w:t>
      </w:r>
      <w:r w:rsidRPr="005747DA">
        <w:rPr>
          <w:bCs/>
          <w:position w:val="6"/>
          <w:sz w:val="18"/>
          <w:szCs w:val="18"/>
          <w:lang w:val="es-ES"/>
        </w:rPr>
        <w:t xml:space="preserve">, </w:t>
      </w:r>
      <w:r w:rsidRPr="005747DA">
        <w:rPr>
          <w:rStyle w:val="FootnoteReference"/>
          <w:bCs/>
          <w:szCs w:val="18"/>
          <w:lang w:val="es-ES"/>
        </w:rPr>
        <w:t>6</w:t>
      </w:r>
      <w:r w:rsidRPr="005747DA">
        <w:rPr>
          <w:bCs/>
          <w:position w:val="6"/>
          <w:sz w:val="18"/>
          <w:szCs w:val="18"/>
          <w:lang w:val="es-ES"/>
        </w:rPr>
        <w:t xml:space="preserve">, </w:t>
      </w:r>
      <w:r w:rsidRPr="005747DA">
        <w:rPr>
          <w:rStyle w:val="FootnoteReference"/>
          <w:bCs/>
          <w:szCs w:val="18"/>
          <w:lang w:val="es-ES"/>
        </w:rPr>
        <w:t>7</w:t>
      </w:r>
      <w:r w:rsidRPr="005747DA">
        <w:rPr>
          <w:rStyle w:val="FootnoteReference"/>
          <w:bCs/>
          <w:szCs w:val="18"/>
          <w:lang w:val="es-ES"/>
        </w:rPr>
        <w:t>,</w:t>
      </w:r>
      <w:r w:rsidRPr="005747DA">
        <w:rPr>
          <w:bCs/>
          <w:sz w:val="18"/>
          <w:szCs w:val="18"/>
          <w:lang w:val="es-ES"/>
        </w:rPr>
        <w:t xml:space="preserve"> </w:t>
      </w:r>
      <w:r w:rsidRPr="005747DA">
        <w:rPr>
          <w:bCs/>
          <w:position w:val="6"/>
          <w:sz w:val="18"/>
          <w:szCs w:val="18"/>
          <w:lang w:val="es-ES"/>
        </w:rPr>
        <w:t>7</w:t>
      </w:r>
      <w:r w:rsidRPr="005747DA">
        <w:rPr>
          <w:bCs/>
          <w:i/>
          <w:iCs/>
          <w:position w:val="6"/>
          <w:sz w:val="18"/>
          <w:szCs w:val="18"/>
          <w:lang w:val="es-ES"/>
        </w:rPr>
        <w:t>bis</w:t>
      </w:r>
      <w:r w:rsidRPr="005747DA">
        <w:rPr>
          <w:b w:val="0"/>
          <w:sz w:val="16"/>
          <w:lang w:val="es-ES"/>
        </w:rPr>
        <w:t>     (CMR</w:t>
      </w:r>
      <w:r w:rsidRPr="005747DA">
        <w:rPr>
          <w:b w:val="0"/>
          <w:sz w:val="16"/>
          <w:lang w:val="es-ES"/>
        </w:rPr>
        <w:noBreakHyphen/>
        <w:t>12)</w:t>
      </w:r>
    </w:p>
    <w:p w:rsidR="001D34FF" w:rsidRPr="005747DA" w:rsidRDefault="003C426F" w:rsidP="007B16F3">
      <w:pPr>
        <w:pStyle w:val="Section1"/>
        <w:rPr>
          <w:lang w:val="es-ES"/>
        </w:rPr>
      </w:pPr>
      <w:r w:rsidRPr="005747DA">
        <w:rPr>
          <w:lang w:val="es-ES"/>
        </w:rPr>
        <w:t xml:space="preserve">Sección II </w:t>
      </w:r>
      <w:r w:rsidRPr="005747DA">
        <w:rPr>
          <w:lang w:val="es-ES"/>
        </w:rPr>
        <w:t>– Examen de las notificaciones e inscripción de las asignaciones</w:t>
      </w:r>
      <w:r w:rsidRPr="005747DA">
        <w:rPr>
          <w:lang w:val="es-ES"/>
        </w:rPr>
        <w:br/>
        <w:t xml:space="preserve">de frecuencia en el </w:t>
      </w:r>
      <w:r w:rsidRPr="005747DA">
        <w:rPr>
          <w:lang w:val="es-ES"/>
        </w:rPr>
        <w:t>Registro</w:t>
      </w:r>
    </w:p>
    <w:p w:rsidR="001C5248" w:rsidRPr="005747DA" w:rsidRDefault="003C426F" w:rsidP="007B16F3">
      <w:pPr>
        <w:pStyle w:val="Proposal"/>
        <w:rPr>
          <w:lang w:val="es-ES"/>
        </w:rPr>
      </w:pPr>
      <w:r w:rsidRPr="005747DA">
        <w:rPr>
          <w:lang w:val="es-ES"/>
        </w:rPr>
        <w:t>ADD</w:t>
      </w:r>
      <w:r w:rsidRPr="005747DA">
        <w:rPr>
          <w:lang w:val="es-ES"/>
        </w:rPr>
        <w:tab/>
        <w:t>UGA/82A21A11/1</w:t>
      </w:r>
    </w:p>
    <w:p w:rsidR="007B16F3" w:rsidRPr="005747DA" w:rsidRDefault="003C426F" w:rsidP="007B16F3">
      <w:pPr>
        <w:pStyle w:val="Note"/>
        <w:rPr>
          <w:lang w:val="es-ES"/>
        </w:rPr>
      </w:pPr>
      <w:r w:rsidRPr="005747DA">
        <w:rPr>
          <w:rStyle w:val="Artdef"/>
          <w:lang w:val="es-ES"/>
        </w:rPr>
        <w:t>11.XX</w:t>
      </w:r>
      <w:r w:rsidRPr="005747DA">
        <w:rPr>
          <w:lang w:val="es-ES"/>
        </w:rPr>
        <w:tab/>
      </w:r>
      <w:r w:rsidR="007B16F3" w:rsidRPr="005747DA">
        <w:rPr>
          <w:lang w:val="es-ES"/>
        </w:rPr>
        <w:t>Cuando un satélite recientemente lanzado tiene una avería antes del periodo de noventa días previsto por la puesta en servicio o la nueva puesta en servicio en el siguiente supuesto:</w:t>
      </w:r>
    </w:p>
    <w:p w:rsidR="007B16F3" w:rsidRPr="005747DA" w:rsidRDefault="007B16F3" w:rsidP="007B16F3">
      <w:pPr>
        <w:pStyle w:val="enumlev1"/>
        <w:rPr>
          <w:lang w:val="es-ES"/>
        </w:rPr>
      </w:pPr>
      <w:r w:rsidRPr="005747DA">
        <w:rPr>
          <w:lang w:val="es-ES"/>
        </w:rPr>
        <w:t>–</w:t>
      </w:r>
      <w:r w:rsidRPr="005747DA">
        <w:rPr>
          <w:lang w:val="es-ES"/>
        </w:rPr>
        <w:tab/>
        <w:t>la destrucción del satélite lanzado para poner en servicio o poner nuevamente en servicio la asignación de frecuencias,</w:t>
      </w:r>
    </w:p>
    <w:p w:rsidR="007B16F3" w:rsidRPr="005747DA" w:rsidRDefault="007B16F3" w:rsidP="007B16F3">
      <w:pPr>
        <w:rPr>
          <w:lang w:val="es-ES"/>
        </w:rPr>
      </w:pPr>
      <w:r w:rsidRPr="005747DA">
        <w:rPr>
          <w:lang w:val="es-ES"/>
        </w:rPr>
        <w:t>la administración notificante, en el plazo de un mes a contar de la fecha del fallo de lanzamiento, podrá someter el caso al examen y la atenta investigación de la Junta teniendo en cuenta todos elementos justificativos, en particular información detallada sobre el satélite que ha tenido la avería, para que la Junta pueda pronunciarse al respecto.</w:t>
      </w:r>
    </w:p>
    <w:p w:rsidR="007B16F3" w:rsidRPr="005747DA" w:rsidRDefault="007B16F3" w:rsidP="007B16F3">
      <w:pPr>
        <w:rPr>
          <w:color w:val="000000"/>
          <w:lang w:val="es-ES"/>
        </w:rPr>
      </w:pPr>
      <w:r w:rsidRPr="005747DA">
        <w:rPr>
          <w:color w:val="000000"/>
          <w:lang w:val="es-ES"/>
        </w:rPr>
        <w:t xml:space="preserve">Para que se conceda esta prórroga, el fallo de lanzamiento debe haber ocurrido al menos cuatro años después de la fecha de recepción de la información completa con arreglo al número </w:t>
      </w:r>
      <w:r w:rsidRPr="005747DA">
        <w:rPr>
          <w:b/>
          <w:bCs/>
          <w:color w:val="000000"/>
          <w:lang w:val="es-ES"/>
        </w:rPr>
        <w:t>9.1</w:t>
      </w:r>
      <w:r w:rsidRPr="005747DA">
        <w:rPr>
          <w:color w:val="000000"/>
          <w:lang w:val="es-ES"/>
        </w:rPr>
        <w:t xml:space="preserve"> o haber ocurrido durante el periodo de suspensión con arreglo al número </w:t>
      </w:r>
      <w:r w:rsidRPr="005747DA">
        <w:rPr>
          <w:b/>
          <w:bCs/>
          <w:color w:val="000000"/>
          <w:lang w:val="es-ES"/>
        </w:rPr>
        <w:t>11.49</w:t>
      </w:r>
      <w:r w:rsidRPr="005747DA">
        <w:rPr>
          <w:color w:val="000000"/>
          <w:lang w:val="es-ES"/>
        </w:rPr>
        <w:t>, según proceda. El periodo de prórroga del plazo reglamentario no deberá exceder en ningún caso la diferencia de tiempo entre el periodo de tres años y el periodo restante, contado a partir de la fecha del lanzamiento fallido hasta el final del plazo reglamentario.</w:t>
      </w:r>
    </w:p>
    <w:p w:rsidR="007B16F3" w:rsidRPr="005747DA" w:rsidRDefault="007B16F3" w:rsidP="007B16F3">
      <w:pPr>
        <w:rPr>
          <w:bCs/>
          <w:sz w:val="16"/>
          <w:szCs w:val="16"/>
          <w:lang w:val="es-ES"/>
        </w:rPr>
      </w:pPr>
      <w:r w:rsidRPr="005747DA">
        <w:rPr>
          <w:lang w:val="es-ES"/>
        </w:rPr>
        <w:t xml:space="preserve">Al considerar este asunto, la Junta podrá determinar, caso por caso, si corresponde aplicar las disposiciones de los números </w:t>
      </w:r>
      <w:r w:rsidRPr="005747DA">
        <w:rPr>
          <w:b/>
          <w:bCs/>
          <w:lang w:val="es-ES"/>
        </w:rPr>
        <w:t>11.44B</w:t>
      </w:r>
      <w:r w:rsidRPr="005747DA">
        <w:rPr>
          <w:lang w:val="es-ES"/>
        </w:rPr>
        <w:t xml:space="preserve"> o </w:t>
      </w:r>
      <w:r w:rsidRPr="005747DA">
        <w:rPr>
          <w:b/>
          <w:bCs/>
          <w:lang w:val="es-ES"/>
        </w:rPr>
        <w:t>11.49</w:t>
      </w:r>
      <w:r w:rsidRPr="005747DA">
        <w:rPr>
          <w:lang w:val="es-ES"/>
        </w:rPr>
        <w:t xml:space="preserve"> a las asignaciones de frecuencias correspondientes en ese caso.</w:t>
      </w:r>
      <w:r w:rsidRPr="005747DA">
        <w:rPr>
          <w:bCs/>
          <w:sz w:val="16"/>
          <w:szCs w:val="16"/>
          <w:lang w:val="es-ES"/>
        </w:rPr>
        <w:t xml:space="preserve">     (CMR</w:t>
      </w:r>
      <w:r w:rsidRPr="005747DA">
        <w:rPr>
          <w:bCs/>
          <w:sz w:val="16"/>
          <w:szCs w:val="16"/>
          <w:lang w:val="es-ES"/>
        </w:rPr>
        <w:noBreakHyphen/>
        <w:t>15)</w:t>
      </w:r>
    </w:p>
    <w:p w:rsidR="007B16F3" w:rsidRPr="005747DA" w:rsidRDefault="007B16F3" w:rsidP="007B16F3">
      <w:pPr>
        <w:pStyle w:val="Note"/>
        <w:rPr>
          <w:lang w:val="es-ES"/>
        </w:rPr>
      </w:pPr>
      <w:r w:rsidRPr="005747DA">
        <w:rPr>
          <w:i/>
          <w:iCs/>
          <w:lang w:val="es-ES"/>
        </w:rPr>
        <w:t>NOTA – La inclusión de otros supuestos de fallo de lanzamiento es un tema que se examinará más detenidamente en la CMR-15.</w:t>
      </w:r>
    </w:p>
    <w:p w:rsidR="001C5248" w:rsidRPr="005747DA" w:rsidRDefault="003C426F" w:rsidP="007B16F3">
      <w:pPr>
        <w:pStyle w:val="Reasons"/>
        <w:rPr>
          <w:lang w:val="es-ES"/>
        </w:rPr>
      </w:pPr>
      <w:r w:rsidRPr="005747DA">
        <w:rPr>
          <w:b/>
          <w:lang w:val="es-ES"/>
        </w:rPr>
        <w:t>Motivos:</w:t>
      </w:r>
      <w:r w:rsidRPr="005747DA">
        <w:rPr>
          <w:lang w:val="es-ES"/>
        </w:rPr>
        <w:tab/>
      </w:r>
      <w:r w:rsidR="007B16F3" w:rsidRPr="005747DA">
        <w:rPr>
          <w:lang w:val="es-ES"/>
        </w:rPr>
        <w:t>Este método ofrece a la RRB la posibilidad de tomar una decisión sobre la ampliación del límite reglamentario caso por caso en el supuesto de fallo de lanzamiento de satélite.</w:t>
      </w:r>
    </w:p>
    <w:p w:rsidR="007B16F3" w:rsidRPr="005747DA" w:rsidRDefault="007B16F3" w:rsidP="0032202E">
      <w:pPr>
        <w:pStyle w:val="Reasons"/>
        <w:rPr>
          <w:lang w:val="es-ES"/>
        </w:rPr>
      </w:pPr>
    </w:p>
    <w:p w:rsidR="007B16F3" w:rsidRPr="005747DA" w:rsidRDefault="007B16F3">
      <w:pPr>
        <w:jc w:val="center"/>
        <w:rPr>
          <w:lang w:val="es-ES"/>
        </w:rPr>
      </w:pPr>
      <w:r w:rsidRPr="005747DA">
        <w:rPr>
          <w:lang w:val="es-ES"/>
        </w:rPr>
        <w:t>______________</w:t>
      </w:r>
    </w:p>
    <w:p w:rsidR="007B16F3" w:rsidRPr="005747DA" w:rsidRDefault="007B16F3" w:rsidP="007B16F3">
      <w:pPr>
        <w:pStyle w:val="Reasons"/>
        <w:rPr>
          <w:lang w:val="es-ES"/>
        </w:rPr>
      </w:pPr>
    </w:p>
    <w:sectPr w:rsidR="007B16F3" w:rsidRPr="005747D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B16F3">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A40BE" w:rsidRDefault="00EA40BE" w:rsidP="00EA40BE">
    <w:pPr>
      <w:pStyle w:val="Footer"/>
      <w:rPr>
        <w:lang w:val="en-US"/>
      </w:rPr>
    </w:pPr>
    <w:r>
      <w:fldChar w:fldCharType="begin"/>
    </w:r>
    <w:r w:rsidRPr="00361216">
      <w:rPr>
        <w:lang w:val="en-US"/>
      </w:rPr>
      <w:instrText xml:space="preserve"> FILENAME \p  \* MERGEFORMAT </w:instrText>
    </w:r>
    <w:r>
      <w:fldChar w:fldCharType="separate"/>
    </w:r>
    <w:r>
      <w:rPr>
        <w:lang w:val="en-US"/>
      </w:rPr>
      <w:t>P:\ESP\ITU-R\CONF-R\CMR15\000\082add21add11S.docx</w:t>
    </w:r>
    <w:r>
      <w:fldChar w:fldCharType="end"/>
    </w:r>
    <w:r>
      <w:t xml:space="preserve"> (388574)</w:t>
    </w:r>
    <w:r w:rsidRPr="00361216">
      <w:rPr>
        <w:lang w:val="en-US"/>
      </w:rPr>
      <w:tab/>
    </w:r>
    <w:r>
      <w:fldChar w:fldCharType="begin"/>
    </w:r>
    <w:r>
      <w:instrText xml:space="preserve"> SAVEDATE \@ DD.MM.YY </w:instrText>
    </w:r>
    <w:r>
      <w:fldChar w:fldCharType="separate"/>
    </w:r>
    <w:r>
      <w:t>25.10.15</w:t>
    </w:r>
    <w:r>
      <w:fldChar w:fldCharType="end"/>
    </w:r>
    <w:r w:rsidRPr="00361216">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361216" w:rsidP="00361216">
    <w:pPr>
      <w:pStyle w:val="Footer"/>
      <w:rPr>
        <w:lang w:val="en-US"/>
      </w:rPr>
    </w:pPr>
    <w:r>
      <w:fldChar w:fldCharType="begin"/>
    </w:r>
    <w:r w:rsidRPr="00361216">
      <w:rPr>
        <w:lang w:val="en-US"/>
      </w:rPr>
      <w:instrText xml:space="preserve"> FILENAME \p  \* MERGEFORMAT </w:instrText>
    </w:r>
    <w:r>
      <w:fldChar w:fldCharType="separate"/>
    </w:r>
    <w:r w:rsidR="00EA40BE">
      <w:rPr>
        <w:lang w:val="en-US"/>
      </w:rPr>
      <w:t>P:\ESP\ITU-R\CONF-R\CMR15\000\082add21add11S.docx</w:t>
    </w:r>
    <w:r>
      <w:fldChar w:fldCharType="end"/>
    </w:r>
    <w:r w:rsidR="00EA40BE">
      <w:t xml:space="preserve"> (388574)</w:t>
    </w:r>
    <w:r w:rsidRPr="00361216">
      <w:rPr>
        <w:lang w:val="en-US"/>
      </w:rPr>
      <w:tab/>
    </w:r>
    <w:r>
      <w:fldChar w:fldCharType="begin"/>
    </w:r>
    <w:r>
      <w:instrText xml:space="preserve"> SAVEDATE \@ DD.MM.YY </w:instrText>
    </w:r>
    <w:r>
      <w:fldChar w:fldCharType="separate"/>
    </w:r>
    <w:r w:rsidR="00EA40BE">
      <w:t>25.10.15</w:t>
    </w:r>
    <w:r>
      <w:fldChar w:fldCharType="end"/>
    </w:r>
    <w:r w:rsidRPr="00361216">
      <w:rPr>
        <w:lang w:val="en-US"/>
      </w:rPr>
      <w:tab/>
    </w:r>
    <w:r>
      <w:fldChar w:fldCharType="begin"/>
    </w:r>
    <w:r>
      <w:instrText xml:space="preserve"> PRINTDATE \@ DD.MM.YY </w:instrText>
    </w:r>
    <w:r>
      <w:fldChar w:fldCharType="separate"/>
    </w:r>
    <w:r w:rsidR="00EA40BE">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426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82(Add.21)(Add.11)-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49DF"/>
    <w:rsid w:val="00087AE8"/>
    <w:rsid w:val="000A5B9A"/>
    <w:rsid w:val="000E5BF9"/>
    <w:rsid w:val="000F0E6D"/>
    <w:rsid w:val="00111C6F"/>
    <w:rsid w:val="00121170"/>
    <w:rsid w:val="00123CC5"/>
    <w:rsid w:val="0015142D"/>
    <w:rsid w:val="001616DC"/>
    <w:rsid w:val="00163962"/>
    <w:rsid w:val="00191A97"/>
    <w:rsid w:val="001A083F"/>
    <w:rsid w:val="001C41FA"/>
    <w:rsid w:val="001C5248"/>
    <w:rsid w:val="001E2B52"/>
    <w:rsid w:val="001E3F27"/>
    <w:rsid w:val="00236D2A"/>
    <w:rsid w:val="00255F12"/>
    <w:rsid w:val="00262C09"/>
    <w:rsid w:val="002A791F"/>
    <w:rsid w:val="002C1B26"/>
    <w:rsid w:val="002C5D6C"/>
    <w:rsid w:val="002E701F"/>
    <w:rsid w:val="003248A9"/>
    <w:rsid w:val="00324FFA"/>
    <w:rsid w:val="0032680B"/>
    <w:rsid w:val="00361216"/>
    <w:rsid w:val="00363A65"/>
    <w:rsid w:val="003B1E8C"/>
    <w:rsid w:val="003C2508"/>
    <w:rsid w:val="003C426F"/>
    <w:rsid w:val="003D0AA3"/>
    <w:rsid w:val="00440B3A"/>
    <w:rsid w:val="0045384C"/>
    <w:rsid w:val="00454553"/>
    <w:rsid w:val="004B124A"/>
    <w:rsid w:val="005133B5"/>
    <w:rsid w:val="00532097"/>
    <w:rsid w:val="005747DA"/>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16F3"/>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40B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A4DE449-E882-45D1-8636-9F02DBA4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rsid w:val="007B16F3"/>
    <w:rPr>
      <w:rFonts w:ascii="Times New Roman" w:hAnsi="Times New Roman"/>
      <w:sz w:val="24"/>
      <w:lang w:val="es-ES_tradnl" w:eastAsia="en-US"/>
    </w:rPr>
  </w:style>
  <w:style w:type="character" w:customStyle="1" w:styleId="NoteChar">
    <w:name w:val="Note Char"/>
    <w:basedOn w:val="DefaultParagraphFont"/>
    <w:link w:val="Note"/>
    <w:locked/>
    <w:rsid w:val="007B16F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R15-WRC15-C-0082!A21-A11!MSW-S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95AB440-CB76-4FF6-844C-8064C7858C5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5C0266B-2BF9-485D-8FA8-AE90EDB7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R15-WRC15-C-0082!A21-A11!MSW-S</dc:title>
  <dc:subject>Conferencia Mundial de Radiocomunicaciones - 2015</dc:subject>
  <dc:creator>Documents Proposals Manager (DPM)</dc:creator>
  <cp:keywords>DPM_v5.2015.10.230_prod</cp:keywords>
  <dc:description/>
  <cp:lastModifiedBy>Spanish</cp:lastModifiedBy>
  <cp:revision>7</cp:revision>
  <cp:lastPrinted>2003-02-19T20:20:00Z</cp:lastPrinted>
  <dcterms:created xsi:type="dcterms:W3CDTF">2015-10-25T13:49:00Z</dcterms:created>
  <dcterms:modified xsi:type="dcterms:W3CDTF">2015-10-25T13:50:00Z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