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9B3A33" w:rsidRDefault="006D4724" w:rsidP="00BA5BD0">
            <w:pPr>
              <w:spacing w:before="0"/>
              <w:rPr>
                <w:rFonts w:ascii="Verdana" w:hAnsi="Verdana"/>
                <w:sz w:val="20"/>
                <w:lang w:val="fr-CH"/>
              </w:rPr>
            </w:pPr>
            <w:r w:rsidRPr="009B3A33">
              <w:rPr>
                <w:rFonts w:ascii="Verdana" w:eastAsia="SimSun" w:hAnsi="Verdana" w:cs="Traditional Arabic"/>
                <w:b/>
                <w:sz w:val="20"/>
                <w:lang w:val="fr-CH"/>
              </w:rPr>
              <w:t>Addendum 11 au</w:t>
            </w:r>
            <w:r w:rsidRPr="009B3A33">
              <w:rPr>
                <w:rFonts w:ascii="Verdana" w:eastAsia="SimSun" w:hAnsi="Verdana" w:cs="Traditional Arabic"/>
                <w:b/>
                <w:sz w:val="20"/>
                <w:lang w:val="fr-CH"/>
              </w:rPr>
              <w:br/>
              <w:t>Document 82(Add.21)</w:t>
            </w:r>
            <w:r w:rsidR="00BB1D82" w:rsidRPr="009B3A33">
              <w:rPr>
                <w:rFonts w:ascii="Verdana" w:hAnsi="Verdana"/>
                <w:b/>
                <w:sz w:val="20"/>
                <w:lang w:val="fr-CH"/>
              </w:rPr>
              <w:t>-</w:t>
            </w:r>
            <w:r w:rsidRPr="009B3A33">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9B3A33"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Ouganda (République de l')</w:t>
            </w:r>
          </w:p>
        </w:tc>
      </w:tr>
      <w:tr w:rsidR="00690C7B" w:rsidRPr="002A6F8F" w:rsidTr="0050008E">
        <w:trPr>
          <w:cantSplit/>
        </w:trPr>
        <w:tc>
          <w:tcPr>
            <w:tcW w:w="10031" w:type="dxa"/>
            <w:gridSpan w:val="2"/>
          </w:tcPr>
          <w:p w:rsidR="00690C7B" w:rsidRPr="008E149A" w:rsidRDefault="00690C7B" w:rsidP="009B3A33">
            <w:pPr>
              <w:pStyle w:val="Title1"/>
              <w:rPr>
                <w:lang w:val="fr-CH"/>
              </w:rPr>
            </w:pPr>
            <w:bookmarkStart w:id="3" w:name="dtitle1" w:colFirst="0" w:colLast="0"/>
            <w:bookmarkEnd w:id="2"/>
            <w:r w:rsidRPr="008E149A">
              <w:rPr>
                <w:lang w:val="fr-CH"/>
              </w:rPr>
              <w:t>Propos</w:t>
            </w:r>
            <w:r w:rsidR="009B3A33" w:rsidRPr="008E149A">
              <w:rPr>
                <w:lang w:val="fr-CH"/>
              </w:rPr>
              <w:t>itions pour les travaux de la confé</w:t>
            </w:r>
            <w:r w:rsidRPr="008E149A">
              <w:rPr>
                <w:lang w:val="fr-CH"/>
              </w:rPr>
              <w:t>rence</w:t>
            </w:r>
          </w:p>
        </w:tc>
      </w:tr>
      <w:tr w:rsidR="00690C7B" w:rsidRPr="002A6F8F" w:rsidTr="0050008E">
        <w:trPr>
          <w:cantSplit/>
        </w:trPr>
        <w:tc>
          <w:tcPr>
            <w:tcW w:w="10031" w:type="dxa"/>
            <w:gridSpan w:val="2"/>
          </w:tcPr>
          <w:p w:rsidR="00690C7B" w:rsidRPr="008E149A"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7(K) de l'ordre du jour</w:t>
            </w:r>
          </w:p>
        </w:tc>
      </w:tr>
    </w:tbl>
    <w:bookmarkEnd w:id="5"/>
    <w:p w:rsidR="001C0E40" w:rsidRPr="003B6549" w:rsidRDefault="00D91697" w:rsidP="006A0A51">
      <w:pPr>
        <w:rPr>
          <w:lang w:val="fr-CA"/>
        </w:rPr>
      </w:pPr>
      <w:r w:rsidRPr="0003194D">
        <w:rPr>
          <w:lang w:val="fr-CA"/>
        </w:rPr>
        <w:t>7</w:t>
      </w:r>
      <w:r w:rsidRPr="0003194D">
        <w:rPr>
          <w:lang w:val="fr-CA"/>
        </w:rPr>
        <w:tab/>
      </w:r>
      <w:r w:rsidRPr="003B6549">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3B6549">
        <w:rPr>
          <w:b/>
          <w:bCs/>
          <w:lang w:val="fr-CA"/>
        </w:rPr>
        <w:t>86 (Rév.CMR-07)</w:t>
      </w:r>
      <w:r w:rsidRPr="003B6549">
        <w:rPr>
          <w:lang w:val="fr-CA"/>
        </w:rPr>
        <w:t>, afin de faciliter l'utilisation rationnelle, efficace et économique des fréquences radioélectriques et des orbites associées, y compris de l'orbite des satellites géostationnaires;</w:t>
      </w:r>
    </w:p>
    <w:p w:rsidR="00144947" w:rsidRPr="000C3CB0" w:rsidRDefault="00D91697" w:rsidP="000C3CB0">
      <w:pPr>
        <w:rPr>
          <w:lang w:val="fr-CH"/>
        </w:rPr>
      </w:pPr>
      <w:r w:rsidRPr="003B6549">
        <w:rPr>
          <w:lang w:val="fr-CH"/>
        </w:rPr>
        <w:t xml:space="preserve">7(K) </w:t>
      </w:r>
      <w:r w:rsidRPr="003B6549">
        <w:rPr>
          <w:lang w:val="fr-CH"/>
        </w:rPr>
        <w:tab/>
        <w:t>Question K – Adjonction d'une disposition réglementaire dans l'Article </w:t>
      </w:r>
      <w:r w:rsidRPr="003B6549">
        <w:rPr>
          <w:b/>
          <w:bCs/>
          <w:lang w:val="fr-CH"/>
        </w:rPr>
        <w:t>11</w:t>
      </w:r>
      <w:r w:rsidRPr="003B6549">
        <w:rPr>
          <w:lang w:val="fr-CH"/>
        </w:rPr>
        <w:t xml:space="preserve"> du RR concernant les cas d'échec de lancement.</w:t>
      </w:r>
    </w:p>
    <w:p w:rsidR="008E149A" w:rsidRPr="002127B5" w:rsidRDefault="008E149A" w:rsidP="007C5D15">
      <w:pPr>
        <w:pStyle w:val="Headingb"/>
        <w:rPr>
          <w:caps/>
          <w:sz w:val="28"/>
          <w:lang w:val="fr-CH"/>
        </w:rPr>
      </w:pPr>
      <w:r w:rsidRPr="002127B5">
        <w:rPr>
          <w:lang w:val="fr-CH"/>
        </w:rPr>
        <w:t>Position</w:t>
      </w:r>
      <w:r w:rsidR="002127B5" w:rsidRPr="002127B5">
        <w:rPr>
          <w:lang w:val="fr-CH"/>
        </w:rPr>
        <w:t xml:space="preserve"> de l’Ouganda</w:t>
      </w:r>
    </w:p>
    <w:p w:rsidR="008E149A" w:rsidRPr="002127B5" w:rsidRDefault="002127B5" w:rsidP="003B6549">
      <w:pPr>
        <w:rPr>
          <w:lang w:val="fr-CH"/>
        </w:rPr>
      </w:pPr>
      <w:r w:rsidRPr="002127B5">
        <w:rPr>
          <w:lang w:val="fr-CH"/>
        </w:rPr>
        <w:t>L’</w:t>
      </w:r>
      <w:r>
        <w:rPr>
          <w:lang w:val="fr-CH"/>
        </w:rPr>
        <w:t>Ouganda appuie la méthode K2</w:t>
      </w:r>
      <w:r w:rsidR="008E149A" w:rsidRPr="002127B5">
        <w:rPr>
          <w:lang w:val="fr-CH"/>
        </w:rPr>
        <w:t>.</w:t>
      </w:r>
    </w:p>
    <w:p w:rsidR="008E149A" w:rsidRDefault="002127B5" w:rsidP="003B6549">
      <w:pPr>
        <w:rPr>
          <w:sz w:val="22"/>
          <w:lang w:val="fr-CH" w:eastAsia="zh-CN"/>
        </w:rPr>
      </w:pPr>
      <w:r w:rsidRPr="003B6549">
        <w:rPr>
          <w:lang w:val="fr-CH"/>
        </w:rPr>
        <w:t>Cette</w:t>
      </w:r>
      <w:r w:rsidR="008E149A" w:rsidRPr="003B6549">
        <w:rPr>
          <w:lang w:val="fr-CH"/>
        </w:rPr>
        <w:t xml:space="preserve"> méthode consiste à ajouter une disposition réglementaire numéro 11.XX</w:t>
      </w:r>
      <w:r w:rsidR="008E149A" w:rsidRPr="003B6549">
        <w:rPr>
          <w:b/>
          <w:bCs/>
          <w:lang w:val="fr-CH"/>
        </w:rPr>
        <w:t xml:space="preserve"> </w:t>
      </w:r>
      <w:r w:rsidR="008E149A" w:rsidRPr="003B6549">
        <w:rPr>
          <w:lang w:val="fr-CH"/>
        </w:rPr>
        <w:t>dans le RR, applicable au cas par cas, concernant tout échec de lancement ayant pour conséquence d'empêcher la mise en service ou la remise en service de l'assignation de fréquence notifiée pour ce satellite.</w:t>
      </w:r>
    </w:p>
    <w:p w:rsidR="008E149A" w:rsidRDefault="008E149A" w:rsidP="007C5D15">
      <w:pPr>
        <w:pStyle w:val="Headingb"/>
      </w:pPr>
      <w:r w:rsidRPr="007C5D15">
        <w:t>Proposition</w:t>
      </w:r>
    </w:p>
    <w:p w:rsidR="008E149A" w:rsidRPr="006B677F" w:rsidRDefault="008E149A" w:rsidP="007C5D15">
      <w:r w:rsidRPr="006B677F">
        <w:br w:type="page"/>
      </w:r>
    </w:p>
    <w:p w:rsidR="004A6A8C" w:rsidRPr="003B6549" w:rsidRDefault="00D91697" w:rsidP="003B6549">
      <w:pPr>
        <w:pStyle w:val="ArtNo"/>
      </w:pPr>
      <w:r w:rsidRPr="003B6549">
        <w:lastRenderedPageBreak/>
        <w:t xml:space="preserve">ARTICLE </w:t>
      </w:r>
      <w:r w:rsidRPr="003B6549">
        <w:rPr>
          <w:rStyle w:val="href"/>
        </w:rPr>
        <w:t>11</w:t>
      </w:r>
    </w:p>
    <w:p w:rsidR="004A6A8C" w:rsidRPr="003B6549" w:rsidRDefault="00D91697" w:rsidP="003B6549">
      <w:pPr>
        <w:pStyle w:val="Arttitle"/>
      </w:pPr>
      <w:r w:rsidRPr="003B6549">
        <w:t>Notification et inscription des assignations</w:t>
      </w:r>
      <w:r w:rsidRPr="003B6549">
        <w:br/>
        <w:t>de fréquence</w:t>
      </w:r>
      <w:r w:rsidRPr="003B6549">
        <w:rPr>
          <w:rStyle w:val="FootnoteReference"/>
        </w:rPr>
        <w:t>1, 2, 3, 4, 5, 6, 7, 7</w:t>
      </w:r>
      <w:r w:rsidRPr="003B6549">
        <w:rPr>
          <w:rStyle w:val="FootnoteReference"/>
          <w:i/>
          <w:iCs/>
        </w:rPr>
        <w:t>bis</w:t>
      </w:r>
      <w:r w:rsidRPr="003B6549">
        <w:rPr>
          <w:rStyle w:val="FootnoteReference"/>
        </w:rPr>
        <w:t> </w:t>
      </w:r>
      <w:r w:rsidRPr="003B6549">
        <w:rPr>
          <w:sz w:val="16"/>
          <w:szCs w:val="16"/>
        </w:rPr>
        <w:t>  </w:t>
      </w:r>
      <w:r w:rsidRPr="003B6549">
        <w:rPr>
          <w:b w:val="0"/>
          <w:bCs/>
          <w:sz w:val="16"/>
          <w:szCs w:val="16"/>
        </w:rPr>
        <w:t>(CMR-12)</w:t>
      </w:r>
    </w:p>
    <w:p w:rsidR="004A6A8C" w:rsidRPr="003B6549" w:rsidRDefault="00D91697" w:rsidP="003B6549">
      <w:pPr>
        <w:pStyle w:val="Section1"/>
      </w:pPr>
      <w:r w:rsidRPr="003B6549">
        <w:t>Section II – Examen des fiches de notification et inscription des</w:t>
      </w:r>
      <w:r w:rsidRPr="003B6549">
        <w:br/>
        <w:t>assignations de fréquence dans le Fichier de référence</w:t>
      </w:r>
    </w:p>
    <w:p w:rsidR="0061795E" w:rsidRPr="003B6549" w:rsidRDefault="00D91697" w:rsidP="003B6549">
      <w:pPr>
        <w:pStyle w:val="Proposal"/>
        <w:rPr>
          <w:lang w:val="fr-CH"/>
        </w:rPr>
      </w:pPr>
      <w:r w:rsidRPr="003B6549">
        <w:rPr>
          <w:lang w:val="fr-CH"/>
        </w:rPr>
        <w:t>ADD</w:t>
      </w:r>
      <w:r w:rsidRPr="003B6549">
        <w:rPr>
          <w:lang w:val="fr-CH"/>
        </w:rPr>
        <w:tab/>
        <w:t>UGA/82A21A11/1</w:t>
      </w:r>
    </w:p>
    <w:p w:rsidR="00D91697" w:rsidRPr="003B6549" w:rsidRDefault="00D91697" w:rsidP="003B6549">
      <w:pPr>
        <w:pStyle w:val="Note"/>
        <w:rPr>
          <w:noProof/>
          <w:sz w:val="22"/>
          <w:lang w:val="fr-CH" w:eastAsia="zh-CN"/>
        </w:rPr>
      </w:pPr>
      <w:r w:rsidRPr="003B6549">
        <w:rPr>
          <w:rStyle w:val="Artdef"/>
          <w:rFonts w:cstheme="minorBidi"/>
          <w:lang w:val="fr-CH"/>
        </w:rPr>
        <w:t>11.XX</w:t>
      </w:r>
      <w:r w:rsidRPr="003B6549">
        <w:rPr>
          <w:lang w:val="id-ID"/>
        </w:rPr>
        <w:tab/>
      </w:r>
      <w:r w:rsidRPr="003B6549">
        <w:rPr>
          <w:lang w:val="fr-CH"/>
        </w:rPr>
        <w:t>Lorsqu'un satellite qui vient d'être lancé connaît une défaillance</w:t>
      </w:r>
      <w:r w:rsidRPr="003B6549">
        <w:rPr>
          <w:noProof/>
          <w:lang w:val="id-ID"/>
        </w:rPr>
        <w:t xml:space="preserve"> </w:t>
      </w:r>
      <w:r w:rsidRPr="003B6549">
        <w:rPr>
          <w:noProof/>
          <w:lang w:val="fr-CH"/>
        </w:rPr>
        <w:t>avant le début de la période de quatre-vingt-dix jours prévue pour la mise en service ou la remise en service, dans les cas suivants:</w:t>
      </w:r>
      <w:bookmarkStart w:id="6" w:name="_GoBack"/>
      <w:bookmarkEnd w:id="6"/>
    </w:p>
    <w:p w:rsidR="00D91697" w:rsidRPr="003B6549" w:rsidRDefault="00D91697" w:rsidP="003B6549">
      <w:pPr>
        <w:pStyle w:val="enumlev1"/>
        <w:rPr>
          <w:noProof/>
          <w:lang w:val="fr-CH"/>
        </w:rPr>
      </w:pPr>
      <w:r w:rsidRPr="003B6549">
        <w:rPr>
          <w:noProof/>
          <w:lang w:val="fr-CH"/>
        </w:rPr>
        <w:t>–</w:t>
      </w:r>
      <w:r w:rsidRPr="003B6549">
        <w:rPr>
          <w:noProof/>
          <w:lang w:val="fr-CH"/>
        </w:rPr>
        <w:tab/>
        <w:t>la destruction du satellite destiné à mettre en service ou à remettre en service de l'assignation.</w:t>
      </w:r>
    </w:p>
    <w:p w:rsidR="00D91697" w:rsidRPr="003B6549" w:rsidRDefault="00D91697">
      <w:pPr>
        <w:rPr>
          <w:lang w:val="fr-CH"/>
        </w:rPr>
        <w:pPrChange w:id="7" w:author="Bachler, Mathilde" w:date="2015-03-19T10:25:00Z">
          <w:pPr>
            <w:spacing w:line="480" w:lineRule="auto"/>
          </w:pPr>
        </w:pPrChange>
      </w:pPr>
      <w:r w:rsidRPr="003B6549">
        <w:rPr>
          <w:lang w:val="fr-CH"/>
        </w:rPr>
        <w:t>L'administration notificatrice peut, dans le mois suivant l'échec de lancement, soumettre le cas au Comité, pour que celui-ci l'examine et l'étudie de manière approfondie, en tenant compte de toutes les pièces justificatives, y compris des données détaillées concernant le satellite ayant subi la défaillance, afin de permettre au Comité de se prononcer sur la question selon qu'il conviendra.</w:t>
      </w:r>
    </w:p>
    <w:p w:rsidR="00D91697" w:rsidRPr="003B6549" w:rsidRDefault="00D91697" w:rsidP="003B6549">
      <w:pPr>
        <w:rPr>
          <w:lang w:val="fr-CH"/>
        </w:rPr>
      </w:pPr>
      <w:r w:rsidRPr="003B6549">
        <w:rPr>
          <w:noProof/>
          <w:lang w:val="fr-CH"/>
        </w:rPr>
        <w:t xml:space="preserve">Pour que le </w:t>
      </w:r>
      <w:r w:rsidR="003B6549">
        <w:rPr>
          <w:noProof/>
          <w:lang w:val="fr-CH"/>
        </w:rPr>
        <w:t>Comité</w:t>
      </w:r>
      <w:r w:rsidRPr="003B6549">
        <w:rPr>
          <w:noProof/>
          <w:lang w:val="fr-CH"/>
        </w:rPr>
        <w:t xml:space="preserve"> accorde une prolongation, l'échec de lancement doit s'être produit au moins quatre ans après la date de réception des renseignements complets au titre du numéro </w:t>
      </w:r>
      <w:r w:rsidRPr="003B6549">
        <w:rPr>
          <w:b/>
          <w:bCs/>
          <w:noProof/>
          <w:lang w:val="fr-CH"/>
        </w:rPr>
        <w:t>9.1</w:t>
      </w:r>
      <w:r w:rsidRPr="003B6549">
        <w:rPr>
          <w:noProof/>
          <w:lang w:val="fr-CH"/>
        </w:rPr>
        <w:t xml:space="preserve"> ou au cours de la période de suspension visée au numéro </w:t>
      </w:r>
      <w:r w:rsidRPr="003B6549">
        <w:rPr>
          <w:b/>
          <w:bCs/>
          <w:noProof/>
          <w:lang w:val="fr-CH"/>
        </w:rPr>
        <w:t>11.49</w:t>
      </w:r>
      <w:r w:rsidRPr="003B6549">
        <w:rPr>
          <w:noProof/>
          <w:lang w:val="fr-CH"/>
        </w:rPr>
        <w:t>, selon le cas. En aucun cas, la période de prolongation du délai réglementaire ne doit être supérieure à trois ans ou à la différence entre la période de trois ans et la période restante entre la date de l'échec du lancement et la fin du délai réglementaire.</w:t>
      </w:r>
    </w:p>
    <w:p w:rsidR="00D91697" w:rsidRPr="003B6549" w:rsidRDefault="00D91697" w:rsidP="003B6549">
      <w:pPr>
        <w:rPr>
          <w:lang w:val="fr-CH"/>
        </w:rPr>
      </w:pPr>
      <w:r w:rsidRPr="003B6549">
        <w:rPr>
          <w:lang w:val="fr-CH"/>
        </w:rPr>
        <w:t xml:space="preserve">Lorsqu'il examine cette question, le Comité peut déterminer au cas par cas s'il convient d'appliquer les dispositions des numéros </w:t>
      </w:r>
      <w:r w:rsidRPr="003B6549">
        <w:rPr>
          <w:b/>
          <w:bCs/>
          <w:lang w:val="fr-CH"/>
        </w:rPr>
        <w:t>11.44B</w:t>
      </w:r>
      <w:r w:rsidRPr="003B6549">
        <w:rPr>
          <w:lang w:val="fr-CH"/>
        </w:rPr>
        <w:t xml:space="preserve"> et </w:t>
      </w:r>
      <w:r w:rsidRPr="003B6549">
        <w:rPr>
          <w:b/>
          <w:bCs/>
          <w:lang w:val="fr-CH"/>
        </w:rPr>
        <w:t>11.49</w:t>
      </w:r>
      <w:r w:rsidRPr="003B6549">
        <w:rPr>
          <w:lang w:val="fr-CH"/>
        </w:rPr>
        <w:t xml:space="preserve"> aux assignations de fréquence concernées en l'espèce.</w:t>
      </w:r>
      <w:r w:rsidRPr="003B6549">
        <w:rPr>
          <w:noProof/>
          <w:lang w:val="fr-CH"/>
        </w:rPr>
        <w:t>     </w:t>
      </w:r>
      <w:r w:rsidRPr="003B6549">
        <w:rPr>
          <w:noProof/>
          <w:sz w:val="16"/>
          <w:szCs w:val="16"/>
          <w:lang w:val="fr-CH"/>
        </w:rPr>
        <w:t>(CMR-15)</w:t>
      </w:r>
    </w:p>
    <w:p w:rsidR="00D91697" w:rsidRDefault="00D91697">
      <w:pPr>
        <w:pStyle w:val="Note"/>
        <w:rPr>
          <w:i/>
          <w:iCs/>
          <w:lang w:val="fr-CH"/>
        </w:rPr>
        <w:pPrChange w:id="8" w:author="Author's" w:date="2015-03-30T19:10:00Z">
          <w:pPr>
            <w:pStyle w:val="Reasons"/>
          </w:pPr>
        </w:pPrChange>
      </w:pPr>
      <w:r w:rsidRPr="003B6549">
        <w:rPr>
          <w:i/>
          <w:iCs/>
          <w:noProof/>
        </w:rPr>
        <w:t>NOTE</w:t>
      </w:r>
      <w:r w:rsidRPr="003B6549">
        <w:rPr>
          <w:noProof/>
        </w:rPr>
        <w:t> − </w:t>
      </w:r>
      <w:r w:rsidRPr="003B6549">
        <w:rPr>
          <w:i/>
          <w:iCs/>
          <w:noProof/>
          <w:lang w:val="fr-CH"/>
        </w:rPr>
        <w:t>L'inclusion d'autres cas d'échec de lancement sera examinée plus avant à la CMR</w:t>
      </w:r>
      <w:r w:rsidRPr="003B6549">
        <w:rPr>
          <w:i/>
          <w:iCs/>
          <w:noProof/>
          <w:lang w:val="fr-CH"/>
        </w:rPr>
        <w:noBreakHyphen/>
        <w:t>15</w:t>
      </w:r>
      <w:r w:rsidRPr="003B6549">
        <w:rPr>
          <w:i/>
          <w:iCs/>
          <w:lang w:val="fr-CH"/>
        </w:rPr>
        <w:t>.</w:t>
      </w:r>
    </w:p>
    <w:p w:rsidR="00D91697" w:rsidRPr="003B6549" w:rsidRDefault="00D91697" w:rsidP="003B6549">
      <w:pPr>
        <w:pStyle w:val="Reasons"/>
        <w:rPr>
          <w:lang w:val="fr-CH"/>
        </w:rPr>
      </w:pPr>
      <w:r w:rsidRPr="002127B5">
        <w:rPr>
          <w:b/>
          <w:lang w:val="fr-CH"/>
        </w:rPr>
        <w:t>Motifs:</w:t>
      </w:r>
      <w:r w:rsidRPr="002127B5">
        <w:rPr>
          <w:lang w:val="fr-CH"/>
        </w:rPr>
        <w:tab/>
      </w:r>
      <w:r w:rsidR="002127B5" w:rsidRPr="002127B5">
        <w:rPr>
          <w:lang w:val="fr-CH"/>
        </w:rPr>
        <w:t xml:space="preserve">Cette méthode donne au RRB la possibilité de prendre une décision au cas par cas concernant la prolongation du délai règlementaire </w:t>
      </w:r>
      <w:r w:rsidR="002127B5">
        <w:rPr>
          <w:lang w:val="fr-CH"/>
        </w:rPr>
        <w:t xml:space="preserve">en cas d’échec de lancement d’un satellite. </w:t>
      </w:r>
    </w:p>
    <w:p w:rsidR="00D91697" w:rsidRPr="003B6549" w:rsidRDefault="00D91697" w:rsidP="003B6549">
      <w:pPr>
        <w:pStyle w:val="Reasons"/>
        <w:rPr>
          <w:lang w:val="fr-CH"/>
        </w:rPr>
      </w:pPr>
    </w:p>
    <w:p w:rsidR="00D91697" w:rsidRDefault="00D91697" w:rsidP="003B6549">
      <w:pPr>
        <w:jc w:val="center"/>
      </w:pPr>
      <w:r>
        <w:t>______________</w:t>
      </w:r>
    </w:p>
    <w:p w:rsidR="00D91697" w:rsidRDefault="00D91697" w:rsidP="003B6549">
      <w:pPr>
        <w:pStyle w:val="Reasons"/>
      </w:pPr>
    </w:p>
    <w:p w:rsidR="0061795E" w:rsidRDefault="0061795E" w:rsidP="003B6549">
      <w:pPr>
        <w:pStyle w:val="Reasons"/>
      </w:pPr>
    </w:p>
    <w:sectPr w:rsidR="0061795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944" w:rsidRDefault="005D2944">
      <w:r>
        <w:separator/>
      </w:r>
    </w:p>
  </w:endnote>
  <w:endnote w:type="continuationSeparator" w:id="0">
    <w:p w:rsidR="005D2944" w:rsidRDefault="005D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B6549">
      <w:rPr>
        <w:noProof/>
        <w:lang w:val="en-US"/>
      </w:rPr>
      <w:t>P:\FRA\ITU-R\CONF-R\CMR15\000\082ADD21ADD11F.docx</w:t>
    </w:r>
    <w:r>
      <w:fldChar w:fldCharType="end"/>
    </w:r>
    <w:r>
      <w:rPr>
        <w:lang w:val="en-US"/>
      </w:rPr>
      <w:tab/>
    </w:r>
    <w:r>
      <w:fldChar w:fldCharType="begin"/>
    </w:r>
    <w:r>
      <w:instrText xml:space="preserve"> SAVEDATE \@ DD.MM.YY </w:instrText>
    </w:r>
    <w:r>
      <w:fldChar w:fldCharType="separate"/>
    </w:r>
    <w:r w:rsidR="007C5D15">
      <w:rPr>
        <w:noProof/>
      </w:rPr>
      <w:t>22.10.15</w:t>
    </w:r>
    <w:r>
      <w:fldChar w:fldCharType="end"/>
    </w:r>
    <w:r>
      <w:rPr>
        <w:lang w:val="en-US"/>
      </w:rPr>
      <w:tab/>
    </w:r>
    <w:r>
      <w:fldChar w:fldCharType="begin"/>
    </w:r>
    <w:r>
      <w:instrText xml:space="preserve"> PRINTDATE \@ DD.MM.YY </w:instrText>
    </w:r>
    <w:r>
      <w:fldChar w:fldCharType="separate"/>
    </w:r>
    <w:r w:rsidR="003B6549">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8E149A">
    <w:pPr>
      <w:pStyle w:val="Footer"/>
      <w:rPr>
        <w:lang w:val="en-US"/>
      </w:rPr>
    </w:pPr>
    <w:r w:rsidRPr="008E149A">
      <w:rPr>
        <w:sz w:val="15"/>
        <w:szCs w:val="15"/>
      </w:rPr>
      <w:fldChar w:fldCharType="begin"/>
    </w:r>
    <w:r w:rsidRPr="008E149A">
      <w:rPr>
        <w:sz w:val="15"/>
        <w:szCs w:val="15"/>
        <w:lang w:val="en-US"/>
      </w:rPr>
      <w:instrText xml:space="preserve"> FILENAME \p  \* MERGEFORMAT </w:instrText>
    </w:r>
    <w:r w:rsidRPr="008E149A">
      <w:rPr>
        <w:sz w:val="15"/>
        <w:szCs w:val="15"/>
      </w:rPr>
      <w:fldChar w:fldCharType="separate"/>
    </w:r>
    <w:r w:rsidR="003B6549">
      <w:rPr>
        <w:sz w:val="15"/>
        <w:szCs w:val="15"/>
        <w:lang w:val="en-US"/>
      </w:rPr>
      <w:t>P:\FRA\ITU-R\CONF-R\CMR15\000\082ADD21ADD11F.docx</w:t>
    </w:r>
    <w:r w:rsidRPr="008E149A">
      <w:rPr>
        <w:sz w:val="15"/>
        <w:szCs w:val="15"/>
      </w:rPr>
      <w:fldChar w:fldCharType="end"/>
    </w:r>
    <w:r w:rsidR="008E149A" w:rsidRPr="008E149A">
      <w:rPr>
        <w:sz w:val="15"/>
        <w:szCs w:val="15"/>
      </w:rPr>
      <w:t xml:space="preserve"> (388574)</w:t>
    </w:r>
    <w:r>
      <w:rPr>
        <w:lang w:val="en-US"/>
      </w:rPr>
      <w:tab/>
    </w:r>
    <w:r>
      <w:fldChar w:fldCharType="begin"/>
    </w:r>
    <w:r>
      <w:instrText xml:space="preserve"> SAVEDATE \@ DD.MM.YY </w:instrText>
    </w:r>
    <w:r>
      <w:fldChar w:fldCharType="separate"/>
    </w:r>
    <w:r w:rsidR="007C5D15">
      <w:t>22.10.15</w:t>
    </w:r>
    <w:r>
      <w:fldChar w:fldCharType="end"/>
    </w:r>
    <w:r>
      <w:rPr>
        <w:lang w:val="en-US"/>
      </w:rPr>
      <w:tab/>
    </w:r>
    <w:r w:rsidR="008E149A">
      <w:t>21.10.15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8E149A">
    <w:pPr>
      <w:pStyle w:val="Footer"/>
      <w:rPr>
        <w:lang w:val="en-US"/>
      </w:rPr>
    </w:pPr>
    <w:r w:rsidRPr="008E149A">
      <w:rPr>
        <w:sz w:val="15"/>
        <w:szCs w:val="15"/>
      </w:rPr>
      <w:fldChar w:fldCharType="begin"/>
    </w:r>
    <w:r w:rsidRPr="008E149A">
      <w:rPr>
        <w:sz w:val="15"/>
        <w:szCs w:val="15"/>
        <w:lang w:val="en-US"/>
      </w:rPr>
      <w:instrText xml:space="preserve"> FILENAME \p  \* MERGEFORMAT </w:instrText>
    </w:r>
    <w:r w:rsidRPr="008E149A">
      <w:rPr>
        <w:sz w:val="15"/>
        <w:szCs w:val="15"/>
      </w:rPr>
      <w:fldChar w:fldCharType="separate"/>
    </w:r>
    <w:r w:rsidR="003B6549">
      <w:rPr>
        <w:sz w:val="15"/>
        <w:szCs w:val="15"/>
        <w:lang w:val="en-US"/>
      </w:rPr>
      <w:t>P:\FRA\ITU-R\CONF-R\CMR15\000\082ADD21ADD11F.docx</w:t>
    </w:r>
    <w:r w:rsidRPr="008E149A">
      <w:rPr>
        <w:sz w:val="15"/>
        <w:szCs w:val="15"/>
      </w:rPr>
      <w:fldChar w:fldCharType="end"/>
    </w:r>
    <w:r w:rsidR="008E149A" w:rsidRPr="008E149A">
      <w:rPr>
        <w:sz w:val="15"/>
        <w:szCs w:val="15"/>
      </w:rPr>
      <w:t xml:space="preserve"> (388574)</w:t>
    </w:r>
    <w:r>
      <w:rPr>
        <w:lang w:val="en-US"/>
      </w:rPr>
      <w:tab/>
    </w:r>
    <w:r>
      <w:fldChar w:fldCharType="begin"/>
    </w:r>
    <w:r>
      <w:instrText xml:space="preserve"> SAVEDATE \@ DD.MM.YY </w:instrText>
    </w:r>
    <w:r>
      <w:fldChar w:fldCharType="separate"/>
    </w:r>
    <w:r w:rsidR="007C5D15">
      <w:t>22.10.15</w:t>
    </w:r>
    <w:r>
      <w:fldChar w:fldCharType="end"/>
    </w:r>
    <w:r>
      <w:rPr>
        <w:lang w:val="en-US"/>
      </w:rPr>
      <w:tab/>
    </w:r>
    <w:r w:rsidR="008E149A">
      <w:t>21.10.15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944" w:rsidRDefault="005D2944">
      <w:r>
        <w:rPr>
          <w:b/>
        </w:rPr>
        <w:t>_______________</w:t>
      </w:r>
    </w:p>
  </w:footnote>
  <w:footnote w:type="continuationSeparator" w:id="0">
    <w:p w:rsidR="005D2944" w:rsidRDefault="005D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C5D15">
      <w:rPr>
        <w:noProof/>
      </w:rPr>
      <w:t>2</w:t>
    </w:r>
    <w:r>
      <w:fldChar w:fldCharType="end"/>
    </w:r>
  </w:p>
  <w:p w:rsidR="004F1F8E" w:rsidRDefault="004F1F8E" w:rsidP="002C28A4">
    <w:pPr>
      <w:pStyle w:val="Header"/>
    </w:pPr>
    <w:r>
      <w:t>CMR1</w:t>
    </w:r>
    <w:r w:rsidR="002C28A4">
      <w:t>5</w:t>
    </w:r>
    <w:r>
      <w:t>/</w:t>
    </w:r>
    <w:r w:rsidR="006A4B45">
      <w:t>82(Add.21)(Add.11)-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127B5"/>
    <w:rsid w:val="00232FD2"/>
    <w:rsid w:val="0026554E"/>
    <w:rsid w:val="002A4622"/>
    <w:rsid w:val="002A6F8F"/>
    <w:rsid w:val="002B17E5"/>
    <w:rsid w:val="002C0EBF"/>
    <w:rsid w:val="002C28A4"/>
    <w:rsid w:val="00315AFE"/>
    <w:rsid w:val="003606A6"/>
    <w:rsid w:val="0036650C"/>
    <w:rsid w:val="00393ACD"/>
    <w:rsid w:val="003A583E"/>
    <w:rsid w:val="003B6549"/>
    <w:rsid w:val="003E112B"/>
    <w:rsid w:val="003E1D1C"/>
    <w:rsid w:val="003E7B05"/>
    <w:rsid w:val="00466211"/>
    <w:rsid w:val="004834A9"/>
    <w:rsid w:val="004D01FC"/>
    <w:rsid w:val="004E28C3"/>
    <w:rsid w:val="004F1F8E"/>
    <w:rsid w:val="00512A32"/>
    <w:rsid w:val="00586CF2"/>
    <w:rsid w:val="005C3768"/>
    <w:rsid w:val="005C6C3F"/>
    <w:rsid w:val="005D2944"/>
    <w:rsid w:val="00613635"/>
    <w:rsid w:val="0061795E"/>
    <w:rsid w:val="0062093D"/>
    <w:rsid w:val="00630211"/>
    <w:rsid w:val="00637ECF"/>
    <w:rsid w:val="00647B59"/>
    <w:rsid w:val="00690C7B"/>
    <w:rsid w:val="006A4B45"/>
    <w:rsid w:val="006D4724"/>
    <w:rsid w:val="00701BAE"/>
    <w:rsid w:val="00721F04"/>
    <w:rsid w:val="00730E95"/>
    <w:rsid w:val="007426B9"/>
    <w:rsid w:val="00764342"/>
    <w:rsid w:val="00774362"/>
    <w:rsid w:val="00786598"/>
    <w:rsid w:val="007A04E8"/>
    <w:rsid w:val="007C5D15"/>
    <w:rsid w:val="00851625"/>
    <w:rsid w:val="00863C0A"/>
    <w:rsid w:val="008A3120"/>
    <w:rsid w:val="008D41BE"/>
    <w:rsid w:val="008D58D3"/>
    <w:rsid w:val="008E149A"/>
    <w:rsid w:val="00923064"/>
    <w:rsid w:val="00930FFD"/>
    <w:rsid w:val="00936D25"/>
    <w:rsid w:val="00941EA5"/>
    <w:rsid w:val="00964700"/>
    <w:rsid w:val="00966C16"/>
    <w:rsid w:val="0098732F"/>
    <w:rsid w:val="009A045F"/>
    <w:rsid w:val="009B3A33"/>
    <w:rsid w:val="009C7E7C"/>
    <w:rsid w:val="00A00473"/>
    <w:rsid w:val="00A03C9B"/>
    <w:rsid w:val="00A37105"/>
    <w:rsid w:val="00A606C3"/>
    <w:rsid w:val="00A83B09"/>
    <w:rsid w:val="00A84541"/>
    <w:rsid w:val="00A94A42"/>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91697"/>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524FB4-EDFA-4673-94AB-B7773AB7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D91697"/>
    <w:rPr>
      <w:rFonts w:ascii="Times New Roman" w:hAnsi="Times New Roman"/>
      <w:sz w:val="24"/>
      <w:lang w:val="fr-FR" w:eastAsia="en-US"/>
    </w:rPr>
  </w:style>
  <w:style w:type="character" w:customStyle="1" w:styleId="NoteChar">
    <w:name w:val="Note Char"/>
    <w:basedOn w:val="DefaultParagraphFont"/>
    <w:link w:val="Note"/>
    <w:locked/>
    <w:rsid w:val="00D91697"/>
    <w:rPr>
      <w:rFonts w:ascii="Times New Roman" w:hAnsi="Times New Roman"/>
      <w:sz w:val="24"/>
      <w:lang w:val="fr-FR" w:eastAsia="en-US"/>
    </w:rPr>
  </w:style>
  <w:style w:type="character" w:customStyle="1" w:styleId="ReasonsChar">
    <w:name w:val="Reasons Char"/>
    <w:basedOn w:val="DefaultParagraphFont"/>
    <w:link w:val="Reasons"/>
    <w:locked/>
    <w:rsid w:val="00D91697"/>
    <w:rPr>
      <w:rFonts w:ascii="Times New Roman" w:hAnsi="Times New Roman"/>
      <w:sz w:val="24"/>
      <w:lang w:val="fr-FR" w:eastAsia="en-US"/>
    </w:rPr>
  </w:style>
  <w:style w:type="paragraph" w:styleId="BalloonText">
    <w:name w:val="Balloon Text"/>
    <w:basedOn w:val="Normal"/>
    <w:link w:val="BalloonTextChar"/>
    <w:semiHidden/>
    <w:unhideWhenUsed/>
    <w:rsid w:val="002127B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127B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53142">
      <w:bodyDiv w:val="1"/>
      <w:marLeft w:val="0"/>
      <w:marRight w:val="0"/>
      <w:marTop w:val="0"/>
      <w:marBottom w:val="0"/>
      <w:divBdr>
        <w:top w:val="none" w:sz="0" w:space="0" w:color="auto"/>
        <w:left w:val="none" w:sz="0" w:space="0" w:color="auto"/>
        <w:bottom w:val="none" w:sz="0" w:space="0" w:color="auto"/>
        <w:right w:val="none" w:sz="0" w:space="0" w:color="auto"/>
      </w:divBdr>
    </w:div>
    <w:div w:id="10721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R15-WRC15-C-0082!A21-A11!MSW-F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24AB5-A746-4001-96E4-FF9F3F29C522}">
  <ds:schemaRefs>
    <ds:schemaRef ds:uri="http://purl.org/dc/elements/1.1/"/>
    <ds:schemaRef ds:uri="http://schemas.microsoft.com/office/2006/metadata/properties"/>
    <ds:schemaRef ds:uri="http://schemas.microsoft.com/office/2006/documentManagement/types"/>
    <ds:schemaRef ds:uri="32a1a8c5-2265-4ebc-b7a0-2071e2c5c9bb"/>
    <ds:schemaRef ds:uri="996b2e75-67fd-4955-a3b0-5ab9934cb50b"/>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R15-WRC15-C-0082!A21-A11!MSW-F</vt:lpstr>
    </vt:vector>
  </TitlesOfParts>
  <Manager>Secrétariat général - Pool</Manager>
  <Company>Union internationale des télécommunications (UIT)</Company>
  <LinksUpToDate>false</LinksUpToDate>
  <CharactersWithSpaces>3341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R15-WRC15-C-0082!A21-A11!MSW-F</dc:title>
  <dc:subject>Conférence mondiale des radiocommunications - 2015</dc:subject>
  <dc:creator>Documents Proposals Manager (DPM)</dc:creator>
  <cp:keywords>DPM_v5.2015.10.15_prod</cp:keywords>
  <dc:description/>
  <cp:lastModifiedBy>Jones, Jacqueline</cp:lastModifiedBy>
  <cp:revision>4</cp:revision>
  <cp:lastPrinted>2015-10-22T07:21:00Z</cp:lastPrinted>
  <dcterms:created xsi:type="dcterms:W3CDTF">2015-10-22T21:19:00Z</dcterms:created>
  <dcterms:modified xsi:type="dcterms:W3CDTF">2015-10-25T14:19:00Z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