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5</w:t>
            </w:r>
          </w:p>
        </w:tc>
        <w:tc>
          <w:tcPr>
            <w:tcW w:w="3120" w:type="dxa"/>
          </w:tcPr>
          <w:p w:rsidR="00BB1D82" w:rsidRPr="002A6F8F" w:rsidRDefault="006D4724" w:rsidP="00E4728F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Révision 2 </w:t>
            </w:r>
            <w:r w:rsidR="00E4728F">
              <w:rPr>
                <w:rFonts w:ascii="Verdana" w:eastAsia="SimSun" w:hAnsi="Verdana" w:cs="Traditional Arabic"/>
                <w:b/>
                <w:sz w:val="20"/>
                <w:lang w:val="en-US"/>
              </w:rPr>
              <w:t>d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79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13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CA3E36" w:rsidRDefault="00690C7B" w:rsidP="00690C7B">
            <w:pPr>
              <w:pStyle w:val="Source"/>
            </w:pPr>
            <w:bookmarkStart w:id="2" w:name="dsource" w:colFirst="0" w:colLast="0"/>
            <w:r w:rsidRPr="00CA3E36">
              <w:t xml:space="preserve">Allemagne (République fédérale d')/Autriche/Belgique/Croatie </w:t>
            </w:r>
            <w:r w:rsidR="005E186A">
              <w:br/>
            </w:r>
            <w:r w:rsidRPr="00CA3E36">
              <w:t>(République de)/Danemark/Estonie (République d')/France/Italie/</w:t>
            </w:r>
            <w:r w:rsidR="005E186A">
              <w:br/>
            </w:r>
            <w:r w:rsidRPr="00CA3E36">
              <w:t>Lettonie (République de)/Liechtenstein (Principauté de)/</w:t>
            </w:r>
            <w:r w:rsidR="005E186A">
              <w:br/>
            </w:r>
            <w:r w:rsidRPr="00CA3E36">
              <w:t>Lituanie (République de)/Malte/Pologne (République de)/Roumanie/</w:t>
            </w:r>
            <w:r w:rsidR="005E186A">
              <w:br/>
            </w:r>
            <w:r w:rsidRPr="00CA3E36">
              <w:t>Royaume-Uni de Grande-Bretagne et d'Irlande du Nord/</w:t>
            </w:r>
            <w:r w:rsidR="00E4728F">
              <w:br/>
            </w:r>
            <w:r w:rsidRPr="00CA3E36">
              <w:t>Suisse (Confédération)</w:t>
            </w:r>
          </w:p>
        </w:tc>
      </w:tr>
      <w:tr w:rsidR="00690C7B" w:rsidRPr="00826D25" w:rsidTr="0050008E">
        <w:trPr>
          <w:cantSplit/>
        </w:trPr>
        <w:tc>
          <w:tcPr>
            <w:tcW w:w="10031" w:type="dxa"/>
            <w:gridSpan w:val="2"/>
          </w:tcPr>
          <w:p w:rsidR="00690C7B" w:rsidRPr="00826D25" w:rsidRDefault="00826D25" w:rsidP="00826D25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826D25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</w:t>
            </w:r>
            <w:r w:rsidRPr="00826D25">
              <w:rPr>
                <w:lang w:val="fr-CH"/>
              </w:rPr>
              <w:t>rence</w:t>
            </w:r>
          </w:p>
        </w:tc>
      </w:tr>
      <w:tr w:rsidR="00690C7B" w:rsidRPr="00826D25" w:rsidTr="00826D25">
        <w:trPr>
          <w:cantSplit/>
          <w:trHeight w:val="728"/>
        </w:trPr>
        <w:tc>
          <w:tcPr>
            <w:tcW w:w="10031" w:type="dxa"/>
            <w:gridSpan w:val="2"/>
          </w:tcPr>
          <w:p w:rsidR="00690C7B" w:rsidRPr="00826D25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1.6 de l'ordre du jour</w:t>
            </w:r>
          </w:p>
        </w:tc>
      </w:tr>
    </w:tbl>
    <w:bookmarkEnd w:id="5"/>
    <w:p w:rsidR="001C0E40" w:rsidRPr="00A67592" w:rsidRDefault="0095778D" w:rsidP="00A67592">
      <w:pPr>
        <w:rPr>
          <w:lang w:val="fr-CA"/>
        </w:rPr>
      </w:pPr>
      <w:r w:rsidRPr="00A67592">
        <w:rPr>
          <w:lang w:val="fr-CA"/>
        </w:rPr>
        <w:t>1.6</w:t>
      </w:r>
      <w:r w:rsidRPr="00A67592">
        <w:rPr>
          <w:lang w:val="fr-CA"/>
        </w:rPr>
        <w:tab/>
        <w:t>envisager la possibilité de faire des attributions additionnelles à titre primaire:</w:t>
      </w:r>
    </w:p>
    <w:p w:rsidR="00826D25" w:rsidRPr="00B42483" w:rsidRDefault="00826D25" w:rsidP="00826D25">
      <w:r w:rsidRPr="00B42483">
        <w:t>1.6.1</w:t>
      </w:r>
      <w:r w:rsidRPr="00B42483">
        <w:tab/>
        <w:t xml:space="preserve">au </w:t>
      </w:r>
      <w:r w:rsidRPr="00B42483">
        <w:rPr>
          <w:szCs w:val="24"/>
        </w:rPr>
        <w:t>service</w:t>
      </w:r>
      <w:r w:rsidRPr="00B42483">
        <w:t xml:space="preserve"> fixe par </w:t>
      </w:r>
      <w:r w:rsidRPr="00B42483">
        <w:rPr>
          <w:rFonts w:cs="Arial"/>
        </w:rPr>
        <w:t>satellite</w:t>
      </w:r>
      <w:r w:rsidRPr="00B42483">
        <w:t xml:space="preserve"> (Terre vers espace et espace vers Terre) de 250</w:t>
      </w:r>
      <w:r>
        <w:t xml:space="preserve"> </w:t>
      </w:r>
      <w:r w:rsidRPr="00B42483">
        <w:t>MHz dans la gamme comprise entre 10</w:t>
      </w:r>
      <w:r>
        <w:t xml:space="preserve"> </w:t>
      </w:r>
      <w:r w:rsidRPr="00B42483">
        <w:t>GHz et 17</w:t>
      </w:r>
      <w:r>
        <w:t xml:space="preserve"> </w:t>
      </w:r>
      <w:r w:rsidRPr="00B42483">
        <w:t>GHz dans la Région</w:t>
      </w:r>
      <w:r>
        <w:t xml:space="preserve"> </w:t>
      </w:r>
      <w:r w:rsidRPr="00B42483">
        <w:t>1</w:t>
      </w:r>
      <w:r>
        <w:t>;</w:t>
      </w:r>
    </w:p>
    <w:p w:rsidR="00826D25" w:rsidRPr="00A67592" w:rsidRDefault="00826D25" w:rsidP="00826D25">
      <w:pPr>
        <w:rPr>
          <w:lang w:val="fr-CA"/>
        </w:rPr>
      </w:pPr>
      <w:r w:rsidRPr="00B42483">
        <w:t>1.6.2</w:t>
      </w:r>
      <w:r w:rsidRPr="00B42483">
        <w:tab/>
        <w:t>au service fixe par satellite (Terre vers espace) de 250</w:t>
      </w:r>
      <w:r>
        <w:t xml:space="preserve"> </w:t>
      </w:r>
      <w:r w:rsidRPr="00B42483">
        <w:t>MHz dans la Région</w:t>
      </w:r>
      <w:r>
        <w:t xml:space="preserve"> 2 et de </w:t>
      </w:r>
      <w:r w:rsidRPr="00B42483">
        <w:t>300 MHz dans la Région</w:t>
      </w:r>
      <w:r>
        <w:t xml:space="preserve"> </w:t>
      </w:r>
      <w:r w:rsidRPr="00B42483">
        <w:t xml:space="preserve">3 dans </w:t>
      </w:r>
      <w:r>
        <w:t>la gamme</w:t>
      </w:r>
      <w:r w:rsidRPr="00B42483">
        <w:t xml:space="preserve"> 13</w:t>
      </w:r>
      <w:r>
        <w:t>-</w:t>
      </w:r>
      <w:r w:rsidRPr="00B42483">
        <w:t>17</w:t>
      </w:r>
      <w:r>
        <w:t xml:space="preserve"> </w:t>
      </w:r>
      <w:r w:rsidRPr="00B42483">
        <w:t>GHz</w:t>
      </w:r>
      <w:r>
        <w:t>;</w:t>
      </w:r>
    </w:p>
    <w:p w:rsidR="00826D25" w:rsidRPr="005B4D38" w:rsidRDefault="00826D25" w:rsidP="00FC2775">
      <w:pPr>
        <w:rPr>
          <w:lang w:val="fr-CA"/>
        </w:rPr>
      </w:pPr>
      <w:r w:rsidRPr="005B4D38">
        <w:rPr>
          <w:lang w:val="fr-CA"/>
        </w:rPr>
        <w:t xml:space="preserve">et examiner les dispositions réglementaires relatives aux attributions actuelles au service fixe par satellite dans chaque gamme, compte tenu des résultats des études de l'UIT-R, conformément aux Résolutions </w:t>
      </w:r>
      <w:r w:rsidRPr="005B4D38">
        <w:rPr>
          <w:b/>
          <w:bCs/>
          <w:lang w:val="fr-CA"/>
        </w:rPr>
        <w:t>151 (CMR-12)</w:t>
      </w:r>
      <w:r w:rsidRPr="005B4D38">
        <w:rPr>
          <w:lang w:val="fr-CA"/>
        </w:rPr>
        <w:t xml:space="preserve"> et </w:t>
      </w:r>
      <w:r w:rsidRPr="005B4D38">
        <w:rPr>
          <w:b/>
          <w:bCs/>
          <w:lang w:val="fr-CA"/>
        </w:rPr>
        <w:t>152 (CMR-12)</w:t>
      </w:r>
      <w:r w:rsidRPr="005B4D38">
        <w:rPr>
          <w:lang w:val="fr-CA"/>
        </w:rPr>
        <w:t xml:space="preserve"> respectivement;</w:t>
      </w:r>
    </w:p>
    <w:p w:rsidR="00826D25" w:rsidRPr="00F1656A" w:rsidRDefault="00826D25" w:rsidP="00826D25">
      <w:pPr>
        <w:pStyle w:val="headingb0"/>
        <w:rPr>
          <w:i/>
          <w:iCs/>
          <w:lang w:val="fr-CH"/>
        </w:rPr>
      </w:pPr>
      <w:r w:rsidRPr="00F1656A">
        <w:rPr>
          <w:lang w:val="fr-CH"/>
        </w:rPr>
        <w:t>Introduction</w:t>
      </w:r>
    </w:p>
    <w:p w:rsidR="00826D25" w:rsidRPr="00FB596E" w:rsidRDefault="00826D25" w:rsidP="0095778D">
      <w:pPr>
        <w:ind w:right="-284"/>
        <w:rPr>
          <w:lang w:val="fr-CH"/>
        </w:rPr>
      </w:pPr>
      <w:r>
        <w:rPr>
          <w:lang w:val="fr-CH"/>
        </w:rPr>
        <w:t xml:space="preserve">Depuis </w:t>
      </w:r>
      <w:r w:rsidRPr="00FB596E">
        <w:rPr>
          <w:lang w:val="fr-CH"/>
        </w:rPr>
        <w:t xml:space="preserve">2012, des études ont été réalisées concernant </w:t>
      </w:r>
      <w:r>
        <w:t>des bandes de fréquences envisageables pour</w:t>
      </w:r>
      <w:r w:rsidR="009430C9">
        <w:t xml:space="preserve"> </w:t>
      </w:r>
      <w:r>
        <w:t>une nouvelle attribution à titre primaire au service fixe par satellite dans le sens Terre vers espace dans la gamme de fréquences 10-17 GHz dans la Région 1, et dans la gamme de fréquences 13-17 GHz dans les Régions 2 et 3. Ces études traitent des aspects techniques, opérationnels et réglementaires relatifs à cette question, conformément aux Résolutions</w:t>
      </w:r>
      <w:r w:rsidR="0095778D">
        <w:t xml:space="preserve"> </w:t>
      </w:r>
      <w:r>
        <w:t>151 (CMR</w:t>
      </w:r>
      <w:r>
        <w:noBreakHyphen/>
        <w:t>12) et 152 (CMR-12).</w:t>
      </w:r>
    </w:p>
    <w:p w:rsidR="00826D25" w:rsidRDefault="00826D25" w:rsidP="00826D25">
      <w:pPr>
        <w:rPr>
          <w:lang w:val="fr-CH"/>
        </w:rPr>
      </w:pPr>
      <w:r>
        <w:rPr>
          <w:lang w:val="fr-CH"/>
        </w:rPr>
        <w:t>Les</w:t>
      </w:r>
      <w:r w:rsidRPr="0017296B">
        <w:rPr>
          <w:lang w:val="fr-CH"/>
        </w:rPr>
        <w:t xml:space="preserve"> résultats des études de l’UIT-R</w:t>
      </w:r>
      <w:r>
        <w:rPr>
          <w:lang w:val="fr-CH"/>
        </w:rPr>
        <w:t xml:space="preserve"> indiquent que le partage avec les services existants dans les bandes de fréquences examinées s’avère extrêmement problématique. Par conséquent, les défenseurs de la présente contribution sont opposés à toute attribution supplémentaire à titre primaire au service fixe par satellite dans le sens Terre vers espace dans les bandes de fréquences 10-10,68 GHz, 13,25-13,75 GHz et 14,5-15,35 GHz.</w:t>
      </w:r>
    </w:p>
    <w:p w:rsidR="00826D25" w:rsidRPr="00A6010E" w:rsidRDefault="00826D25" w:rsidP="00826D25">
      <w:pPr>
        <w:pStyle w:val="Headingb"/>
        <w:rPr>
          <w:lang w:val="fr-CH"/>
        </w:rPr>
      </w:pPr>
      <w:r w:rsidRPr="00A6010E">
        <w:rPr>
          <w:lang w:val="fr-CH"/>
        </w:rPr>
        <w:t>Pro</w:t>
      </w:r>
      <w:bookmarkStart w:id="6" w:name="_GoBack"/>
      <w:bookmarkEnd w:id="6"/>
      <w:r w:rsidRPr="00A6010E">
        <w:rPr>
          <w:lang w:val="fr-CH"/>
        </w:rPr>
        <w:t>positions</w:t>
      </w:r>
    </w:p>
    <w:p w:rsidR="004A6A8C" w:rsidRDefault="0095778D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95778D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95778D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CA3E36">
        <w:rPr>
          <w:b w:val="0"/>
          <w:bCs/>
        </w:rPr>
        <w:t>(Voir le numéro</w:t>
      </w:r>
      <w:r w:rsidRPr="00260AE5">
        <w:t xml:space="preserve"> 2.1</w:t>
      </w:r>
      <w:r w:rsidRPr="00CA3E36">
        <w:rPr>
          <w:b w:val="0"/>
          <w:bCs/>
        </w:rPr>
        <w:t>)</w:t>
      </w:r>
      <w:r w:rsidRPr="00CA3E36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4E603D" w:rsidRDefault="0095778D">
      <w:pPr>
        <w:pStyle w:val="Proposal"/>
      </w:pPr>
      <w:r>
        <w:rPr>
          <w:u w:val="single"/>
        </w:rPr>
        <w:t>NOC</w:t>
      </w:r>
      <w:r>
        <w:tab/>
        <w:t>D/AUT/BEL/HRV/DNK/EST/F/I/LVA/LIE/LTU/MLT/POL/ROU/G/SUI/79/1</w:t>
      </w:r>
    </w:p>
    <w:p w:rsidR="004A6A8C" w:rsidRDefault="0095778D" w:rsidP="000D317B">
      <w:pPr>
        <w:pStyle w:val="Tabletitle"/>
        <w:spacing w:before="120"/>
        <w:rPr>
          <w:color w:val="000000"/>
        </w:rPr>
      </w:pPr>
      <w:r>
        <w:rPr>
          <w:color w:val="000000"/>
        </w:rPr>
        <w:t>10-11,7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CA2462" w:rsidTr="000F207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CA2462" w:rsidTr="000F2071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CA2462" w:rsidTr="000F207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10,6-10,68</w:t>
            </w:r>
            <w:r>
              <w:rPr>
                <w:color w:val="000000"/>
              </w:rPr>
              <w:tab/>
              <w:t>EXPLORATION DE LA TERRE PAR SATELLITE (passive)</w:t>
            </w:r>
          </w:p>
          <w:p w:rsidR="00CA2462" w:rsidRDefault="0095778D" w:rsidP="000F2071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CA2462" w:rsidRDefault="0095778D" w:rsidP="000F2071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CA2462" w:rsidRDefault="0095778D" w:rsidP="000F2071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RADIOASTRONOMIE</w:t>
            </w:r>
          </w:p>
          <w:p w:rsidR="00CA2462" w:rsidRDefault="0095778D" w:rsidP="000F2071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(passive)</w:t>
            </w:r>
          </w:p>
          <w:p w:rsidR="00CA2462" w:rsidRDefault="0095778D" w:rsidP="000F2071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>Radiolocalisation</w:t>
            </w:r>
          </w:p>
          <w:p w:rsidR="00CA2462" w:rsidRDefault="0095778D" w:rsidP="000F2071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880E98">
              <w:t>5.149</w:t>
            </w:r>
            <w:r>
              <w:rPr>
                <w:color w:val="000000"/>
                <w:lang w:val="fr-CH"/>
              </w:rPr>
              <w:t xml:space="preserve"> </w:t>
            </w:r>
            <w:r w:rsidRPr="00880E98">
              <w:t>5.482</w:t>
            </w:r>
            <w:r>
              <w:t xml:space="preserve"> </w:t>
            </w:r>
            <w:r w:rsidRPr="00880E98">
              <w:t>5.482A</w:t>
            </w:r>
          </w:p>
        </w:tc>
      </w:tr>
    </w:tbl>
    <w:p w:rsidR="004E603D" w:rsidRDefault="0095778D" w:rsidP="00D43ED2">
      <w:pPr>
        <w:pStyle w:val="Reasons"/>
      </w:pPr>
      <w:r>
        <w:rPr>
          <w:b/>
        </w:rPr>
        <w:t>Motifs:</w:t>
      </w:r>
      <w:r>
        <w:tab/>
      </w:r>
      <w:r w:rsidR="007209E1" w:rsidRPr="000A2071">
        <w:rPr>
          <w:lang w:val="fr-CH"/>
        </w:rPr>
        <w:t>Les études de l’UIT-R indiquent que le partage entre le service fixe par satellite (Terre</w:t>
      </w:r>
      <w:r w:rsidR="00D43ED2">
        <w:rPr>
          <w:lang w:val="fr-CH"/>
        </w:rPr>
        <w:t> </w:t>
      </w:r>
      <w:r w:rsidR="007209E1">
        <w:rPr>
          <w:lang w:val="fr-CH"/>
        </w:rPr>
        <w:t>vers</w:t>
      </w:r>
      <w:r w:rsidR="007209E1" w:rsidRPr="000A2071">
        <w:rPr>
          <w:lang w:val="fr-CH"/>
        </w:rPr>
        <w:t xml:space="preserve"> espace) et </w:t>
      </w:r>
      <w:r w:rsidR="007209E1">
        <w:rPr>
          <w:lang w:val="fr-CH"/>
        </w:rPr>
        <w:t>l</w:t>
      </w:r>
      <w:r w:rsidR="007209E1" w:rsidRPr="000A2071">
        <w:rPr>
          <w:lang w:val="fr-CH"/>
        </w:rPr>
        <w:t xml:space="preserve">e service </w:t>
      </w:r>
      <w:r w:rsidR="007209E1">
        <w:rPr>
          <w:lang w:val="fr-CH"/>
        </w:rPr>
        <w:t xml:space="preserve">d’exploration de la Terre par satellite (passive) </w:t>
      </w:r>
      <w:r w:rsidR="007209E1">
        <w:rPr>
          <w:color w:val="000000"/>
        </w:rPr>
        <w:t>n'est pas réalisable.</w:t>
      </w:r>
    </w:p>
    <w:p w:rsidR="004E603D" w:rsidRDefault="0095778D">
      <w:pPr>
        <w:pStyle w:val="Proposal"/>
      </w:pPr>
      <w:r>
        <w:rPr>
          <w:u w:val="single"/>
        </w:rPr>
        <w:t>NOC</w:t>
      </w:r>
      <w:r>
        <w:tab/>
        <w:t>D/AUT/BEL/HRV/DNK/EST/F/I/LVA/LIE/LTU/MLT/POL/ROU/G/SUI/79/2</w:t>
      </w:r>
    </w:p>
    <w:p w:rsidR="004A6A8C" w:rsidRDefault="0095778D" w:rsidP="000D317B">
      <w:pPr>
        <w:pStyle w:val="Tabletitle"/>
        <w:spacing w:before="120"/>
        <w:rPr>
          <w:color w:val="000000"/>
        </w:rPr>
      </w:pPr>
      <w:r>
        <w:rPr>
          <w:color w:val="000000"/>
        </w:rPr>
        <w:t>11,7-14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CA2462" w:rsidTr="000F20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CA2462" w:rsidTr="000F2071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CA2462" w:rsidTr="000F20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13,25-13,4</w:t>
            </w:r>
            <w:r>
              <w:rPr>
                <w:color w:val="000000"/>
              </w:rPr>
              <w:tab/>
              <w:t>EXPLORATION DE LA TERRE PAR SATELLITE (active)</w:t>
            </w:r>
          </w:p>
          <w:p w:rsidR="00CA2462" w:rsidRDefault="0095778D" w:rsidP="000F2071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RADIONAVIGATION AÉRONAUTIQUE </w:t>
            </w:r>
            <w:r>
              <w:rPr>
                <w:rStyle w:val="Artref"/>
                <w:color w:val="000000"/>
              </w:rPr>
              <w:t>5.497</w:t>
            </w:r>
          </w:p>
          <w:p w:rsidR="00CA2462" w:rsidRDefault="0095778D" w:rsidP="000F2071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(active)</w:t>
            </w:r>
          </w:p>
          <w:p w:rsidR="00CA2462" w:rsidRDefault="0095778D" w:rsidP="000F2071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5.498A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5.499</w:t>
            </w:r>
          </w:p>
        </w:tc>
      </w:tr>
      <w:tr w:rsidR="00CA2462" w:rsidTr="000F20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13,4-13,75</w:t>
            </w:r>
            <w:r>
              <w:rPr>
                <w:color w:val="000000"/>
              </w:rPr>
              <w:tab/>
              <w:t>EXPLORATION DE LA TERRE PAR SATELLITE (active)</w:t>
            </w:r>
          </w:p>
          <w:p w:rsidR="00CA2462" w:rsidRDefault="0095778D" w:rsidP="000F2071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RADIOLOCALISATION</w:t>
            </w:r>
          </w:p>
          <w:p w:rsidR="00CA2462" w:rsidRDefault="0095778D" w:rsidP="000F2071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RECHERCHE SPATIALE </w:t>
            </w:r>
            <w:r>
              <w:rPr>
                <w:rStyle w:val="Artref"/>
                <w:color w:val="000000"/>
              </w:rPr>
              <w:t>5.501A</w:t>
            </w:r>
          </w:p>
          <w:p w:rsidR="00CA2462" w:rsidRDefault="0095778D" w:rsidP="000F2071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Fréquences étalon et signaux horaires par satellite (Terre vers espace) </w:t>
            </w:r>
          </w:p>
          <w:p w:rsidR="00CA2462" w:rsidRDefault="0095778D" w:rsidP="000F2071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5.499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5.500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5.501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5.501B</w:t>
            </w:r>
          </w:p>
        </w:tc>
      </w:tr>
    </w:tbl>
    <w:p w:rsidR="004E603D" w:rsidRDefault="0095778D" w:rsidP="00D43ED2">
      <w:pPr>
        <w:pStyle w:val="Reasons"/>
      </w:pPr>
      <w:r>
        <w:rPr>
          <w:b/>
        </w:rPr>
        <w:t>Motifs:</w:t>
      </w:r>
      <w:r>
        <w:tab/>
      </w:r>
      <w:r w:rsidR="007209E1" w:rsidRPr="000A2071">
        <w:rPr>
          <w:lang w:val="fr-CH"/>
        </w:rPr>
        <w:t>Les études de l’UIT-R indiquent que le partage entre le service fixe par satellite (Terre</w:t>
      </w:r>
      <w:r w:rsidR="00D43ED2">
        <w:rPr>
          <w:lang w:val="fr-CH"/>
        </w:rPr>
        <w:t> </w:t>
      </w:r>
      <w:r w:rsidR="007209E1">
        <w:rPr>
          <w:lang w:val="fr-CH"/>
        </w:rPr>
        <w:t>vers</w:t>
      </w:r>
      <w:r w:rsidR="007209E1" w:rsidRPr="000A2071">
        <w:rPr>
          <w:lang w:val="fr-CH"/>
        </w:rPr>
        <w:t xml:space="preserve"> espace) et </w:t>
      </w:r>
      <w:r w:rsidR="007209E1">
        <w:rPr>
          <w:lang w:val="fr-CH"/>
        </w:rPr>
        <w:t>l</w:t>
      </w:r>
      <w:r w:rsidR="007209E1" w:rsidRPr="000A2071">
        <w:rPr>
          <w:lang w:val="fr-CH"/>
        </w:rPr>
        <w:t xml:space="preserve">e service </w:t>
      </w:r>
      <w:r w:rsidR="007209E1">
        <w:rPr>
          <w:lang w:val="fr-CH"/>
        </w:rPr>
        <w:t xml:space="preserve">d’exploration de la Terre par satellite (active) </w:t>
      </w:r>
      <w:r w:rsidR="007209E1">
        <w:rPr>
          <w:color w:val="000000"/>
        </w:rPr>
        <w:t>n'est pas réalisable.</w:t>
      </w:r>
      <w:r w:rsidR="007209E1" w:rsidRPr="000A2071">
        <w:rPr>
          <w:lang w:val="fr-CH"/>
        </w:rPr>
        <w:t xml:space="preserve"> </w:t>
      </w:r>
      <w:r w:rsidR="007209E1">
        <w:rPr>
          <w:lang w:val="fr-CH"/>
        </w:rPr>
        <w:t>Il est à noter que l’Europe propose une attribution au service fixe par satellite (espace vers Terre) dans la bande 13,4-13,65 GHz.</w:t>
      </w:r>
    </w:p>
    <w:p w:rsidR="004E603D" w:rsidRDefault="0095778D">
      <w:pPr>
        <w:pStyle w:val="Proposal"/>
      </w:pPr>
      <w:r>
        <w:rPr>
          <w:u w:val="single"/>
        </w:rPr>
        <w:lastRenderedPageBreak/>
        <w:t>NOC</w:t>
      </w:r>
      <w:r>
        <w:tab/>
        <w:t>D/AUT/BEL/HRV/DNK/EST/F/I/LVA/LIE/LTU/MLT/POL/ROU/G/SUI/79/3</w:t>
      </w:r>
    </w:p>
    <w:p w:rsidR="004A6A8C" w:rsidRDefault="0095778D" w:rsidP="000D317B">
      <w:pPr>
        <w:pStyle w:val="Tabletitle"/>
        <w:spacing w:before="120"/>
        <w:rPr>
          <w:color w:val="000000"/>
        </w:rPr>
      </w:pPr>
      <w:r>
        <w:rPr>
          <w:color w:val="000000"/>
        </w:rPr>
        <w:t>14-15,4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CA2462" w:rsidTr="000F20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CA2462" w:rsidTr="000F2071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CA2462" w:rsidTr="000F20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 w:rsidRPr="0046453D">
              <w:rPr>
                <w:rStyle w:val="Tablefreq"/>
              </w:rPr>
              <w:t>14,5-14,8</w:t>
            </w:r>
            <w:r>
              <w:rPr>
                <w:color w:val="000000"/>
              </w:rPr>
              <w:tab/>
              <w:t>FIXE</w:t>
            </w:r>
          </w:p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FIXE PAR SATELLITE (Terre vers espace) </w:t>
            </w:r>
            <w:r>
              <w:rPr>
                <w:rStyle w:val="Artref"/>
                <w:color w:val="000000"/>
              </w:rPr>
              <w:t>5.510</w:t>
            </w:r>
          </w:p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</w:t>
            </w:r>
          </w:p>
        </w:tc>
      </w:tr>
      <w:tr w:rsidR="00CA2462" w:rsidTr="000F20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 w:rsidRPr="0046453D">
              <w:rPr>
                <w:rStyle w:val="Tablefreq"/>
              </w:rPr>
              <w:t>14,8-15,35</w:t>
            </w:r>
            <w:r>
              <w:rPr>
                <w:color w:val="000000"/>
              </w:rPr>
              <w:tab/>
              <w:t>FIXE</w:t>
            </w:r>
          </w:p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</w:t>
            </w:r>
          </w:p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5.339</w:t>
            </w:r>
          </w:p>
        </w:tc>
      </w:tr>
      <w:tr w:rsidR="00CA2462" w:rsidTr="000F207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 w:rsidRPr="0046453D">
              <w:rPr>
                <w:rStyle w:val="Tablefreq"/>
              </w:rPr>
              <w:t>15,35-15,4</w:t>
            </w:r>
            <w:r>
              <w:rPr>
                <w:color w:val="000000"/>
              </w:rPr>
              <w:tab/>
              <w:t>EXPLORATION DE LA TERRE PAR SATELLITE (passive)</w:t>
            </w:r>
          </w:p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RADIOASTRONOMIE</w:t>
            </w:r>
          </w:p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(passive)</w:t>
            </w:r>
          </w:p>
          <w:p w:rsidR="00CA2462" w:rsidRDefault="0095778D" w:rsidP="000F2071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5.340</w:t>
            </w:r>
            <w:r>
              <w:rPr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>5.511</w:t>
            </w:r>
          </w:p>
        </w:tc>
      </w:tr>
    </w:tbl>
    <w:p w:rsidR="007209E1" w:rsidRPr="000A2071" w:rsidRDefault="0095778D" w:rsidP="00656F07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7209E1" w:rsidRPr="000A2071">
        <w:rPr>
          <w:lang w:val="fr-CH"/>
        </w:rPr>
        <w:t>Les études de l’UIT-R indiquent que le partage entre le service fixe par satellite (Terre</w:t>
      </w:r>
      <w:r w:rsidR="00656F07">
        <w:rPr>
          <w:lang w:val="fr-CH"/>
        </w:rPr>
        <w:t> </w:t>
      </w:r>
      <w:r w:rsidR="007209E1">
        <w:rPr>
          <w:lang w:val="fr-CH"/>
        </w:rPr>
        <w:t>vers</w:t>
      </w:r>
      <w:r w:rsidR="007209E1" w:rsidRPr="000A2071">
        <w:rPr>
          <w:lang w:val="fr-CH"/>
        </w:rPr>
        <w:t xml:space="preserve"> espace) et </w:t>
      </w:r>
      <w:r w:rsidR="007209E1">
        <w:rPr>
          <w:lang w:val="fr-CH"/>
        </w:rPr>
        <w:t>l</w:t>
      </w:r>
      <w:r w:rsidR="007209E1" w:rsidRPr="000A2071">
        <w:rPr>
          <w:lang w:val="fr-CH"/>
        </w:rPr>
        <w:t>e</w:t>
      </w:r>
      <w:r w:rsidR="007209E1">
        <w:rPr>
          <w:lang w:val="fr-CH"/>
        </w:rPr>
        <w:t>s</w:t>
      </w:r>
      <w:r w:rsidR="007209E1" w:rsidRPr="000A2071">
        <w:rPr>
          <w:lang w:val="fr-CH"/>
        </w:rPr>
        <w:t xml:space="preserve"> service</w:t>
      </w:r>
      <w:r w:rsidR="007209E1">
        <w:rPr>
          <w:lang w:val="fr-CH"/>
        </w:rPr>
        <w:t>s mobile et</w:t>
      </w:r>
      <w:r w:rsidR="007209E1" w:rsidRPr="000A2071">
        <w:rPr>
          <w:lang w:val="fr-CH"/>
        </w:rPr>
        <w:t xml:space="preserve"> </w:t>
      </w:r>
      <w:r w:rsidR="007209E1">
        <w:rPr>
          <w:lang w:val="fr-CH"/>
        </w:rPr>
        <w:t xml:space="preserve">d’exploration de la Terre par satellite (passive) </w:t>
      </w:r>
      <w:r w:rsidR="007209E1">
        <w:rPr>
          <w:color w:val="000000"/>
        </w:rPr>
        <w:t>n'est pas réalisable.</w:t>
      </w:r>
    </w:p>
    <w:p w:rsidR="007209E1" w:rsidRDefault="007209E1" w:rsidP="007209E1">
      <w:pPr>
        <w:jc w:val="center"/>
      </w:pPr>
    </w:p>
    <w:p w:rsidR="007209E1" w:rsidRDefault="007209E1" w:rsidP="007209E1">
      <w:pPr>
        <w:jc w:val="center"/>
      </w:pPr>
    </w:p>
    <w:p w:rsidR="007209E1" w:rsidRDefault="007209E1" w:rsidP="007209E1">
      <w:pPr>
        <w:jc w:val="center"/>
      </w:pPr>
      <w:r>
        <w:t>______________</w:t>
      </w:r>
    </w:p>
    <w:p w:rsidR="007209E1" w:rsidRPr="00AC605D" w:rsidRDefault="007209E1" w:rsidP="007209E1">
      <w:pPr>
        <w:pStyle w:val="Reasons"/>
        <w:rPr>
          <w:lang w:val="en-US"/>
        </w:rPr>
      </w:pPr>
    </w:p>
    <w:p w:rsidR="004E603D" w:rsidRDefault="004E603D">
      <w:pPr>
        <w:pStyle w:val="Reasons"/>
      </w:pPr>
    </w:p>
    <w:sectPr w:rsidR="004E603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728F">
      <w:rPr>
        <w:noProof/>
      </w:rPr>
      <w:t>13.11.15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A3E36">
      <w:rPr>
        <w:lang w:val="en-US"/>
      </w:rPr>
      <w:t>P:\FRA\ITU-R\CONF-R\CMR15\000\079REV2F.docx</w:t>
    </w:r>
    <w:r>
      <w:fldChar w:fldCharType="end"/>
    </w:r>
    <w:r w:rsidR="00CA3E36">
      <w:t xml:space="preserve"> (390154)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728F">
      <w:t>13.11.15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3E36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A3E36">
      <w:rPr>
        <w:lang w:val="en-US"/>
      </w:rPr>
      <w:t>P:\FRA\ITU-R\CONF-R\CMR15\000\079REV2F.docx</w:t>
    </w:r>
    <w:r>
      <w:fldChar w:fldCharType="end"/>
    </w:r>
    <w:r w:rsidR="00CA3E36">
      <w:t xml:space="preserve"> (390154)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728F">
      <w:t>13.11.15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3E36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4728F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CA3E36">
      <w:t>79(Ré</w:t>
    </w:r>
    <w:r w:rsidR="006A4B45">
      <w:t>v.2)-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2367"/>
    <w:rsid w:val="00080E2C"/>
    <w:rsid w:val="000A4755"/>
    <w:rsid w:val="000B18B8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122"/>
    <w:rsid w:val="003E7B05"/>
    <w:rsid w:val="00466211"/>
    <w:rsid w:val="004834A9"/>
    <w:rsid w:val="004D01FC"/>
    <w:rsid w:val="004E28C3"/>
    <w:rsid w:val="004E603D"/>
    <w:rsid w:val="004F1F8E"/>
    <w:rsid w:val="00512A32"/>
    <w:rsid w:val="00586CF2"/>
    <w:rsid w:val="005C3768"/>
    <w:rsid w:val="005C6C3F"/>
    <w:rsid w:val="005E186A"/>
    <w:rsid w:val="00613635"/>
    <w:rsid w:val="0062093D"/>
    <w:rsid w:val="00637ECF"/>
    <w:rsid w:val="00647B59"/>
    <w:rsid w:val="00656F07"/>
    <w:rsid w:val="00690C7B"/>
    <w:rsid w:val="006A4B45"/>
    <w:rsid w:val="006D4724"/>
    <w:rsid w:val="00701BAE"/>
    <w:rsid w:val="007209E1"/>
    <w:rsid w:val="00721F04"/>
    <w:rsid w:val="00730E95"/>
    <w:rsid w:val="007426B9"/>
    <w:rsid w:val="00764342"/>
    <w:rsid w:val="00774362"/>
    <w:rsid w:val="00786598"/>
    <w:rsid w:val="007A04E8"/>
    <w:rsid w:val="00826D25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430C9"/>
    <w:rsid w:val="0095778D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A3E36"/>
    <w:rsid w:val="00CD516F"/>
    <w:rsid w:val="00D119A7"/>
    <w:rsid w:val="00D25FBA"/>
    <w:rsid w:val="00D32B28"/>
    <w:rsid w:val="00D42954"/>
    <w:rsid w:val="00D43ED2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728F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2775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B16F175B-86A5-44A2-AA42-7E9FB1FD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headingb0">
    <w:name w:val="heading_b"/>
    <w:basedOn w:val="Heading3"/>
    <w:next w:val="Normal"/>
    <w:rsid w:val="00826D25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R15-WRC15-C-0079!R2!MSW-F</DPM_x0020_File_x0020_name>
    <DPM_x0020_Author xmlns="32a1a8c5-2265-4ebc-b7a0-2071e2c5c9bb" xsi:nil="false">Documents Proposals Manager (DPM)</DPM_x0020_Author>
    <DPM_x0020_Version xmlns="32a1a8c5-2265-4ebc-b7a0-2071e2c5c9bb" xsi:nil="false">DPM_v5.2015.11.131_prod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948AB0-FA8F-4FEC-B10F-8CA5872868A3}">
  <ds:schemaRefs>
    <ds:schemaRef ds:uri="996b2e75-67fd-4955-a3b0-5ab9934cb50b"/>
    <ds:schemaRef ds:uri="32a1a8c5-2265-4ebc-b7a0-2071e2c5c9bb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583</Words>
  <Characters>3740</Characters>
  <Application>Microsoft Office Word</Application>
  <DocSecurity>0</DocSecurity>
  <Lines>101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R15-WRC15-C-0079!R2!MSW-F</vt:lpstr>
    </vt:vector>
  </TitlesOfParts>
  <Manager>Secrétariat général - Pool</Manager>
  <Company>Union internationale des télécommunications (UIT)</Company>
  <LinksUpToDate>false</LinksUpToDate>
  <CharactersWithSpaces>4275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R15-WRC15-C-0079!R2!MSW-F</dc:title>
  <dc:subject>Conférence mondiale des radiocommunications - 2015</dc:subject>
  <dc:creator>Documents Proposals Manager (DPM)</dc:creator>
  <cp:keywords>DPM_v5.2015.11.131_prod</cp:keywords>
  <dc:description/>
  <cp:lastModifiedBy>Saxod, Nathalie</cp:lastModifiedBy>
  <cp:revision>15</cp:revision>
  <cp:lastPrinted>2003-06-05T19:34:00Z</cp:lastPrinted>
  <dcterms:created xsi:type="dcterms:W3CDTF">2015-11-13T16:59:00Z</dcterms:created>
  <dcterms:modified xsi:type="dcterms:W3CDTF">2015-11-13T19:35:00Z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