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D9724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BB6FA72" wp14:editId="25B2A01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2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Suecia</w:t>
            </w:r>
          </w:p>
        </w:tc>
      </w:tr>
      <w:tr w:rsidR="000A5B9A" w:rsidRPr="00D97243" w:rsidTr="0050008E">
        <w:trPr>
          <w:cantSplit/>
        </w:trPr>
        <w:tc>
          <w:tcPr>
            <w:tcW w:w="10031" w:type="dxa"/>
            <w:gridSpan w:val="2"/>
          </w:tcPr>
          <w:p w:rsidR="00D97243" w:rsidRPr="00D97243" w:rsidRDefault="00D97243" w:rsidP="00D97243">
            <w:pPr>
              <w:pStyle w:val="Title1"/>
            </w:pPr>
            <w:bookmarkStart w:id="3" w:name="dtitle1" w:colFirst="0" w:colLast="0"/>
            <w:bookmarkEnd w:id="2"/>
            <w:r w:rsidRPr="00D97243">
              <w:t>Propuestas para los trabajos de la Conferencia</w:t>
            </w:r>
          </w:p>
          <w:p w:rsidR="000A5B9A" w:rsidRPr="00A1208C" w:rsidRDefault="000A5B9A" w:rsidP="00D97243">
            <w:pPr>
              <w:pStyle w:val="Title1"/>
            </w:pPr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10 del orden del día</w:t>
            </w:r>
          </w:p>
        </w:tc>
      </w:tr>
    </w:tbl>
    <w:bookmarkEnd w:id="4"/>
    <w:p w:rsidR="00E1398F" w:rsidRDefault="00D97243" w:rsidP="007B528B">
      <w:r w:rsidRPr="00211854">
        <w:t>10</w:t>
      </w:r>
      <w:r w:rsidRPr="00211854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:rsidR="00A1208C" w:rsidRPr="00211854" w:rsidRDefault="00A1208C" w:rsidP="007B528B"/>
    <w:p w:rsidR="00D97243" w:rsidRPr="008E1548" w:rsidRDefault="00D97243" w:rsidP="007B528B">
      <w:pPr>
        <w:pStyle w:val="Headingb"/>
        <w:spacing w:line="276" w:lineRule="auto"/>
        <w:jc w:val="both"/>
      </w:pPr>
      <w:r w:rsidRPr="008E1548">
        <w:t>Introducción</w:t>
      </w:r>
    </w:p>
    <w:p w:rsidR="00D97243" w:rsidRPr="008E1548" w:rsidRDefault="00D97243" w:rsidP="007B528B">
      <w:r w:rsidRPr="008E1548">
        <w:t xml:space="preserve">En el punto 10 del orden del día se </w:t>
      </w:r>
      <w:r>
        <w:t>solicita</w:t>
      </w:r>
      <w:r w:rsidRPr="008E1548">
        <w:t xml:space="preserve"> a la CMR</w:t>
      </w:r>
      <w:r w:rsidRPr="008E1548">
        <w:noBreakHyphen/>
        <w:t xml:space="preserve">15 que recomiende al Consejo los puntos que han de incluirse en el orden del día de la próxima CMR, y </w:t>
      </w:r>
      <w:r>
        <w:t xml:space="preserve">que </w:t>
      </w:r>
      <w:r w:rsidRPr="008E1548">
        <w:t xml:space="preserve">formule opiniones sobre el orden del día preliminar de la </w:t>
      </w:r>
      <w:r w:rsidR="00942721" w:rsidRPr="008E1548">
        <w:t>C</w:t>
      </w:r>
      <w:r w:rsidRPr="008E1548">
        <w:t>onferencia subsiguiente y sobre los posibles órdenes del día de futuras conferencias, teniendo en cuenta la Resolución 808 (CMR-12).</w:t>
      </w:r>
    </w:p>
    <w:p w:rsidR="00D97243" w:rsidRPr="008E1548" w:rsidRDefault="00D97243" w:rsidP="007B528B">
      <w:r>
        <w:rPr>
          <w:rStyle w:val="hps"/>
        </w:rPr>
        <w:t xml:space="preserve">Esta </w:t>
      </w:r>
      <w:r w:rsidRPr="008E1548">
        <w:rPr>
          <w:rStyle w:val="hps"/>
        </w:rPr>
        <w:t>propuesta, presentada en virtud del punto 10</w:t>
      </w:r>
      <w:r w:rsidRPr="008E1548">
        <w:t xml:space="preserve"> </w:t>
      </w:r>
      <w:r w:rsidRPr="008E1548">
        <w:rPr>
          <w:rStyle w:val="hps"/>
        </w:rPr>
        <w:t>del orden del día,</w:t>
      </w:r>
      <w:r w:rsidRPr="008E1548">
        <w:t xml:space="preserve"> tiene por objeto</w:t>
      </w:r>
      <w:r w:rsidRPr="008E1548">
        <w:rPr>
          <w:rStyle w:val="hps"/>
        </w:rPr>
        <w:t xml:space="preserve"> asegurar que</w:t>
      </w:r>
      <w:r w:rsidRPr="008E1548">
        <w:t xml:space="preserve"> </w:t>
      </w:r>
      <w:r w:rsidRPr="008E1548">
        <w:rPr>
          <w:rStyle w:val="hps"/>
        </w:rPr>
        <w:t>la</w:t>
      </w:r>
      <w:r>
        <w:rPr>
          <w:rStyle w:val="hps"/>
        </w:rPr>
        <w:t> </w:t>
      </w:r>
      <w:r w:rsidRPr="008E1548">
        <w:rPr>
          <w:rStyle w:val="hps"/>
        </w:rPr>
        <w:t>UIT pueda</w:t>
      </w:r>
      <w:r w:rsidRPr="008E1548">
        <w:t xml:space="preserve"> </w:t>
      </w:r>
      <w:r w:rsidRPr="008E1548">
        <w:rPr>
          <w:rStyle w:val="hps"/>
        </w:rPr>
        <w:t>responder de manera</w:t>
      </w:r>
      <w:r w:rsidRPr="008E1548">
        <w:t xml:space="preserve"> </w:t>
      </w:r>
      <w:r w:rsidRPr="008E1548">
        <w:rPr>
          <w:rStyle w:val="hps"/>
        </w:rPr>
        <w:t>oportuna a las necesidades</w:t>
      </w:r>
      <w:r w:rsidRPr="008E1548">
        <w:t xml:space="preserve"> </w:t>
      </w:r>
      <w:r w:rsidRPr="008E1548">
        <w:rPr>
          <w:rStyle w:val="hps"/>
        </w:rPr>
        <w:t>de radiocomunicaciones</w:t>
      </w:r>
      <w:r w:rsidRPr="008E1548">
        <w:t xml:space="preserve"> </w:t>
      </w:r>
      <w:r w:rsidRPr="008E1548">
        <w:rPr>
          <w:rStyle w:val="hps"/>
        </w:rPr>
        <w:t xml:space="preserve">emergentes, velando por </w:t>
      </w:r>
      <w:r w:rsidRPr="008E1548">
        <w:t>que se disponga de espectro suficiente para satisfacer</w:t>
      </w:r>
      <w:r w:rsidRPr="008E1548">
        <w:rPr>
          <w:rStyle w:val="hps"/>
        </w:rPr>
        <w:t xml:space="preserve"> </w:t>
      </w:r>
      <w:r>
        <w:rPr>
          <w:rStyle w:val="hps"/>
        </w:rPr>
        <w:t>los requisitos</w:t>
      </w:r>
      <w:r w:rsidRPr="008E1548">
        <w:rPr>
          <w:rStyle w:val="hps"/>
        </w:rPr>
        <w:t xml:space="preserve"> del mercado.</w:t>
      </w:r>
    </w:p>
    <w:p w:rsidR="00D97243" w:rsidRPr="008E1548" w:rsidRDefault="00D97243" w:rsidP="007B528B">
      <w:r w:rsidRPr="008E1548">
        <w:t xml:space="preserve">Suecia respalda todas las Propuestas Comunes Europeas para el punto 10 del orden del día (véase el Addéndum 25 al Documento 9 de la presente Conferencia), a excepción de la propuesta relativa al punto 1.1 (examinar atribuciones adicionales de espectro al servicio móvil a título primario e identificar bandas de frecuencias adicionales para las telecomunicaciones móviles internacionales, de conformidad con la Resolución [EUR-A25-1] (CMR-15)). Todas las bandas </w:t>
      </w:r>
      <w:r>
        <w:t>que se proponen</w:t>
      </w:r>
      <w:r w:rsidRPr="008E1548">
        <w:t xml:space="preserve"> para estudio, salvo una, se halla</w:t>
      </w:r>
      <w:r>
        <w:t>n</w:t>
      </w:r>
      <w:r w:rsidRPr="008E1548">
        <w:t xml:space="preserve"> por encima de 31 GHz.</w:t>
      </w:r>
    </w:p>
    <w:p w:rsidR="00D97243" w:rsidRPr="008E1548" w:rsidRDefault="00D97243" w:rsidP="007B528B">
      <w:pPr>
        <w:pStyle w:val="Headingb"/>
      </w:pPr>
      <w:r w:rsidRPr="008E1548">
        <w:t>IMT por encima de 6 GHz</w:t>
      </w:r>
    </w:p>
    <w:p w:rsidR="00D97243" w:rsidRPr="008E1548" w:rsidRDefault="00D97243" w:rsidP="007B528B">
      <w:r w:rsidRPr="008E1548">
        <w:t xml:space="preserve">Habida cuenta de que las frecuencias presentan características </w:t>
      </w:r>
      <w:r>
        <w:t>di</w:t>
      </w:r>
      <w:r w:rsidRPr="008E1548">
        <w:t>ferentes en las distintas partes del espectro y que aún existen estudios en curso sobre la aplicación práctica de las IMT por encima de 6</w:t>
      </w:r>
      <w:r>
        <w:t> </w:t>
      </w:r>
      <w:r w:rsidRPr="008E1548">
        <w:t xml:space="preserve">GHz, la propuesta </w:t>
      </w:r>
      <w:r>
        <w:t>presentada por</w:t>
      </w:r>
      <w:r w:rsidRPr="008E1548">
        <w:t xml:space="preserve"> varios miembros </w:t>
      </w:r>
      <w:r>
        <w:t xml:space="preserve">con el fin </w:t>
      </w:r>
      <w:r w:rsidRPr="008E1548">
        <w:t xml:space="preserve">de estudiar únicamente las bandas por encima de 31 GHz puede </w:t>
      </w:r>
      <w:r>
        <w:t>resultar in</w:t>
      </w:r>
      <w:r w:rsidRPr="008E1548">
        <w:t xml:space="preserve">suficiente. </w:t>
      </w:r>
      <w:r>
        <w:t>Es posible que e</w:t>
      </w:r>
      <w:r w:rsidRPr="008E1548">
        <w:t>l estudio de las bandas de frecuencia</w:t>
      </w:r>
      <w:r>
        <w:t>s</w:t>
      </w:r>
      <w:r w:rsidRPr="008E1548">
        <w:t xml:space="preserve"> por encima de 24/31 GHz, en el marco de este </w:t>
      </w:r>
      <w:r>
        <w:t>punto</w:t>
      </w:r>
      <w:r w:rsidRPr="008E1548">
        <w:t xml:space="preserve"> del orden del día, no </w:t>
      </w:r>
      <w:r>
        <w:t>baste</w:t>
      </w:r>
      <w:r w:rsidRPr="008E1548">
        <w:t xml:space="preserve"> para asegurar que la UIT pueda responder de manera oportuna a los requisitos de los usuarios.</w:t>
      </w:r>
    </w:p>
    <w:p w:rsidR="00D97243" w:rsidRPr="008E1548" w:rsidRDefault="00D97243" w:rsidP="007B528B">
      <w:r w:rsidRPr="008E1548">
        <w:lastRenderedPageBreak/>
        <w:t>También cabe señalar que, de acuerdo con diversos estudios, ciertas bandas no son adecuadas para</w:t>
      </w:r>
      <w:r w:rsidR="00A1208C">
        <w:t xml:space="preserve"> </w:t>
      </w:r>
      <w:r w:rsidRPr="008E1548">
        <w:t xml:space="preserve">IMT. Dado que la intención es limitar los estudios </w:t>
      </w:r>
      <w:r>
        <w:t>a un</w:t>
      </w:r>
      <w:r w:rsidRPr="008E1548">
        <w:t>as band</w:t>
      </w:r>
      <w:r>
        <w:t>as de frecuencias específicas (las cuales</w:t>
      </w:r>
      <w:r w:rsidRPr="008E1548">
        <w:t xml:space="preserve"> figuran en el punto del orden del día o en la resolución adjunta al punto del orden del día), se </w:t>
      </w:r>
      <w:r w:rsidR="00A1208C">
        <w:t>corre</w:t>
      </w:r>
      <w:r>
        <w:t xml:space="preserve"> el riesgo de</w:t>
      </w:r>
      <w:r w:rsidRPr="008E1548">
        <w:t xml:space="preserve"> que el espectro disponible no s</w:t>
      </w:r>
      <w:r>
        <w:t>ea</w:t>
      </w:r>
      <w:r w:rsidRPr="008E1548">
        <w:t xml:space="preserve"> suficiente.</w:t>
      </w:r>
    </w:p>
    <w:p w:rsidR="00D97243" w:rsidRPr="008E1548" w:rsidRDefault="00D97243" w:rsidP="007B528B">
      <w:r w:rsidRPr="008E1548">
        <w:t xml:space="preserve">Suecia considera necesario </w:t>
      </w:r>
      <w:r>
        <w:t xml:space="preserve">el </w:t>
      </w:r>
      <w:r w:rsidRPr="008E1548">
        <w:t>estudi</w:t>
      </w:r>
      <w:r>
        <w:t>o de bandas</w:t>
      </w:r>
      <w:r w:rsidRPr="008E1548">
        <w:t xml:space="preserve"> de frecuencias en </w:t>
      </w:r>
      <w:r w:rsidR="00942721">
        <w:t xml:space="preserve">la </w:t>
      </w:r>
      <w:r w:rsidRPr="008E1548">
        <w:t>gama de frecuencias 6</w:t>
      </w:r>
      <w:r w:rsidRPr="008E1548">
        <w:noBreakHyphen/>
        <w:t>20 GHz, así como</w:t>
      </w:r>
      <w:r>
        <w:t xml:space="preserve"> de</w:t>
      </w:r>
      <w:r w:rsidRPr="008E1548">
        <w:t xml:space="preserve"> bandas adicionales en la gama</w:t>
      </w:r>
      <w:r>
        <w:t xml:space="preserve"> </w:t>
      </w:r>
      <w:r w:rsidRPr="008E1548">
        <w:t xml:space="preserve">20-30 GHz. Por otra parte, teniendo en cuenta </w:t>
      </w:r>
      <w:r>
        <w:t xml:space="preserve">distintas </w:t>
      </w:r>
      <w:r w:rsidRPr="008E1548">
        <w:t>propuestas de otros miembros, la adición de bandas de frecuencia</w:t>
      </w:r>
      <w:r>
        <w:t>s</w:t>
      </w:r>
      <w:r w:rsidRPr="008E1548">
        <w:t xml:space="preserve"> adicionales por encima de 31</w:t>
      </w:r>
      <w:r>
        <w:t> </w:t>
      </w:r>
      <w:r w:rsidRPr="008E1548">
        <w:t>GHz podría resultar de utilidad.</w:t>
      </w:r>
    </w:p>
    <w:p w:rsidR="00D97243" w:rsidRPr="008E1548" w:rsidRDefault="00D97243" w:rsidP="007B528B">
      <w:r w:rsidRPr="008E1548">
        <w:t xml:space="preserve">Suecia propone </w:t>
      </w:r>
      <w:r>
        <w:t xml:space="preserve">que </w:t>
      </w:r>
      <w:r w:rsidRPr="008E1548">
        <w:t>la banda de frecuencias adicional que se</w:t>
      </w:r>
      <w:r>
        <w:t xml:space="preserve"> ha de</w:t>
      </w:r>
      <w:r w:rsidRPr="008E1548">
        <w:t xml:space="preserve"> someter a examen </w:t>
      </w:r>
      <w:r>
        <w:t xml:space="preserve">sea seleccionada </w:t>
      </w:r>
      <w:r w:rsidRPr="008E1548">
        <w:t>entre las bandas ya atribuidas al servicio móvil a título primario, con objeto de simplificar los estudios y evitar discusiones sobre nuevas atribuciones.</w:t>
      </w:r>
    </w:p>
    <w:p w:rsidR="00D97243" w:rsidRPr="008E1548" w:rsidRDefault="00D97243" w:rsidP="007B528B">
      <w:r w:rsidRPr="008E1548">
        <w:t>Suecia señala que otros Estados Miembros han presentado propuestas relativas tanto a la parte inferior del espectro (entre 6 y 10 GHz), como a</w:t>
      </w:r>
      <w:r>
        <w:t xml:space="preserve"> </w:t>
      </w:r>
      <w:r w:rsidRPr="008E1548">
        <w:t>l</w:t>
      </w:r>
      <w:r>
        <w:t>a gama</w:t>
      </w:r>
      <w:r w:rsidRPr="008E1548">
        <w:t xml:space="preserve"> 25</w:t>
      </w:r>
      <w:r>
        <w:t>-</w:t>
      </w:r>
      <w:r w:rsidRPr="008E1548">
        <w:t>30 GHz, que podrían ser apoyadas y sometidas a estudio.</w:t>
      </w:r>
    </w:p>
    <w:p w:rsidR="00D97243" w:rsidRPr="008E1548" w:rsidRDefault="00D97243" w:rsidP="007B528B">
      <w:r w:rsidRPr="008E1548">
        <w:t xml:space="preserve">Cabe </w:t>
      </w:r>
      <w:r>
        <w:t>menciona</w:t>
      </w:r>
      <w:r w:rsidRPr="008E1548">
        <w:t>r que se</w:t>
      </w:r>
      <w:r>
        <w:t xml:space="preserve"> propone que las</w:t>
      </w:r>
      <w:r w:rsidRPr="008E1548">
        <w:t xml:space="preserve"> bandas de frecuencia</w:t>
      </w:r>
      <w:r>
        <w:t>s sean examinadas</w:t>
      </w:r>
      <w:r w:rsidRPr="008E1548">
        <w:t xml:space="preserve"> en el marco del proceso preparatorio de la CMR-19. En función del resultado de estos estudios, la CMR-19 habría de decidir qué bandas deben identificarse para las IMT.</w:t>
      </w:r>
    </w:p>
    <w:p w:rsidR="00D97243" w:rsidRPr="008E1548" w:rsidRDefault="00D97243" w:rsidP="007B528B">
      <w:pPr>
        <w:pStyle w:val="Headingb"/>
      </w:pPr>
      <w:r w:rsidRPr="008E1548">
        <w:t>Propuestas</w:t>
      </w:r>
    </w:p>
    <w:p w:rsidR="00D97243" w:rsidRPr="008E1548" w:rsidRDefault="00D97243" w:rsidP="007B528B">
      <w:pPr>
        <w:pStyle w:val="enumlev1"/>
        <w:rPr>
          <w:sz w:val="28"/>
        </w:rPr>
      </w:pPr>
      <w:r w:rsidRPr="008E1548">
        <w:t>–</w:t>
      </w:r>
      <w:r w:rsidRPr="008E1548">
        <w:tab/>
      </w:r>
      <w:r w:rsidRPr="008E1548">
        <w:rPr>
          <w:rStyle w:val="hps"/>
        </w:rPr>
        <w:t>Las gamas de frecuencias</w:t>
      </w:r>
      <w:r w:rsidRPr="008E1548">
        <w:t xml:space="preserve"> </w:t>
      </w:r>
      <w:r w:rsidRPr="008E1548">
        <w:rPr>
          <w:rStyle w:val="hps"/>
        </w:rPr>
        <w:t>propuestas por los</w:t>
      </w:r>
      <w:r w:rsidRPr="008E1548">
        <w:t xml:space="preserve"> </w:t>
      </w:r>
      <w:r w:rsidRPr="008E1548">
        <w:rPr>
          <w:rStyle w:val="hps"/>
        </w:rPr>
        <w:t>grupos regionales</w:t>
      </w:r>
      <w:r w:rsidRPr="008E1548">
        <w:t xml:space="preserve"> </w:t>
      </w:r>
      <w:r w:rsidRPr="008E1548">
        <w:rPr>
          <w:rStyle w:val="hps"/>
        </w:rPr>
        <w:t>deberían incluirse en</w:t>
      </w:r>
      <w:r w:rsidRPr="008E1548">
        <w:t xml:space="preserve"> </w:t>
      </w:r>
      <w:r w:rsidRPr="008E1548">
        <w:rPr>
          <w:rStyle w:val="hps"/>
        </w:rPr>
        <w:t>la lista</w:t>
      </w:r>
      <w:r w:rsidRPr="008E1548">
        <w:t xml:space="preserve"> </w:t>
      </w:r>
      <w:r w:rsidRPr="008E1548">
        <w:rPr>
          <w:rStyle w:val="hps"/>
        </w:rPr>
        <w:t>de bandas de frecuencias</w:t>
      </w:r>
      <w:r w:rsidRPr="008E1548">
        <w:t xml:space="preserve"> que se ha de</w:t>
      </w:r>
      <w:r w:rsidRPr="008E1548">
        <w:rPr>
          <w:rStyle w:val="hps"/>
        </w:rPr>
        <w:t xml:space="preserve"> estudiar en virtud del nuevo</w:t>
      </w:r>
      <w:r w:rsidRPr="008E1548">
        <w:t xml:space="preserve"> </w:t>
      </w:r>
      <w:r w:rsidRPr="008E1548">
        <w:rPr>
          <w:rStyle w:val="hps"/>
        </w:rPr>
        <w:t>punto del orden del día</w:t>
      </w:r>
      <w:r w:rsidRPr="008E1548">
        <w:t xml:space="preserve">. </w:t>
      </w:r>
    </w:p>
    <w:p w:rsidR="00D97243" w:rsidRPr="008E1548" w:rsidRDefault="00D97243" w:rsidP="007B528B">
      <w:pPr>
        <w:pStyle w:val="enumlev1"/>
        <w:rPr>
          <w:sz w:val="28"/>
        </w:rPr>
      </w:pPr>
      <w:r w:rsidRPr="008E1548">
        <w:t>–</w:t>
      </w:r>
      <w:r w:rsidRPr="008E1548">
        <w:tab/>
      </w:r>
      <w:r w:rsidRPr="008E1548">
        <w:rPr>
          <w:rStyle w:val="hps"/>
        </w:rPr>
        <w:t>Otras</w:t>
      </w:r>
      <w:r w:rsidRPr="008E1548">
        <w:t xml:space="preserve"> gama</w:t>
      </w:r>
      <w:r w:rsidRPr="008E1548">
        <w:rPr>
          <w:rStyle w:val="hps"/>
        </w:rPr>
        <w:t>s de frecuencias</w:t>
      </w:r>
      <w:r w:rsidRPr="008E1548">
        <w:t xml:space="preserve">, </w:t>
      </w:r>
      <w:r w:rsidRPr="008E1548">
        <w:rPr>
          <w:rStyle w:val="hps"/>
        </w:rPr>
        <w:t>ya</w:t>
      </w:r>
      <w:r w:rsidRPr="008E1548">
        <w:t xml:space="preserve"> </w:t>
      </w:r>
      <w:r w:rsidRPr="008E1548">
        <w:rPr>
          <w:rStyle w:val="hps"/>
        </w:rPr>
        <w:t>atribuidas al servicio</w:t>
      </w:r>
      <w:r w:rsidRPr="008E1548">
        <w:t xml:space="preserve"> </w:t>
      </w:r>
      <w:r w:rsidRPr="008E1548">
        <w:rPr>
          <w:rStyle w:val="hps"/>
        </w:rPr>
        <w:t>móvil a título</w:t>
      </w:r>
      <w:r w:rsidRPr="008E1548">
        <w:t xml:space="preserve"> </w:t>
      </w:r>
      <w:r w:rsidRPr="008E1548">
        <w:rPr>
          <w:rStyle w:val="hps"/>
        </w:rPr>
        <w:t>primario,</w:t>
      </w:r>
      <w:r w:rsidRPr="008E1548">
        <w:t xml:space="preserve"> </w:t>
      </w:r>
      <w:r w:rsidRPr="008E1548">
        <w:rPr>
          <w:rStyle w:val="hps"/>
        </w:rPr>
        <w:t>con el apoyo de</w:t>
      </w:r>
      <w:r w:rsidRPr="008E1548">
        <w:t xml:space="preserve"> </w:t>
      </w:r>
      <w:r w:rsidRPr="008E1548">
        <w:rPr>
          <w:rStyle w:val="hps"/>
        </w:rPr>
        <w:t>una administración,</w:t>
      </w:r>
      <w:r w:rsidRPr="008E1548">
        <w:t xml:space="preserve"> </w:t>
      </w:r>
      <w:r w:rsidRPr="008E1548">
        <w:rPr>
          <w:rStyle w:val="hps"/>
        </w:rPr>
        <w:t>también deberían incluirse</w:t>
      </w:r>
      <w:r w:rsidRPr="008E1548">
        <w:t xml:space="preserve"> </w:t>
      </w:r>
      <w:r w:rsidRPr="008E1548">
        <w:rPr>
          <w:rStyle w:val="hps"/>
        </w:rPr>
        <w:t>en el</w:t>
      </w:r>
      <w:r w:rsidRPr="008E1548">
        <w:t xml:space="preserve"> </w:t>
      </w:r>
      <w:r w:rsidRPr="008E1548">
        <w:rPr>
          <w:rStyle w:val="hps"/>
        </w:rPr>
        <w:t>ámbito de estudio</w:t>
      </w:r>
      <w:r w:rsidRPr="008E1548">
        <w:t>.</w:t>
      </w:r>
    </w:p>
    <w:p w:rsidR="00D97243" w:rsidRPr="008E1548" w:rsidRDefault="00D97243" w:rsidP="007B528B">
      <w:pPr>
        <w:pStyle w:val="enumlev1"/>
      </w:pPr>
      <w:r w:rsidRPr="008E1548">
        <w:t>–</w:t>
      </w:r>
      <w:r w:rsidRPr="008E1548">
        <w:tab/>
        <w:t>La</w:t>
      </w:r>
      <w:r w:rsidRPr="008E1548">
        <w:rPr>
          <w:rStyle w:val="hps"/>
        </w:rPr>
        <w:t xml:space="preserve">s gamas de frecuencias </w:t>
      </w:r>
      <w:r>
        <w:rPr>
          <w:rStyle w:val="hps"/>
        </w:rPr>
        <w:t>objeto de</w:t>
      </w:r>
      <w:r w:rsidRPr="008E1548">
        <w:t xml:space="preserve"> </w:t>
      </w:r>
      <w:r w:rsidRPr="008E1548">
        <w:rPr>
          <w:rStyle w:val="hps"/>
        </w:rPr>
        <w:t>estudio debe</w:t>
      </w:r>
      <w:r>
        <w:rPr>
          <w:rStyle w:val="hps"/>
        </w:rPr>
        <w:t>ría</w:t>
      </w:r>
      <w:r w:rsidRPr="008E1548">
        <w:rPr>
          <w:rStyle w:val="hps"/>
        </w:rPr>
        <w:t>n comprender una cantidad</w:t>
      </w:r>
      <w:r w:rsidRPr="008E1548">
        <w:t xml:space="preserve"> </w:t>
      </w:r>
      <w:r w:rsidRPr="008E1548">
        <w:rPr>
          <w:rStyle w:val="hps"/>
        </w:rPr>
        <w:t>suficiente de</w:t>
      </w:r>
      <w:r w:rsidRPr="008E1548">
        <w:t xml:space="preserve"> </w:t>
      </w:r>
      <w:r w:rsidRPr="008E1548">
        <w:rPr>
          <w:rStyle w:val="hps"/>
        </w:rPr>
        <w:t>espectro en</w:t>
      </w:r>
      <w:r w:rsidRPr="008E1548">
        <w:t xml:space="preserve"> </w:t>
      </w:r>
      <w:r w:rsidRPr="008E1548">
        <w:rPr>
          <w:rStyle w:val="hps"/>
        </w:rPr>
        <w:t>las</w:t>
      </w:r>
      <w:r w:rsidRPr="008E1548">
        <w:t xml:space="preserve"> gama</w:t>
      </w:r>
      <w:r w:rsidRPr="008E1548">
        <w:rPr>
          <w:rStyle w:val="hps"/>
        </w:rPr>
        <w:t>s de</w:t>
      </w:r>
      <w:r w:rsidRPr="008E1548">
        <w:t xml:space="preserve"> </w:t>
      </w:r>
      <w:r>
        <w:t xml:space="preserve">frecuencias </w:t>
      </w:r>
      <w:r w:rsidRPr="008E1548">
        <w:t xml:space="preserve">6-10 GHz y 10-30 GHz, además de </w:t>
      </w:r>
      <w:r w:rsidRPr="008E1548">
        <w:rPr>
          <w:rStyle w:val="hps"/>
        </w:rPr>
        <w:t>bandas por encima de</w:t>
      </w:r>
      <w:r w:rsidRPr="008E1548">
        <w:t xml:space="preserve"> </w:t>
      </w:r>
      <w:r w:rsidRPr="008E1548">
        <w:rPr>
          <w:rStyle w:val="hps"/>
        </w:rPr>
        <w:t>30</w:t>
      </w:r>
      <w:r w:rsidRPr="008E1548">
        <w:t xml:space="preserve"> </w:t>
      </w:r>
      <w:r w:rsidRPr="008E1548">
        <w:rPr>
          <w:rStyle w:val="hps"/>
        </w:rPr>
        <w:t>GHz</w:t>
      </w:r>
      <w:r w:rsidRPr="008E1548">
        <w:t>.</w:t>
      </w:r>
    </w:p>
    <w:p w:rsidR="00363A65" w:rsidRDefault="00D97243" w:rsidP="007B528B">
      <w:pPr>
        <w:pStyle w:val="enumlev1"/>
      </w:pPr>
      <w:r w:rsidRPr="008E1548">
        <w:t>–</w:t>
      </w:r>
      <w:r w:rsidRPr="008E1548">
        <w:tab/>
        <w:t>Debería</w:t>
      </w:r>
      <w:r w:rsidRPr="008E1548">
        <w:rPr>
          <w:rStyle w:val="hps"/>
        </w:rPr>
        <w:t xml:space="preserve"> incluirse una cantidad de</w:t>
      </w:r>
      <w:r w:rsidRPr="008E1548">
        <w:t xml:space="preserve"> </w:t>
      </w:r>
      <w:r w:rsidRPr="008E1548">
        <w:rPr>
          <w:rStyle w:val="hps"/>
        </w:rPr>
        <w:t>espectro</w:t>
      </w:r>
      <w:r w:rsidRPr="00A95193">
        <w:rPr>
          <w:rStyle w:val="hps"/>
        </w:rPr>
        <w:t xml:space="preserve"> </w:t>
      </w:r>
      <w:r w:rsidRPr="008E1548">
        <w:rPr>
          <w:rStyle w:val="hps"/>
        </w:rPr>
        <w:t>suficiente</w:t>
      </w:r>
      <w:r w:rsidRPr="008E1548">
        <w:t xml:space="preserve"> </w:t>
      </w:r>
      <w:r>
        <w:t>para</w:t>
      </w:r>
      <w:r w:rsidRPr="008E1548">
        <w:rPr>
          <w:rStyle w:val="hps"/>
        </w:rPr>
        <w:t xml:space="preserve"> garantizar</w:t>
      </w:r>
      <w:r w:rsidRPr="008E1548">
        <w:t xml:space="preserve"> </w:t>
      </w:r>
      <w:r w:rsidRPr="008E1548">
        <w:rPr>
          <w:rStyle w:val="hps"/>
        </w:rPr>
        <w:t>que la CMR-</w:t>
      </w:r>
      <w:r w:rsidRPr="008E1548">
        <w:t xml:space="preserve">19 </w:t>
      </w:r>
      <w:r w:rsidRPr="00D97243">
        <w:t>pueda</w:t>
      </w:r>
      <w:r w:rsidRPr="008E1548">
        <w:t xml:space="preserve"> </w:t>
      </w:r>
      <w:r w:rsidRPr="00D97243">
        <w:t>responder a</w:t>
      </w:r>
      <w:r w:rsidRPr="008E1548">
        <w:t xml:space="preserve"> </w:t>
      </w:r>
      <w:r w:rsidRPr="00D97243">
        <w:t>los requisitos pertinentes</w:t>
      </w:r>
      <w:r>
        <w:t>.</w:t>
      </w:r>
    </w:p>
    <w:p w:rsidR="00A1208C" w:rsidRDefault="00A1208C" w:rsidP="007B528B">
      <w:pPr>
        <w:pStyle w:val="Reasons"/>
      </w:pPr>
    </w:p>
    <w:p w:rsidR="007B528B" w:rsidRDefault="007B528B" w:rsidP="0032202E">
      <w:pPr>
        <w:pStyle w:val="Reasons"/>
      </w:pPr>
    </w:p>
    <w:p w:rsidR="007B528B" w:rsidRDefault="007B528B">
      <w:pPr>
        <w:jc w:val="center"/>
      </w:pPr>
      <w:bookmarkStart w:id="5" w:name="_GoBack"/>
      <w:bookmarkEnd w:id="5"/>
      <w:r>
        <w:t>______________</w:t>
      </w:r>
    </w:p>
    <w:sectPr w:rsidR="007B528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1208C" w:rsidRDefault="0077084A">
    <w:pPr>
      <w:ind w:right="360"/>
    </w:pPr>
    <w:r>
      <w:fldChar w:fldCharType="begin"/>
    </w:r>
    <w:r w:rsidRPr="00A1208C">
      <w:instrText xml:space="preserve"> FILENAME \p  \* MERGEFORMAT </w:instrText>
    </w:r>
    <w:r>
      <w:fldChar w:fldCharType="separate"/>
    </w:r>
    <w:r w:rsidR="008914C4">
      <w:rPr>
        <w:noProof/>
      </w:rPr>
      <w:t>P:\ESP\ITU-R\CONF-R\CMR15\000\078ADD02S.docx</w:t>
    </w:r>
    <w:r>
      <w:fldChar w:fldCharType="end"/>
    </w:r>
    <w:r w:rsidRPr="00A1208C">
      <w:tab/>
    </w:r>
    <w:r>
      <w:fldChar w:fldCharType="begin"/>
    </w:r>
    <w:r>
      <w:instrText xml:space="preserve"> SAVEDATE \@ DD.MM.YY </w:instrText>
    </w:r>
    <w:r>
      <w:fldChar w:fldCharType="separate"/>
    </w:r>
    <w:r w:rsidR="008914C4">
      <w:rPr>
        <w:noProof/>
      </w:rPr>
      <w:t>27.10.15</w:t>
    </w:r>
    <w:r>
      <w:fldChar w:fldCharType="end"/>
    </w:r>
    <w:r w:rsidRPr="00A1208C">
      <w:tab/>
    </w:r>
    <w:r>
      <w:fldChar w:fldCharType="begin"/>
    </w:r>
    <w:r>
      <w:instrText xml:space="preserve"> PRINTDATE \@ DD.MM.YY </w:instrText>
    </w:r>
    <w:r>
      <w:fldChar w:fldCharType="separate"/>
    </w:r>
    <w:r w:rsidR="008914C4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43" w:rsidRDefault="00942721" w:rsidP="00D9724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914C4">
      <w:t>P:\ESP\ITU-R\CONF-R\CMR15\000\078ADD02S.docx</w:t>
    </w:r>
    <w:r>
      <w:fldChar w:fldCharType="end"/>
    </w:r>
    <w:r w:rsidR="00D97243">
      <w:t xml:space="preserve"> (388935)</w:t>
    </w:r>
    <w:r w:rsidR="00D97243">
      <w:tab/>
    </w:r>
    <w:r w:rsidR="00D97243">
      <w:fldChar w:fldCharType="begin"/>
    </w:r>
    <w:r w:rsidR="00D97243">
      <w:instrText xml:space="preserve"> SAVEDATE \@ DD.MM.YY </w:instrText>
    </w:r>
    <w:r w:rsidR="00D97243">
      <w:fldChar w:fldCharType="separate"/>
    </w:r>
    <w:r w:rsidR="008914C4">
      <w:t>27.10.15</w:t>
    </w:r>
    <w:r w:rsidR="00D97243">
      <w:fldChar w:fldCharType="end"/>
    </w:r>
    <w:r w:rsidR="00D97243">
      <w:tab/>
    </w:r>
    <w:r w:rsidR="00D97243">
      <w:fldChar w:fldCharType="begin"/>
    </w:r>
    <w:r w:rsidR="00D97243">
      <w:instrText xml:space="preserve"> PRINTDATE \@ DD.MM.YY </w:instrText>
    </w:r>
    <w:r w:rsidR="00D97243">
      <w:fldChar w:fldCharType="separate"/>
    </w:r>
    <w:r w:rsidR="008914C4">
      <w:t>29.10.15</w:t>
    </w:r>
    <w:r w:rsidR="00D9724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43" w:rsidRDefault="00A1208C">
    <w:pPr>
      <w:pStyle w:val="Footer"/>
    </w:pPr>
    <w:fldSimple w:instr=" FILENAME \p  \* MERGEFORMAT ">
      <w:r w:rsidR="008914C4">
        <w:t>P:\ESP\ITU-R\CONF-R\CMR15\000\078ADD02S.docx</w:t>
      </w:r>
    </w:fldSimple>
    <w:r w:rsidR="00D97243">
      <w:t xml:space="preserve"> (388935)</w:t>
    </w:r>
    <w:r w:rsidR="00D97243">
      <w:tab/>
    </w:r>
    <w:r w:rsidR="00D97243">
      <w:fldChar w:fldCharType="begin"/>
    </w:r>
    <w:r w:rsidR="00D97243">
      <w:instrText xml:space="preserve"> SAVEDATE \@ DD.MM.YY </w:instrText>
    </w:r>
    <w:r w:rsidR="00D97243">
      <w:fldChar w:fldCharType="separate"/>
    </w:r>
    <w:r w:rsidR="008914C4">
      <w:t>27.10.15</w:t>
    </w:r>
    <w:r w:rsidR="00D97243">
      <w:fldChar w:fldCharType="end"/>
    </w:r>
    <w:r w:rsidR="00D97243">
      <w:tab/>
    </w:r>
    <w:r w:rsidR="00D97243">
      <w:fldChar w:fldCharType="begin"/>
    </w:r>
    <w:r w:rsidR="00D97243">
      <w:instrText xml:space="preserve"> PRINTDATE \@ DD.MM.YY </w:instrText>
    </w:r>
    <w:r w:rsidR="00D97243">
      <w:fldChar w:fldCharType="separate"/>
    </w:r>
    <w:r w:rsidR="008914C4">
      <w:t>29.10.15</w:t>
    </w:r>
    <w:r w:rsidR="00D9724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272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78(Add.2)-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B528B"/>
    <w:rsid w:val="007C0B95"/>
    <w:rsid w:val="007C2317"/>
    <w:rsid w:val="007D330A"/>
    <w:rsid w:val="00866AE6"/>
    <w:rsid w:val="008750A8"/>
    <w:rsid w:val="008914C4"/>
    <w:rsid w:val="008C25F1"/>
    <w:rsid w:val="008E5AF2"/>
    <w:rsid w:val="0090121B"/>
    <w:rsid w:val="009144C9"/>
    <w:rsid w:val="0094091F"/>
    <w:rsid w:val="00942721"/>
    <w:rsid w:val="00973754"/>
    <w:rsid w:val="009C0BED"/>
    <w:rsid w:val="009E11EC"/>
    <w:rsid w:val="00A118DB"/>
    <w:rsid w:val="00A1208C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97243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70EF22C-CD1A-41DB-833D-E84C040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D97243"/>
    <w:rPr>
      <w:rFonts w:ascii="Times New Roman" w:hAnsi="Times New Roman"/>
      <w:sz w:val="24"/>
      <w:lang w:val="es-ES_tradnl" w:eastAsia="en-US"/>
    </w:rPr>
  </w:style>
  <w:style w:type="character" w:customStyle="1" w:styleId="hps">
    <w:name w:val="hps"/>
    <w:basedOn w:val="DefaultParagraphFont"/>
    <w:rsid w:val="00D9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R15-WRC15-C-0078!A2!MSW-S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4FE5D8-122D-414E-9D21-FFD53E466AF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EF6E3D-5B06-4DC7-8725-50F4991F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729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R15-WRC15-C-0078!A2!MSW-S</vt:lpstr>
    </vt:vector>
  </TitlesOfParts>
  <Manager>Secretaría General - Pool</Manager>
  <Company>Unión Internacional de Telecomunicaciones (UIT)</Company>
  <LinksUpToDate>false</LinksUpToDate>
  <CharactersWithSpaces>4489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R15-WRC15-C-0078!A2!MSW-S</dc:title>
  <dc:subject>Conferencia Mundial de Radiocomunicaciones - 2015</dc:subject>
  <dc:creator>Documents Proposals Manager (DPM)</dc:creator>
  <cp:keywords>DPM_v5.2015.10.230_prod</cp:keywords>
  <dc:description/>
  <cp:lastModifiedBy>Burro, Maria Carmen</cp:lastModifiedBy>
  <cp:revision>5</cp:revision>
  <cp:lastPrinted>2015-10-29T10:17:00Z</cp:lastPrinted>
  <dcterms:created xsi:type="dcterms:W3CDTF">2015-10-27T08:48:00Z</dcterms:created>
  <dcterms:modified xsi:type="dcterms:W3CDTF">2015-10-29T10:57:00Z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