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30077D" w:rsidTr="006F7708">
        <w:trPr>
          <w:cantSplit/>
        </w:trPr>
        <w:tc>
          <w:tcPr>
            <w:tcW w:w="6345" w:type="dxa"/>
          </w:tcPr>
          <w:p w:rsidR="005651C9" w:rsidRPr="0030077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007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0077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0077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0077D">
              <w:rPr>
                <w:rFonts w:ascii="Verdana" w:hAnsi="Verdana"/>
                <w:b/>
                <w:bCs/>
                <w:szCs w:val="22"/>
              </w:rPr>
              <w:t>15)</w:t>
            </w:r>
            <w:r w:rsidRPr="0030077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0077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8" w:type="dxa"/>
          </w:tcPr>
          <w:p w:rsidR="005651C9" w:rsidRPr="0030077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0077D">
              <w:rPr>
                <w:noProof/>
                <w:lang w:val="en-GB" w:eastAsia="zh-CN"/>
              </w:rPr>
              <w:drawing>
                <wp:inline distT="0" distB="0" distL="0" distR="0" wp14:anchorId="7BED3C8E" wp14:editId="57390C4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077D" w:rsidTr="006F770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30077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0077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3007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077D" w:rsidTr="006F770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3007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3007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0077D" w:rsidTr="006F7708">
        <w:trPr>
          <w:cantSplit/>
        </w:trPr>
        <w:tc>
          <w:tcPr>
            <w:tcW w:w="6345" w:type="dxa"/>
            <w:shd w:val="clear" w:color="auto" w:fill="auto"/>
          </w:tcPr>
          <w:p w:rsidR="005651C9" w:rsidRPr="003007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07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30077D" w:rsidRDefault="005A295E" w:rsidP="0000331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07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3007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="0000331B" w:rsidRPr="003007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7</w:t>
            </w:r>
            <w:r w:rsidRPr="003007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8</w:t>
            </w:r>
            <w:r w:rsidR="005651C9" w:rsidRPr="003007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07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077D" w:rsidTr="006F7708">
        <w:trPr>
          <w:cantSplit/>
        </w:trPr>
        <w:tc>
          <w:tcPr>
            <w:tcW w:w="6345" w:type="dxa"/>
            <w:shd w:val="clear" w:color="auto" w:fill="auto"/>
          </w:tcPr>
          <w:p w:rsidR="000F33D8" w:rsidRPr="00300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30077D" w:rsidRDefault="0000331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077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0F33D8" w:rsidRPr="0030077D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30077D" w:rsidTr="006F7708">
        <w:trPr>
          <w:cantSplit/>
        </w:trPr>
        <w:tc>
          <w:tcPr>
            <w:tcW w:w="6345" w:type="dxa"/>
          </w:tcPr>
          <w:p w:rsidR="000F33D8" w:rsidRPr="00300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300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07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0077D" w:rsidTr="006F7708">
        <w:trPr>
          <w:cantSplit/>
        </w:trPr>
        <w:tc>
          <w:tcPr>
            <w:tcW w:w="10173" w:type="dxa"/>
            <w:gridSpan w:val="2"/>
          </w:tcPr>
          <w:p w:rsidR="000F33D8" w:rsidRPr="003007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077D" w:rsidTr="006F7708">
        <w:trPr>
          <w:cantSplit/>
        </w:trPr>
        <w:tc>
          <w:tcPr>
            <w:tcW w:w="10173" w:type="dxa"/>
            <w:gridSpan w:val="2"/>
          </w:tcPr>
          <w:p w:rsidR="000F33D8" w:rsidRPr="0030077D" w:rsidRDefault="0000331B" w:rsidP="006F7708">
            <w:pPr>
              <w:pStyle w:val="Source"/>
              <w:rPr>
                <w:lang w:bidi="ar-EG"/>
              </w:rPr>
            </w:pPr>
            <w:bookmarkStart w:id="4" w:name="dsource" w:colFirst="0" w:colLast="0"/>
            <w:r w:rsidRPr="0030077D">
              <w:t>Швеция</w:t>
            </w:r>
          </w:p>
        </w:tc>
      </w:tr>
      <w:tr w:rsidR="000F33D8" w:rsidRPr="0030077D" w:rsidTr="006F7708">
        <w:trPr>
          <w:cantSplit/>
        </w:trPr>
        <w:tc>
          <w:tcPr>
            <w:tcW w:w="10173" w:type="dxa"/>
            <w:gridSpan w:val="2"/>
          </w:tcPr>
          <w:p w:rsidR="000F33D8" w:rsidRPr="0030077D" w:rsidRDefault="000F33D8" w:rsidP="006F7708">
            <w:pPr>
              <w:pStyle w:val="Title1"/>
            </w:pPr>
            <w:bookmarkStart w:id="5" w:name="dtitle1" w:colFirst="0" w:colLast="0"/>
            <w:bookmarkEnd w:id="4"/>
            <w:r w:rsidRPr="0030077D">
              <w:t>Предложения для работы конференции</w:t>
            </w:r>
          </w:p>
        </w:tc>
      </w:tr>
      <w:tr w:rsidR="000F33D8" w:rsidRPr="0030077D" w:rsidTr="006F7708">
        <w:trPr>
          <w:cantSplit/>
        </w:trPr>
        <w:tc>
          <w:tcPr>
            <w:tcW w:w="10173" w:type="dxa"/>
            <w:gridSpan w:val="2"/>
          </w:tcPr>
          <w:p w:rsidR="000F33D8" w:rsidRPr="0030077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0077D" w:rsidTr="006F7708">
        <w:trPr>
          <w:cantSplit/>
        </w:trPr>
        <w:tc>
          <w:tcPr>
            <w:tcW w:w="10173" w:type="dxa"/>
            <w:gridSpan w:val="2"/>
          </w:tcPr>
          <w:p w:rsidR="000F33D8" w:rsidRPr="0030077D" w:rsidRDefault="000F33D8" w:rsidP="0000331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0077D">
              <w:rPr>
                <w:lang w:val="ru-RU"/>
              </w:rPr>
              <w:t xml:space="preserve">Пункт </w:t>
            </w:r>
            <w:r w:rsidR="0000331B" w:rsidRPr="0030077D">
              <w:rPr>
                <w:lang w:val="ru-RU"/>
              </w:rPr>
              <w:t>10</w:t>
            </w:r>
            <w:r w:rsidRPr="0030077D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BC223D" w:rsidRPr="0030077D" w:rsidRDefault="00BC223D" w:rsidP="00DA2CB6">
      <w:pPr>
        <w:pStyle w:val="Normalaftertitle"/>
        <w:rPr>
          <w:lang w:eastAsia="zh-CN"/>
        </w:rPr>
      </w:pPr>
      <w:r w:rsidRPr="0030077D">
        <w:t>10</w:t>
      </w:r>
      <w:r w:rsidR="0024420D" w:rsidRPr="0030077D">
        <w:tab/>
      </w:r>
      <w:r w:rsidRPr="0030077D">
        <w:rPr>
          <w:lang w:eastAsia="zh-CN"/>
        </w:rPr>
        <w:t xml:space="preserve">рекомендовать Совету пункты для включения в повестку дня следующей </w:t>
      </w:r>
      <w:proofErr w:type="spellStart"/>
      <w:r w:rsidRPr="0030077D">
        <w:rPr>
          <w:lang w:eastAsia="zh-CN"/>
        </w:rPr>
        <w:t>ВКР</w:t>
      </w:r>
      <w:proofErr w:type="spellEnd"/>
      <w:r w:rsidRPr="0030077D">
        <w:rPr>
          <w:lang w:eastAsia="zh-CN"/>
        </w:rPr>
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6F7708" w:rsidRPr="0030077D" w:rsidRDefault="006F7708" w:rsidP="006F7708">
      <w:pPr>
        <w:pStyle w:val="Headingb"/>
        <w:rPr>
          <w:lang w:val="ru-RU"/>
        </w:rPr>
      </w:pPr>
      <w:r w:rsidRPr="0030077D">
        <w:rPr>
          <w:lang w:val="ru-RU"/>
        </w:rPr>
        <w:t>Введение</w:t>
      </w:r>
    </w:p>
    <w:p w:rsidR="00BC223D" w:rsidRPr="0030077D" w:rsidRDefault="00FE42CD" w:rsidP="007D6049">
      <w:bookmarkStart w:id="8" w:name="_Toc286289230"/>
      <w:r w:rsidRPr="0030077D">
        <w:t>Пункт 10 повестки дня</w:t>
      </w:r>
      <w:bookmarkEnd w:id="8"/>
      <w:r w:rsidRPr="0030077D">
        <w:t xml:space="preserve"> </w:t>
      </w:r>
      <w:proofErr w:type="spellStart"/>
      <w:r w:rsidRPr="0030077D">
        <w:t>ВКР</w:t>
      </w:r>
      <w:proofErr w:type="spellEnd"/>
      <w:r w:rsidRPr="0030077D">
        <w:noBreakHyphen/>
        <w:t xml:space="preserve">15 предлагает рекомендовать Совету пункты для включения в повестку дня следующей </w:t>
      </w:r>
      <w:proofErr w:type="spellStart"/>
      <w:r w:rsidRPr="0030077D">
        <w:t>ВКР</w:t>
      </w:r>
      <w:proofErr w:type="spellEnd"/>
      <w:r w:rsidRPr="0030077D">
        <w:t xml:space="preserve"> и представить свои соображения в отношении предварительной повестки дня последующей конференции и в отношении </w:t>
      </w:r>
      <w:proofErr w:type="gramStart"/>
      <w:r w:rsidRPr="0030077D">
        <w:t>возможных пунктов повестк</w:t>
      </w:r>
      <w:r w:rsidR="007D6049">
        <w:t>и</w:t>
      </w:r>
      <w:r w:rsidRPr="0030077D">
        <w:t xml:space="preserve"> дня </w:t>
      </w:r>
      <w:r w:rsidRPr="0030077D">
        <w:rPr>
          <w:rFonts w:asciiTheme="majorBidi" w:eastAsia="TimesNewRoman,Italic-Identity-H" w:hAnsiTheme="majorBidi" w:cstheme="majorBidi"/>
          <w:szCs w:val="22"/>
          <w:lang w:eastAsia="zh-CN"/>
        </w:rPr>
        <w:t>последующей конференции</w:t>
      </w:r>
      <w:proofErr w:type="gramEnd"/>
      <w:r w:rsidRPr="0030077D">
        <w:rPr>
          <w:rFonts w:asciiTheme="majorBidi" w:eastAsia="TimesNewRoman,Italic-Identity-H" w:hAnsiTheme="majorBidi" w:cstheme="majorBidi"/>
          <w:szCs w:val="22"/>
          <w:lang w:eastAsia="zh-CN"/>
        </w:rPr>
        <w:t xml:space="preserve"> и в отношении возможных пунктов повесток дня будущих конференций, </w:t>
      </w:r>
      <w:r w:rsidRPr="0030077D">
        <w:t>принимая во внимание Резолюцию 808 (</w:t>
      </w:r>
      <w:proofErr w:type="spellStart"/>
      <w:r w:rsidRPr="0030077D">
        <w:t>ВКР</w:t>
      </w:r>
      <w:proofErr w:type="spellEnd"/>
      <w:r w:rsidRPr="0030077D">
        <w:t>-12)</w:t>
      </w:r>
      <w:r w:rsidR="00BC223D" w:rsidRPr="0030077D">
        <w:t>.</w:t>
      </w:r>
    </w:p>
    <w:p w:rsidR="00BC223D" w:rsidRPr="0030077D" w:rsidRDefault="001D4017" w:rsidP="00DA2CB6">
      <w:r w:rsidRPr="0030077D">
        <w:t xml:space="preserve">Настоящее предложение согласно пункту </w:t>
      </w:r>
      <w:r w:rsidR="00BC223D" w:rsidRPr="0030077D">
        <w:t xml:space="preserve">10 </w:t>
      </w:r>
      <w:r w:rsidRPr="0030077D">
        <w:t xml:space="preserve">повестки дня предназначено для того, чтобы МСЭ мог своевременно </w:t>
      </w:r>
      <w:r w:rsidR="00A309E1" w:rsidRPr="0030077D">
        <w:t>удовлетворять</w:t>
      </w:r>
      <w:r w:rsidRPr="0030077D">
        <w:t xml:space="preserve"> возникающие потребности в радиосвязи, </w:t>
      </w:r>
      <w:r w:rsidRPr="0030077D">
        <w:rPr>
          <w:color w:val="000000"/>
        </w:rPr>
        <w:t>обеспечивая наличие достаточного спектра</w:t>
      </w:r>
      <w:r w:rsidRPr="0030077D">
        <w:t xml:space="preserve"> для удовлетворения потребностей рынка</w:t>
      </w:r>
      <w:r w:rsidR="00BC223D" w:rsidRPr="0030077D">
        <w:t>.</w:t>
      </w:r>
    </w:p>
    <w:p w:rsidR="00BC223D" w:rsidRPr="0030077D" w:rsidRDefault="006C3B25" w:rsidP="00DA2CB6">
      <w:r w:rsidRPr="0030077D">
        <w:t xml:space="preserve">Швеция поддерживает </w:t>
      </w:r>
      <w:r w:rsidRPr="0030077D">
        <w:rPr>
          <w:color w:val="000000"/>
        </w:rPr>
        <w:t>общее предложение европейских стран</w:t>
      </w:r>
      <w:r w:rsidR="00BC223D" w:rsidRPr="0030077D">
        <w:t xml:space="preserve"> </w:t>
      </w:r>
      <w:r w:rsidRPr="0030077D">
        <w:t xml:space="preserve">по пункту 10 повестки дня </w:t>
      </w:r>
      <w:r w:rsidR="00BC223D" w:rsidRPr="0030077D">
        <w:t>(</w:t>
      </w:r>
      <w:r w:rsidRPr="0030077D">
        <w:t>Дополнительный документ</w:t>
      </w:r>
      <w:r w:rsidR="00BC223D" w:rsidRPr="0030077D">
        <w:t xml:space="preserve"> 25 </w:t>
      </w:r>
      <w:r w:rsidRPr="0030077D">
        <w:t>к Документу</w:t>
      </w:r>
      <w:r w:rsidR="00BC223D" w:rsidRPr="0030077D">
        <w:t xml:space="preserve"> 9 </w:t>
      </w:r>
      <w:r w:rsidRPr="0030077D">
        <w:t>для</w:t>
      </w:r>
      <w:r w:rsidR="00BC223D" w:rsidRPr="0030077D">
        <w:t xml:space="preserve"> </w:t>
      </w:r>
      <w:r w:rsidRPr="0030077D">
        <w:t>настоящей Конференции</w:t>
      </w:r>
      <w:r w:rsidR="00BC223D" w:rsidRPr="0030077D">
        <w:t>)</w:t>
      </w:r>
      <w:r w:rsidRPr="0030077D">
        <w:t xml:space="preserve">, за исключением предложения по пункту 1.1 повестки дня </w:t>
      </w:r>
      <w:r w:rsidR="00BC223D" w:rsidRPr="0030077D">
        <w:t>(</w:t>
      </w:r>
      <w:r w:rsidRPr="0030077D">
        <w:t>рассмотреть дополнительные распределения спектра подвижной службе на первичной основе и определение полос частот для Международной подвижной электросвязи (</w:t>
      </w:r>
      <w:proofErr w:type="spellStart"/>
      <w:r w:rsidRPr="0030077D">
        <w:t>IMT</w:t>
      </w:r>
      <w:proofErr w:type="spellEnd"/>
      <w:r w:rsidRPr="0030077D">
        <w:t xml:space="preserve">), в соответствии с Резолюцией </w:t>
      </w:r>
      <w:r w:rsidR="00BC223D" w:rsidRPr="0030077D">
        <w:t>[</w:t>
      </w:r>
      <w:proofErr w:type="spellStart"/>
      <w:r w:rsidR="00BC223D" w:rsidRPr="0030077D">
        <w:t>EUR</w:t>
      </w:r>
      <w:proofErr w:type="spellEnd"/>
      <w:r w:rsidR="00BC223D" w:rsidRPr="0030077D">
        <w:t>-</w:t>
      </w:r>
      <w:proofErr w:type="spellStart"/>
      <w:r w:rsidR="00BC223D" w:rsidRPr="0030077D">
        <w:t>A25</w:t>
      </w:r>
      <w:proofErr w:type="spellEnd"/>
      <w:r w:rsidR="00BC223D" w:rsidRPr="0030077D">
        <w:t>-1] (</w:t>
      </w:r>
      <w:proofErr w:type="spellStart"/>
      <w:r w:rsidR="00B7793C" w:rsidRPr="0030077D">
        <w:t>ВКР</w:t>
      </w:r>
      <w:proofErr w:type="spellEnd"/>
      <w:r w:rsidR="00BC223D" w:rsidRPr="0030077D">
        <w:t xml:space="preserve">-15)). </w:t>
      </w:r>
      <w:r w:rsidR="0090083B" w:rsidRPr="0030077D">
        <w:t>Предложенные для проведения исследований полосы расположены, за одним исключением,</w:t>
      </w:r>
      <w:r w:rsidR="00BC223D" w:rsidRPr="0030077D">
        <w:t xml:space="preserve"> </w:t>
      </w:r>
      <w:r w:rsidR="0090083B" w:rsidRPr="0030077D">
        <w:t>выше</w:t>
      </w:r>
      <w:r w:rsidR="00BC223D" w:rsidRPr="0030077D">
        <w:t xml:space="preserve"> 31 </w:t>
      </w:r>
      <w:r w:rsidR="0090083B" w:rsidRPr="0030077D">
        <w:t>ГГц</w:t>
      </w:r>
      <w:r w:rsidR="00BC223D" w:rsidRPr="0030077D">
        <w:t>.</w:t>
      </w:r>
    </w:p>
    <w:p w:rsidR="00BC223D" w:rsidRPr="0030077D" w:rsidRDefault="00BC223D" w:rsidP="0090083B">
      <w:pPr>
        <w:pStyle w:val="Headingb"/>
        <w:rPr>
          <w:lang w:val="ru-RU"/>
        </w:rPr>
      </w:pPr>
      <w:proofErr w:type="spellStart"/>
      <w:r w:rsidRPr="0030077D">
        <w:rPr>
          <w:lang w:val="ru-RU"/>
        </w:rPr>
        <w:t>IMT</w:t>
      </w:r>
      <w:proofErr w:type="spellEnd"/>
      <w:r w:rsidRPr="0030077D">
        <w:rPr>
          <w:lang w:val="ru-RU"/>
        </w:rPr>
        <w:t xml:space="preserve"> </w:t>
      </w:r>
      <w:r w:rsidR="0090083B" w:rsidRPr="0030077D">
        <w:rPr>
          <w:lang w:val="ru-RU"/>
        </w:rPr>
        <w:t>выше</w:t>
      </w:r>
      <w:r w:rsidRPr="0030077D">
        <w:rPr>
          <w:lang w:val="ru-RU"/>
        </w:rPr>
        <w:t xml:space="preserve"> 6 </w:t>
      </w:r>
      <w:r w:rsidR="0090083B" w:rsidRPr="0030077D">
        <w:rPr>
          <w:lang w:val="ru-RU"/>
        </w:rPr>
        <w:t>ГГц</w:t>
      </w:r>
    </w:p>
    <w:p w:rsidR="00BC223D" w:rsidRPr="0030077D" w:rsidRDefault="0090083B" w:rsidP="00DA2CB6">
      <w:r w:rsidRPr="0030077D">
        <w:t xml:space="preserve">Принимая во внимание, что частоты на различных участках спектра обладают разными характеристиками, и что все еще ведутся исследования </w:t>
      </w:r>
      <w:r w:rsidR="00A309E1" w:rsidRPr="0030077D">
        <w:t xml:space="preserve">по </w:t>
      </w:r>
      <w:r w:rsidRPr="0030077D">
        <w:t xml:space="preserve">практической реализации </w:t>
      </w:r>
      <w:proofErr w:type="spellStart"/>
      <w:r w:rsidR="00BC223D" w:rsidRPr="0030077D">
        <w:t>IMT</w:t>
      </w:r>
      <w:proofErr w:type="spellEnd"/>
      <w:r w:rsidR="00BC223D" w:rsidRPr="0030077D">
        <w:t xml:space="preserve"> </w:t>
      </w:r>
      <w:r w:rsidRPr="0030077D">
        <w:t>выше</w:t>
      </w:r>
      <w:r w:rsidR="0030077D">
        <w:t xml:space="preserve"> 6</w:t>
      </w:r>
      <w:r w:rsidR="0030077D">
        <w:rPr>
          <w:lang w:val="en-US"/>
        </w:rPr>
        <w:t> </w:t>
      </w:r>
      <w:r w:rsidRPr="0030077D">
        <w:t>ГГц,</w:t>
      </w:r>
      <w:r w:rsidR="00BC223D" w:rsidRPr="0030077D">
        <w:t xml:space="preserve"> </w:t>
      </w:r>
      <w:r w:rsidR="00115CC3" w:rsidRPr="0030077D">
        <w:t xml:space="preserve">предложение от некоторых членов исследовать только полосы выше </w:t>
      </w:r>
      <w:r w:rsidR="00BC223D" w:rsidRPr="0030077D">
        <w:t xml:space="preserve">31 </w:t>
      </w:r>
      <w:r w:rsidR="00115CC3" w:rsidRPr="0030077D">
        <w:t>ГГц</w:t>
      </w:r>
      <w:r w:rsidR="00BC223D" w:rsidRPr="0030077D">
        <w:t xml:space="preserve"> </w:t>
      </w:r>
      <w:r w:rsidR="00115CC3" w:rsidRPr="0030077D">
        <w:t>может оказаться недостаточным</w:t>
      </w:r>
      <w:r w:rsidR="00BC223D" w:rsidRPr="0030077D">
        <w:t xml:space="preserve">. </w:t>
      </w:r>
      <w:r w:rsidR="00115CC3" w:rsidRPr="0030077D">
        <w:t xml:space="preserve">Изучения только полос частот выше </w:t>
      </w:r>
      <w:r w:rsidR="00BC223D" w:rsidRPr="0030077D">
        <w:t xml:space="preserve">24/31 </w:t>
      </w:r>
      <w:r w:rsidR="00115CC3" w:rsidRPr="0030077D">
        <w:t>ГГц</w:t>
      </w:r>
      <w:r w:rsidR="00BC223D" w:rsidRPr="0030077D">
        <w:t xml:space="preserve"> </w:t>
      </w:r>
      <w:r w:rsidR="00115CC3" w:rsidRPr="0030077D">
        <w:t>в рамках настоящего пункта повестки дня</w:t>
      </w:r>
      <w:r w:rsidR="00BC223D" w:rsidRPr="0030077D">
        <w:t xml:space="preserve"> </w:t>
      </w:r>
      <w:r w:rsidR="00115CC3" w:rsidRPr="0030077D">
        <w:t xml:space="preserve">может оказаться недостаточно, чтобы МСЭ мог своевременно </w:t>
      </w:r>
      <w:r w:rsidR="00A309E1" w:rsidRPr="0030077D">
        <w:t>удовлетворять</w:t>
      </w:r>
      <w:r w:rsidR="00115CC3" w:rsidRPr="0030077D">
        <w:t xml:space="preserve"> потребности пользователей</w:t>
      </w:r>
      <w:r w:rsidR="00BC223D" w:rsidRPr="0030077D">
        <w:t>.</w:t>
      </w:r>
    </w:p>
    <w:p w:rsidR="00BC223D" w:rsidRPr="0030077D" w:rsidRDefault="00115CC3" w:rsidP="00DA2CB6">
      <w:r w:rsidRPr="0030077D">
        <w:t xml:space="preserve">Следует также отметить, что эти исследования могут показать непригодность конкретных полос для </w:t>
      </w:r>
      <w:proofErr w:type="spellStart"/>
      <w:r w:rsidR="00BC223D" w:rsidRPr="0030077D">
        <w:t>IMT</w:t>
      </w:r>
      <w:proofErr w:type="spellEnd"/>
      <w:r w:rsidR="00BC223D" w:rsidRPr="0030077D">
        <w:t xml:space="preserve">. </w:t>
      </w:r>
      <w:r w:rsidRPr="0030077D">
        <w:t xml:space="preserve">Поскольку цель состоит в ограничении исследований конкретными полосами частот </w:t>
      </w:r>
      <w:r w:rsidR="00BC223D" w:rsidRPr="0030077D">
        <w:lastRenderedPageBreak/>
        <w:t>(</w:t>
      </w:r>
      <w:r w:rsidR="004907D1" w:rsidRPr="0030077D">
        <w:t>перечисленными в пункте повестки дня или в Резолюции, связанной с этим пунктом повестки дня</w:t>
      </w:r>
      <w:r w:rsidR="00BC223D" w:rsidRPr="0030077D">
        <w:t xml:space="preserve">) </w:t>
      </w:r>
      <w:r w:rsidR="004907D1" w:rsidRPr="0030077D">
        <w:t>в результате может оказаться, что доступного спектра недостаточно</w:t>
      </w:r>
      <w:r w:rsidR="00BC223D" w:rsidRPr="0030077D">
        <w:t>.</w:t>
      </w:r>
    </w:p>
    <w:p w:rsidR="00BC223D" w:rsidRPr="0030077D" w:rsidRDefault="004907D1" w:rsidP="00DA2CB6">
      <w:r w:rsidRPr="0030077D">
        <w:t xml:space="preserve">Швеция считает, что существует необходимость в исследовании также полосы частот в диапазоне частот </w:t>
      </w:r>
      <w:r w:rsidR="00B7793C" w:rsidRPr="0030077D">
        <w:t>6−</w:t>
      </w:r>
      <w:r w:rsidR="00BC223D" w:rsidRPr="0030077D">
        <w:t>20 </w:t>
      </w:r>
      <w:r w:rsidRPr="0030077D">
        <w:t>ГГц</w:t>
      </w:r>
      <w:r w:rsidR="00BC223D" w:rsidRPr="0030077D">
        <w:t xml:space="preserve"> </w:t>
      </w:r>
      <w:r w:rsidRPr="0030077D">
        <w:t xml:space="preserve">и дополнительных полос в диапазоне частот </w:t>
      </w:r>
      <w:r w:rsidR="00B7793C" w:rsidRPr="0030077D">
        <w:t>20−</w:t>
      </w:r>
      <w:r w:rsidR="00BC223D" w:rsidRPr="0030077D">
        <w:t xml:space="preserve">30 </w:t>
      </w:r>
      <w:r w:rsidRPr="0030077D">
        <w:t>ГГц</w:t>
      </w:r>
      <w:r w:rsidR="00BC223D" w:rsidRPr="0030077D">
        <w:t xml:space="preserve">. </w:t>
      </w:r>
      <w:r w:rsidRPr="0030077D">
        <w:t>Кроме того,</w:t>
      </w:r>
      <w:r w:rsidR="00BC223D" w:rsidRPr="0030077D">
        <w:t xml:space="preserve"> </w:t>
      </w:r>
      <w:r w:rsidRPr="0030077D">
        <w:t>принимая во внимание предложения от других членов,</w:t>
      </w:r>
      <w:r w:rsidR="00BC223D" w:rsidRPr="0030077D">
        <w:t xml:space="preserve"> </w:t>
      </w:r>
      <w:r w:rsidRPr="0030077D">
        <w:t>может оказаться полезным добавить дополнительные полосы частот выше</w:t>
      </w:r>
      <w:r w:rsidR="00BC223D" w:rsidRPr="0030077D">
        <w:t xml:space="preserve"> 31 </w:t>
      </w:r>
      <w:r w:rsidRPr="0030077D">
        <w:t>ГГц</w:t>
      </w:r>
      <w:r w:rsidR="00BC223D" w:rsidRPr="0030077D">
        <w:t>.</w:t>
      </w:r>
    </w:p>
    <w:p w:rsidR="00BC223D" w:rsidRPr="0030077D" w:rsidRDefault="004907D1" w:rsidP="00DA2CB6">
      <w:r w:rsidRPr="0030077D">
        <w:t>Швеция предлагает</w:t>
      </w:r>
      <w:r w:rsidR="00BC223D" w:rsidRPr="0030077D">
        <w:t xml:space="preserve"> </w:t>
      </w:r>
      <w:r w:rsidR="00C5004B" w:rsidRPr="0030077D">
        <w:t>выбрать для исследования дополнительную полосу частот из полос, уже распределенных подвижной службе на первичной основе с целью упростить эти исследования и избежать обсуждения новых распределений</w:t>
      </w:r>
      <w:r w:rsidR="00BC223D" w:rsidRPr="0030077D">
        <w:t>.</w:t>
      </w:r>
    </w:p>
    <w:p w:rsidR="00BC223D" w:rsidRPr="0030077D" w:rsidRDefault="00C5004B" w:rsidP="00DA2CB6">
      <w:r w:rsidRPr="0030077D">
        <w:t>Швеция отмечает, что имеются предложения от других Государств-</w:t>
      </w:r>
      <w:r w:rsidR="007D6049" w:rsidRPr="0030077D">
        <w:t xml:space="preserve">Членов </w:t>
      </w:r>
      <w:r w:rsidRPr="0030077D">
        <w:t xml:space="preserve">как для более низких участков спектра </w:t>
      </w:r>
      <w:r w:rsidR="00BC223D" w:rsidRPr="0030077D">
        <w:t>(</w:t>
      </w:r>
      <w:r w:rsidRPr="0030077D">
        <w:t>между</w:t>
      </w:r>
      <w:r w:rsidR="00BC223D" w:rsidRPr="0030077D">
        <w:t xml:space="preserve"> 6 </w:t>
      </w:r>
      <w:r w:rsidRPr="0030077D">
        <w:t>и</w:t>
      </w:r>
      <w:r w:rsidR="00BC223D" w:rsidRPr="0030077D">
        <w:t xml:space="preserve"> 10 </w:t>
      </w:r>
      <w:r w:rsidRPr="0030077D">
        <w:t>ГГц</w:t>
      </w:r>
      <w:r w:rsidR="00BC223D" w:rsidRPr="0030077D">
        <w:t>)</w:t>
      </w:r>
      <w:bookmarkStart w:id="9" w:name="_GoBack"/>
      <w:bookmarkEnd w:id="9"/>
      <w:r w:rsidRPr="0030077D">
        <w:t>, так и между</w:t>
      </w:r>
      <w:r w:rsidR="00BC223D" w:rsidRPr="0030077D">
        <w:t xml:space="preserve"> 25 </w:t>
      </w:r>
      <w:r w:rsidRPr="0030077D">
        <w:t>и</w:t>
      </w:r>
      <w:r w:rsidR="00BC223D" w:rsidRPr="0030077D">
        <w:t xml:space="preserve"> 30 </w:t>
      </w:r>
      <w:r w:rsidRPr="0030077D">
        <w:t>ГГц, которые</w:t>
      </w:r>
      <w:r w:rsidR="00BC223D" w:rsidRPr="0030077D">
        <w:t xml:space="preserve"> </w:t>
      </w:r>
      <w:r w:rsidRPr="0030077D">
        <w:t>можно было бы поддержать в целях исследований</w:t>
      </w:r>
      <w:r w:rsidR="00BC223D" w:rsidRPr="0030077D">
        <w:t>.</w:t>
      </w:r>
    </w:p>
    <w:p w:rsidR="00BC223D" w:rsidRPr="0030077D" w:rsidRDefault="00C5004B" w:rsidP="00DA2CB6">
      <w:r w:rsidRPr="0030077D">
        <w:t>Следует отметить, что эти полосы частот предложено исследовать в ходе подготовительного процесса к</w:t>
      </w:r>
      <w:r w:rsidR="00BC223D" w:rsidRPr="0030077D">
        <w:t xml:space="preserve"> </w:t>
      </w:r>
      <w:proofErr w:type="spellStart"/>
      <w:r w:rsidRPr="0030077D">
        <w:t>ВКР</w:t>
      </w:r>
      <w:proofErr w:type="spellEnd"/>
      <w:r w:rsidR="00BC223D" w:rsidRPr="0030077D">
        <w:t xml:space="preserve">-19. </w:t>
      </w:r>
      <w:r w:rsidRPr="0030077D">
        <w:t xml:space="preserve">Основываясь на результатах этих исследований, </w:t>
      </w:r>
      <w:proofErr w:type="spellStart"/>
      <w:r w:rsidRPr="0030077D">
        <w:t>ВКР</w:t>
      </w:r>
      <w:proofErr w:type="spellEnd"/>
      <w:r w:rsidR="00BC223D" w:rsidRPr="0030077D">
        <w:t xml:space="preserve">-19 </w:t>
      </w:r>
      <w:r w:rsidRPr="0030077D">
        <w:t>примет р</w:t>
      </w:r>
      <w:r w:rsidR="001400FA" w:rsidRPr="0030077D">
        <w:t xml:space="preserve">ешение, какие полосы следует определить для </w:t>
      </w:r>
      <w:proofErr w:type="spellStart"/>
      <w:r w:rsidR="00BC223D" w:rsidRPr="0030077D">
        <w:t>IMT</w:t>
      </w:r>
      <w:proofErr w:type="spellEnd"/>
      <w:r w:rsidR="00BC223D" w:rsidRPr="0030077D">
        <w:t>.</w:t>
      </w:r>
    </w:p>
    <w:p w:rsidR="00BC223D" w:rsidRPr="0030077D" w:rsidRDefault="001400FA" w:rsidP="00BC223D">
      <w:pPr>
        <w:pStyle w:val="Headingb"/>
        <w:rPr>
          <w:lang w:val="ru-RU"/>
        </w:rPr>
      </w:pPr>
      <w:r w:rsidRPr="0030077D">
        <w:rPr>
          <w:lang w:val="ru-RU"/>
        </w:rPr>
        <w:t>Предложения</w:t>
      </w:r>
    </w:p>
    <w:p w:rsidR="00BC223D" w:rsidRPr="0030077D" w:rsidRDefault="00BC223D" w:rsidP="00DA2CB6">
      <w:pPr>
        <w:pStyle w:val="enumlev1"/>
      </w:pPr>
      <w:r w:rsidRPr="0030077D">
        <w:t>–</w:t>
      </w:r>
      <w:r w:rsidRPr="0030077D">
        <w:tab/>
      </w:r>
      <w:r w:rsidR="001400FA" w:rsidRPr="0030077D">
        <w:t>Полосы частот, предложенные региональными группами, следует включить в список полос частот для исследования в рамках нового пункта повестки дня</w:t>
      </w:r>
      <w:r w:rsidRPr="0030077D">
        <w:t>.</w:t>
      </w:r>
    </w:p>
    <w:p w:rsidR="00BC223D" w:rsidRPr="0030077D" w:rsidRDefault="00BC223D" w:rsidP="00DA2CB6">
      <w:pPr>
        <w:pStyle w:val="enumlev1"/>
      </w:pPr>
      <w:r w:rsidRPr="0030077D">
        <w:t>–</w:t>
      </w:r>
      <w:r w:rsidRPr="0030077D">
        <w:tab/>
      </w:r>
      <w:r w:rsidR="001400FA" w:rsidRPr="0030077D">
        <w:t>Другие полосы частот, уже распределенные подвижной службе на первичной основе, поддержанные какой-либо администрацией, тоже следует включить в сферу данного исследования.</w:t>
      </w:r>
    </w:p>
    <w:p w:rsidR="00BC223D" w:rsidRPr="0030077D" w:rsidRDefault="00BC223D" w:rsidP="00DA2CB6">
      <w:pPr>
        <w:pStyle w:val="enumlev1"/>
      </w:pPr>
      <w:r w:rsidRPr="0030077D">
        <w:t>–</w:t>
      </w:r>
      <w:r w:rsidRPr="0030077D">
        <w:tab/>
      </w:r>
      <w:r w:rsidR="001400FA" w:rsidRPr="0030077D">
        <w:t xml:space="preserve">Диапазоны частот для исследования должны включать достаточный объем спектра в </w:t>
      </w:r>
      <w:r w:rsidR="00DA2CB6" w:rsidRPr="0030077D">
        <w:t>полосах</w:t>
      </w:r>
      <w:r w:rsidR="001400FA" w:rsidRPr="0030077D">
        <w:t xml:space="preserve"> </w:t>
      </w:r>
      <w:r w:rsidR="00B7793C" w:rsidRPr="0030077D">
        <w:t>6−</w:t>
      </w:r>
      <w:r w:rsidRPr="0030077D">
        <w:t xml:space="preserve">10 </w:t>
      </w:r>
      <w:r w:rsidR="001400FA" w:rsidRPr="0030077D">
        <w:t>ГГц</w:t>
      </w:r>
      <w:r w:rsidRPr="0030077D">
        <w:t xml:space="preserve"> </w:t>
      </w:r>
      <w:r w:rsidR="001400FA" w:rsidRPr="0030077D">
        <w:t>и</w:t>
      </w:r>
      <w:r w:rsidR="00B7793C" w:rsidRPr="0030077D">
        <w:t xml:space="preserve"> 10−</w:t>
      </w:r>
      <w:r w:rsidRPr="0030077D">
        <w:t xml:space="preserve">30 </w:t>
      </w:r>
      <w:r w:rsidR="001400FA" w:rsidRPr="0030077D">
        <w:t xml:space="preserve">ГГц дополнительно к </w:t>
      </w:r>
      <w:r w:rsidR="00DA2CB6" w:rsidRPr="0030077D">
        <w:t>диапазону</w:t>
      </w:r>
      <w:r w:rsidR="001400FA" w:rsidRPr="0030077D">
        <w:t xml:space="preserve"> выше</w:t>
      </w:r>
      <w:r w:rsidRPr="0030077D">
        <w:t xml:space="preserve"> 30 </w:t>
      </w:r>
      <w:r w:rsidR="00A309E1" w:rsidRPr="0030077D">
        <w:t>ГГц</w:t>
      </w:r>
      <w:r w:rsidRPr="0030077D">
        <w:t>.</w:t>
      </w:r>
    </w:p>
    <w:p w:rsidR="00BC223D" w:rsidRPr="0030077D" w:rsidRDefault="00BC223D" w:rsidP="00DA2CB6">
      <w:pPr>
        <w:pStyle w:val="enumlev1"/>
      </w:pPr>
      <w:r w:rsidRPr="0030077D">
        <w:t>–</w:t>
      </w:r>
      <w:r w:rsidRPr="0030077D">
        <w:tab/>
      </w:r>
      <w:r w:rsidR="00A309E1" w:rsidRPr="0030077D">
        <w:t xml:space="preserve">Следует включить достаточный объем спектра, с целью обеспечить, чтобы </w:t>
      </w:r>
      <w:proofErr w:type="spellStart"/>
      <w:r w:rsidR="00A309E1" w:rsidRPr="0030077D">
        <w:t>ВКР</w:t>
      </w:r>
      <w:proofErr w:type="spellEnd"/>
      <w:r w:rsidRPr="0030077D">
        <w:t xml:space="preserve">-19 </w:t>
      </w:r>
      <w:r w:rsidR="00A309E1" w:rsidRPr="0030077D">
        <w:t>могла иметь возможности для удовлетворения потребностей</w:t>
      </w:r>
      <w:r w:rsidRPr="0030077D">
        <w:t>.</w:t>
      </w:r>
    </w:p>
    <w:p w:rsidR="00BC223D" w:rsidRPr="0030077D" w:rsidRDefault="00BC223D" w:rsidP="00BC223D">
      <w:pPr>
        <w:pStyle w:val="Reasons"/>
      </w:pPr>
    </w:p>
    <w:p w:rsidR="00BC223D" w:rsidRPr="0030077D" w:rsidRDefault="00BC223D" w:rsidP="00BC223D">
      <w:pPr>
        <w:jc w:val="center"/>
      </w:pPr>
      <w:r w:rsidRPr="0030077D">
        <w:t>______________</w:t>
      </w:r>
    </w:p>
    <w:sectPr w:rsidR="00BC223D" w:rsidRPr="0030077D" w:rsidSect="00BC223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57074" w:rsidRDefault="00567276">
    <w:pPr>
      <w:ind w:right="360"/>
      <w:rPr>
        <w:lang w:val="en-GB"/>
      </w:rPr>
    </w:pPr>
    <w:r>
      <w:fldChar w:fldCharType="begin"/>
    </w:r>
    <w:r w:rsidRPr="00A57074">
      <w:rPr>
        <w:lang w:val="en-GB"/>
      </w:rPr>
      <w:instrText xml:space="preserve"> FILENAME \p  \* MERGEFORMAT </w:instrText>
    </w:r>
    <w:r>
      <w:fldChar w:fldCharType="separate"/>
    </w:r>
    <w:r w:rsidR="00A57074" w:rsidRPr="00A57074">
      <w:rPr>
        <w:noProof/>
        <w:lang w:val="en-GB"/>
      </w:rPr>
      <w:t>P:\RUS\ITU-R\CONF-R\CMR15\000\078ADD02R.docx</w:t>
    </w:r>
    <w:r>
      <w:fldChar w:fldCharType="end"/>
    </w:r>
    <w:r w:rsidRPr="00A5707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7074">
      <w:rPr>
        <w:noProof/>
      </w:rPr>
      <w:t>29.10.15</w:t>
    </w:r>
    <w:r>
      <w:fldChar w:fldCharType="end"/>
    </w:r>
    <w:r w:rsidRPr="00A5707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07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9" w:rsidRPr="007D6049" w:rsidRDefault="007D6049" w:rsidP="007D6049">
    <w:pPr>
      <w:pStyle w:val="Footer"/>
    </w:pPr>
    <w:r>
      <w:fldChar w:fldCharType="begin"/>
    </w:r>
    <w:r w:rsidRPr="007D6049">
      <w:instrText xml:space="preserve"> FILENAME \p  \* MERGEFORMAT </w:instrText>
    </w:r>
    <w:r>
      <w:fldChar w:fldCharType="separate"/>
    </w:r>
    <w:r w:rsidR="00A57074">
      <w:t>P:\RUS\ITU-R\CONF-R\CMR15\000\078ADD02R.docx</w:t>
    </w:r>
    <w:r>
      <w:fldChar w:fldCharType="end"/>
    </w:r>
    <w:r w:rsidRPr="007D6049">
      <w:t xml:space="preserve"> (388935)</w:t>
    </w:r>
    <w:r w:rsidRPr="007D6049">
      <w:tab/>
    </w:r>
    <w:r>
      <w:fldChar w:fldCharType="begin"/>
    </w:r>
    <w:r>
      <w:instrText xml:space="preserve"> SAVEDATE \@ DD.MM.YY </w:instrText>
    </w:r>
    <w:r>
      <w:fldChar w:fldCharType="separate"/>
    </w:r>
    <w:r w:rsidR="00A57074">
      <w:t>29.10.15</w:t>
    </w:r>
    <w:r>
      <w:fldChar w:fldCharType="end"/>
    </w:r>
    <w:r w:rsidRPr="007D6049">
      <w:tab/>
    </w:r>
    <w:r>
      <w:fldChar w:fldCharType="begin"/>
    </w:r>
    <w:r>
      <w:instrText xml:space="preserve"> PRINTDATE \@ DD.MM.YY </w:instrText>
    </w:r>
    <w:r>
      <w:fldChar w:fldCharType="separate"/>
    </w:r>
    <w:r w:rsidR="00A5707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D6049" w:rsidRDefault="00567276" w:rsidP="00DE2EBA">
    <w:pPr>
      <w:pStyle w:val="Footer"/>
    </w:pPr>
    <w:r>
      <w:fldChar w:fldCharType="begin"/>
    </w:r>
    <w:r w:rsidRPr="007D6049">
      <w:instrText xml:space="preserve"> FILENAME \p  \* MERGEFORMAT </w:instrText>
    </w:r>
    <w:r>
      <w:fldChar w:fldCharType="separate"/>
    </w:r>
    <w:r w:rsidR="00A57074">
      <w:t>P:\RUS\ITU-R\CONF-R\CMR15\000\078ADD02R.docx</w:t>
    </w:r>
    <w:r>
      <w:fldChar w:fldCharType="end"/>
    </w:r>
    <w:r w:rsidR="007D6049" w:rsidRPr="007D6049">
      <w:t xml:space="preserve"> (388935)</w:t>
    </w:r>
    <w:r w:rsidRPr="007D6049">
      <w:tab/>
    </w:r>
    <w:r>
      <w:fldChar w:fldCharType="begin"/>
    </w:r>
    <w:r>
      <w:instrText xml:space="preserve"> SAVEDATE \@ DD.MM.YY </w:instrText>
    </w:r>
    <w:r>
      <w:fldChar w:fldCharType="separate"/>
    </w:r>
    <w:r w:rsidR="00A57074">
      <w:t>29.10.15</w:t>
    </w:r>
    <w:r>
      <w:fldChar w:fldCharType="end"/>
    </w:r>
    <w:r w:rsidRPr="007D6049">
      <w:tab/>
    </w:r>
    <w:r>
      <w:fldChar w:fldCharType="begin"/>
    </w:r>
    <w:r>
      <w:instrText xml:space="preserve"> PRINTDATE \@ DD.MM.YY </w:instrText>
    </w:r>
    <w:r>
      <w:fldChar w:fldCharType="separate"/>
    </w:r>
    <w:r w:rsidR="00A5707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7074">
      <w:rPr>
        <w:noProof/>
      </w:rPr>
      <w:t>2</w:t>
    </w:r>
    <w:r>
      <w:fldChar w:fldCharType="end"/>
    </w:r>
  </w:p>
  <w:p w:rsidR="00567276" w:rsidRDefault="00567276" w:rsidP="00BC223D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BC223D">
      <w:rPr>
        <w:lang w:val="ru-RU"/>
      </w:rPr>
      <w:t>7</w:t>
    </w:r>
    <w:r w:rsidR="00F761D2">
      <w:t>8(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A754CF6"/>
    <w:multiLevelType w:val="hybridMultilevel"/>
    <w:tmpl w:val="5D5860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31B"/>
    <w:rsid w:val="000260F1"/>
    <w:rsid w:val="0003535B"/>
    <w:rsid w:val="000A0EF3"/>
    <w:rsid w:val="000F33D8"/>
    <w:rsid w:val="000F39B4"/>
    <w:rsid w:val="00113D0B"/>
    <w:rsid w:val="00115CC3"/>
    <w:rsid w:val="001226EC"/>
    <w:rsid w:val="00123B68"/>
    <w:rsid w:val="00124C09"/>
    <w:rsid w:val="00126F2E"/>
    <w:rsid w:val="001400FA"/>
    <w:rsid w:val="001521AE"/>
    <w:rsid w:val="001A5585"/>
    <w:rsid w:val="001D4017"/>
    <w:rsid w:val="001E5FB4"/>
    <w:rsid w:val="00202CA0"/>
    <w:rsid w:val="00230582"/>
    <w:rsid w:val="0024420D"/>
    <w:rsid w:val="002449AA"/>
    <w:rsid w:val="00245A1F"/>
    <w:rsid w:val="00290C74"/>
    <w:rsid w:val="002A2D3F"/>
    <w:rsid w:val="002A6017"/>
    <w:rsid w:val="0030077D"/>
    <w:rsid w:val="00300F84"/>
    <w:rsid w:val="00344EB8"/>
    <w:rsid w:val="00346BEC"/>
    <w:rsid w:val="003C583C"/>
    <w:rsid w:val="003F0078"/>
    <w:rsid w:val="00434A7C"/>
    <w:rsid w:val="0045143A"/>
    <w:rsid w:val="004907D1"/>
    <w:rsid w:val="004A58F4"/>
    <w:rsid w:val="004B716F"/>
    <w:rsid w:val="004C47ED"/>
    <w:rsid w:val="004E58E6"/>
    <w:rsid w:val="004F3B0D"/>
    <w:rsid w:val="0051315E"/>
    <w:rsid w:val="00514E1F"/>
    <w:rsid w:val="005305D5"/>
    <w:rsid w:val="00540D1E"/>
    <w:rsid w:val="005651C9"/>
    <w:rsid w:val="00567276"/>
    <w:rsid w:val="005755E2"/>
    <w:rsid w:val="0059096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65B8"/>
    <w:rsid w:val="00657DE0"/>
    <w:rsid w:val="00692C06"/>
    <w:rsid w:val="006A6E9B"/>
    <w:rsid w:val="006B0541"/>
    <w:rsid w:val="006C3B25"/>
    <w:rsid w:val="006F7708"/>
    <w:rsid w:val="00763F4F"/>
    <w:rsid w:val="00775720"/>
    <w:rsid w:val="007917AE"/>
    <w:rsid w:val="007A08B5"/>
    <w:rsid w:val="007D6049"/>
    <w:rsid w:val="00811633"/>
    <w:rsid w:val="00812452"/>
    <w:rsid w:val="00815749"/>
    <w:rsid w:val="00872FC8"/>
    <w:rsid w:val="008B43F2"/>
    <w:rsid w:val="008C3257"/>
    <w:rsid w:val="008E26C2"/>
    <w:rsid w:val="0090083B"/>
    <w:rsid w:val="009119CC"/>
    <w:rsid w:val="00917C0A"/>
    <w:rsid w:val="00941A02"/>
    <w:rsid w:val="00982BCC"/>
    <w:rsid w:val="009B5CC2"/>
    <w:rsid w:val="009E5FC8"/>
    <w:rsid w:val="00A117A3"/>
    <w:rsid w:val="00A138D0"/>
    <w:rsid w:val="00A141AF"/>
    <w:rsid w:val="00A2044F"/>
    <w:rsid w:val="00A309E1"/>
    <w:rsid w:val="00A4600A"/>
    <w:rsid w:val="00A57074"/>
    <w:rsid w:val="00A57C04"/>
    <w:rsid w:val="00A61057"/>
    <w:rsid w:val="00A710E7"/>
    <w:rsid w:val="00A81026"/>
    <w:rsid w:val="00A97EC0"/>
    <w:rsid w:val="00AC66E6"/>
    <w:rsid w:val="00B468A6"/>
    <w:rsid w:val="00B75113"/>
    <w:rsid w:val="00B7793C"/>
    <w:rsid w:val="00BA13A4"/>
    <w:rsid w:val="00BA1AA1"/>
    <w:rsid w:val="00BA35DC"/>
    <w:rsid w:val="00BC223D"/>
    <w:rsid w:val="00BC5313"/>
    <w:rsid w:val="00C20466"/>
    <w:rsid w:val="00C266F4"/>
    <w:rsid w:val="00C324A8"/>
    <w:rsid w:val="00C5004B"/>
    <w:rsid w:val="00C56E7A"/>
    <w:rsid w:val="00C779CE"/>
    <w:rsid w:val="00CC47C6"/>
    <w:rsid w:val="00CC4DE6"/>
    <w:rsid w:val="00CE5E47"/>
    <w:rsid w:val="00CF020F"/>
    <w:rsid w:val="00D53715"/>
    <w:rsid w:val="00DA2CB6"/>
    <w:rsid w:val="00DE2EBA"/>
    <w:rsid w:val="00E2253F"/>
    <w:rsid w:val="00E43E99"/>
    <w:rsid w:val="00E5155F"/>
    <w:rsid w:val="00E52072"/>
    <w:rsid w:val="00E5385D"/>
    <w:rsid w:val="00E65919"/>
    <w:rsid w:val="00E976C1"/>
    <w:rsid w:val="00F21A03"/>
    <w:rsid w:val="00F65C19"/>
    <w:rsid w:val="00F761D2"/>
    <w:rsid w:val="00F97203"/>
    <w:rsid w:val="00FB297C"/>
    <w:rsid w:val="00FC63FD"/>
    <w:rsid w:val="00FD18DB"/>
    <w:rsid w:val="00FD51E3"/>
    <w:rsid w:val="00FE30D8"/>
    <w:rsid w:val="00FE344F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ABABA45-DB0C-445F-9932-D94E016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0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R15-WRC15-C-0058!A23-A1-A2!MSW-R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931D63-6AE3-4B3D-B449-539CA682FA50}">
  <ds:schemaRefs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535</Words>
  <Characters>3543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R15-WRC15-C-0058!A23-A1-A2!MSW-R</vt:lpstr>
    </vt:vector>
  </TitlesOfParts>
  <Manager>General Secretariat - Pool</Manager>
  <Company>International Telecommunication Union (ITU)</Company>
  <LinksUpToDate>false</LinksUpToDate>
  <CharactersWithSpaces>4054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R15-WRC15-C-0058!A23-A1-A2!MSW-R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8</cp:revision>
  <cp:lastPrinted>2015-10-29T10:18:00Z</cp:lastPrinted>
  <dcterms:created xsi:type="dcterms:W3CDTF">2015-10-26T10:08:00Z</dcterms:created>
  <dcterms:modified xsi:type="dcterms:W3CDTF">2015-10-29T10:18:00Z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