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A041C">
        <w:trPr>
          <w:cantSplit/>
        </w:trPr>
        <w:tc>
          <w:tcPr>
            <w:tcW w:w="6911" w:type="dxa"/>
          </w:tcPr>
          <w:p w:rsidR="0090121B" w:rsidRPr="005D3459" w:rsidRDefault="005D46FB" w:rsidP="0002785D">
            <w:pPr>
              <w:spacing w:before="400" w:after="48" w:line="240" w:lineRule="atLeast"/>
              <w:rPr>
                <w:rFonts w:ascii="Verdana" w:hAnsi="Verdana"/>
                <w:position w:val="6"/>
              </w:rPr>
            </w:pPr>
            <w:bookmarkStart w:id="0" w:name="_GoBack"/>
            <w:bookmarkEnd w:id="0"/>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1" w:name="ditulogo"/>
            <w:bookmarkEnd w:id="1"/>
            <w:r>
              <w:rPr>
                <w:noProof/>
                <w:lang w:val="en-US" w:eastAsia="zh-CN"/>
              </w:rPr>
              <w:drawing>
                <wp:inline distT="0" distB="0" distL="0" distR="0" wp14:anchorId="4FB10451" wp14:editId="54FF76C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A041C">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2"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Documento 72</w:t>
            </w:r>
            <w:r w:rsidR="0090121B" w:rsidRPr="0002785D">
              <w:rPr>
                <w:rFonts w:ascii="Verdana" w:hAnsi="Verdana"/>
                <w:b/>
                <w:sz w:val="20"/>
                <w:lang w:val="en-US"/>
              </w:rPr>
              <w:t>-</w:t>
            </w:r>
            <w:r w:rsidRPr="0002785D">
              <w:rPr>
                <w:rFonts w:ascii="Verdana" w:hAnsi="Verdana"/>
                <w:b/>
                <w:sz w:val="20"/>
                <w:lang w:val="en-US"/>
              </w:rPr>
              <w:t>S</w:t>
            </w:r>
          </w:p>
        </w:tc>
      </w:tr>
      <w:bookmarkEnd w:id="2"/>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5D3459" w:rsidP="0045384C">
            <w:pPr>
              <w:spacing w:before="0"/>
              <w:rPr>
                <w:rFonts w:ascii="Verdana" w:hAnsi="Verdana"/>
                <w:b/>
                <w:sz w:val="20"/>
                <w:lang w:val="en-US"/>
              </w:rPr>
            </w:pPr>
            <w:r>
              <w:rPr>
                <w:rFonts w:ascii="Verdana" w:hAnsi="Verdana"/>
                <w:b/>
                <w:sz w:val="20"/>
                <w:lang w:val="en-US"/>
              </w:rPr>
              <w:t>16</w:t>
            </w:r>
            <w:r w:rsidR="000A5B9A" w:rsidRPr="0002785D">
              <w:rPr>
                <w:rFonts w:ascii="Verdana" w:hAnsi="Verdana"/>
                <w:b/>
                <w:sz w:val="20"/>
                <w:lang w:val="en-US"/>
              </w:rPr>
              <w:t xml:space="preserve">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5A041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A041C">
        <w:trPr>
          <w:cantSplit/>
        </w:trPr>
        <w:tc>
          <w:tcPr>
            <w:tcW w:w="10031" w:type="dxa"/>
            <w:gridSpan w:val="2"/>
          </w:tcPr>
          <w:p w:rsidR="000A5B9A" w:rsidRPr="005D3459" w:rsidRDefault="000A5B9A" w:rsidP="000A5B9A">
            <w:pPr>
              <w:pStyle w:val="Source"/>
            </w:pPr>
            <w:bookmarkStart w:id="3" w:name="dsource" w:colFirst="0" w:colLast="0"/>
            <w:r w:rsidRPr="005D3459">
              <w:t>Alemania (República Federal de)/Francia</w:t>
            </w:r>
          </w:p>
        </w:tc>
      </w:tr>
      <w:tr w:rsidR="000A5B9A" w:rsidRPr="0002785D" w:rsidTr="005A041C">
        <w:trPr>
          <w:cantSplit/>
        </w:trPr>
        <w:tc>
          <w:tcPr>
            <w:tcW w:w="10031" w:type="dxa"/>
            <w:gridSpan w:val="2"/>
          </w:tcPr>
          <w:p w:rsidR="000A5B9A" w:rsidRDefault="00A11509" w:rsidP="005A041C">
            <w:pPr>
              <w:pStyle w:val="Title1"/>
              <w:rPr>
                <w:caps w:val="0"/>
                <w:lang w:val="es-ES"/>
              </w:rPr>
            </w:pPr>
            <w:bookmarkStart w:id="4" w:name="dtitle1" w:colFirst="0" w:colLast="0"/>
            <w:bookmarkEnd w:id="3"/>
            <w:r>
              <w:rPr>
                <w:lang w:val="es-ES"/>
              </w:rPr>
              <w:t xml:space="preserve">Impacto de un límite de </w:t>
            </w:r>
            <w:r>
              <w:rPr>
                <w:caps w:val="0"/>
                <w:lang w:val="es-ES"/>
              </w:rPr>
              <w:t xml:space="preserve">dfp </w:t>
            </w:r>
            <w:r>
              <w:rPr>
                <w:lang w:val="es-ES"/>
              </w:rPr>
              <w:t>de -113 DBW/(M².</w:t>
            </w:r>
            <w:r>
              <w:rPr>
                <w:caps w:val="0"/>
                <w:lang w:val="es-ES"/>
              </w:rPr>
              <w:t>MHz</w:t>
            </w:r>
            <w:r>
              <w:rPr>
                <w:lang w:val="es-ES"/>
              </w:rPr>
              <w:t xml:space="preserve">) en las operaciones del SRS en la banda 1 452-1 492 </w:t>
            </w:r>
            <w:r>
              <w:rPr>
                <w:caps w:val="0"/>
                <w:lang w:val="es-ES"/>
              </w:rPr>
              <w:t>MHz</w:t>
            </w:r>
          </w:p>
          <w:p w:rsidR="005A041C" w:rsidRPr="005A041C" w:rsidRDefault="005A041C" w:rsidP="005A041C">
            <w:pPr>
              <w:rPr>
                <w:lang w:val="es-ES"/>
              </w:rPr>
            </w:pPr>
          </w:p>
        </w:tc>
      </w:tr>
      <w:tr w:rsidR="000A5B9A" w:rsidTr="005A041C">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5A041C" w:rsidRPr="00C26A0A" w:rsidRDefault="005A041C" w:rsidP="00A11509">
      <w:pPr>
        <w:pStyle w:val="Normalaftertitle"/>
      </w:pPr>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A11509" w:rsidRPr="00D9407E" w:rsidRDefault="00A11509" w:rsidP="00A11509">
      <w:pPr>
        <w:pStyle w:val="Heading1"/>
      </w:pPr>
      <w:r w:rsidRPr="00D9407E">
        <w:t xml:space="preserve">Visión general del estudio técnico </w:t>
      </w:r>
    </w:p>
    <w:p w:rsidR="00A11509" w:rsidRPr="005A041C" w:rsidRDefault="00A11509" w:rsidP="00A11509">
      <w:pPr>
        <w:pStyle w:val="Headingb"/>
        <w:rPr>
          <w:bCs/>
        </w:rPr>
      </w:pPr>
      <w:r w:rsidRPr="005A041C">
        <w:rPr>
          <w:bCs/>
        </w:rPr>
        <w:t>La opción C1 del texto de la RPC para la banda 1452-1492 MHz propone que:</w:t>
      </w:r>
    </w:p>
    <w:p w:rsidR="00A11509" w:rsidRPr="005A041C" w:rsidRDefault="00A11509" w:rsidP="00A11509">
      <w:pPr>
        <w:pStyle w:val="Headingb"/>
        <w:ind w:left="708"/>
        <w:rPr>
          <w:bCs/>
          <w:i/>
        </w:rPr>
      </w:pPr>
      <w:r w:rsidRPr="005A041C">
        <w:rPr>
          <w:bCs/>
          <w:i/>
        </w:rPr>
        <w:t>«a fin de facilitar la coexistencia entre las IMT y el SRS en la banda de frecuencias 1 452-1 492 MHz, se modificarían los procedimientos reglamentarios vigentes por los que se rige la relación entre el SRS y los servicios terrenales incluyendo en el Artículo 21 del RR un valor de dfp de [-113 dBW/m²/MHz] para ofrecer una situación más estable (estabilidad a largo plazo) a las IMT. Se modificaría el Apéndice 5 del RR para que los países que deseen seguir aplicando el procedimiento de coordinación con arreglo al número 9.11 del Reglamento puedan seguir haciéndolo. En consecuencia, se aplicará un límite de dfp al SRS respecto de todos los servicios terrenales, salvo en el caso de los países que deseen seguir aplicando el número 9.11 del RR, como consecuencia de unos requisitos de protección más estrictos (por ejemplo, para proteger los sistemas de telemedida).»</w:t>
      </w:r>
    </w:p>
    <w:p w:rsidR="00A11509" w:rsidRPr="00A329E2" w:rsidRDefault="00A11509" w:rsidP="00A11509">
      <w:pPr>
        <w:pStyle w:val="Headingb"/>
        <w:rPr>
          <w:b w:val="0"/>
        </w:rPr>
      </w:pPr>
      <w:r w:rsidRPr="005A041C">
        <w:rPr>
          <w:bCs/>
        </w:rPr>
        <w:t>Los motivos para la elección del valor de -113 dBW/(m².MHz) para la dfp se explican en el informe del GMTE JTG 4-5-6-7. Este valor de dfp proporciona una protección adecuada a los equipos de usuario de las IMT y es mucho menos estricto que los valores de dfp aplicables a las bandas adyacentes o próximas.</w:t>
      </w:r>
      <w:r w:rsidRPr="00A329E2">
        <w:rPr>
          <w:b w:val="0"/>
        </w:rPr>
        <w:t xml:space="preserve"> </w:t>
      </w:r>
    </w:p>
    <w:p w:rsidR="00A11509" w:rsidRPr="00421A62" w:rsidRDefault="00A11509" w:rsidP="00A11509">
      <w:pPr>
        <w:rPr>
          <w:szCs w:val="24"/>
        </w:rPr>
      </w:pPr>
      <w:r w:rsidRPr="00A329E2">
        <w:t xml:space="preserve">Este documento presenta otro análisis que muestra </w:t>
      </w:r>
      <w:r>
        <w:t>la limitada incidencia</w:t>
      </w:r>
      <w:r w:rsidRPr="00A329E2">
        <w:t xml:space="preserve"> de este valor de dfp </w:t>
      </w:r>
      <w:r>
        <w:t>en</w:t>
      </w:r>
      <w:r w:rsidRPr="00A329E2">
        <w:t xml:space="preserve"> los sistemas </w:t>
      </w:r>
      <w:r>
        <w:t>del SRS</w:t>
      </w:r>
      <w:r w:rsidRPr="00A329E2">
        <w:t>.</w:t>
      </w:r>
      <w:r w:rsidRPr="00A329E2">
        <w:rPr>
          <w:b/>
        </w:rPr>
        <w:t xml:space="preserve"> </w:t>
      </w:r>
      <w:r w:rsidRPr="00A329E2">
        <w:rPr>
          <w:szCs w:val="24"/>
        </w:rPr>
        <w:t>El estudio muestra que, a partir de la información de coordinación y notificación existente relativa a las redes de sat</w:t>
      </w:r>
      <w:r>
        <w:rPr>
          <w:szCs w:val="24"/>
        </w:rPr>
        <w:t xml:space="preserve">élites del SRS en la banda </w:t>
      </w:r>
      <w:r w:rsidRPr="00A329E2">
        <w:rPr>
          <w:szCs w:val="24"/>
        </w:rPr>
        <w:t xml:space="preserve">1 452-1 492 MHz, </w:t>
      </w:r>
      <w:r>
        <w:rPr>
          <w:szCs w:val="24"/>
        </w:rPr>
        <w:t xml:space="preserve">el límite de dfp propuesto de </w:t>
      </w:r>
      <w:r w:rsidRPr="00A329E2">
        <w:rPr>
          <w:szCs w:val="24"/>
        </w:rPr>
        <w:noBreakHyphen/>
        <w:t>113 dBW/(m</w:t>
      </w:r>
      <w:r w:rsidRPr="00A329E2">
        <w:rPr>
          <w:szCs w:val="24"/>
          <w:vertAlign w:val="superscript"/>
        </w:rPr>
        <w:t>2</w:t>
      </w:r>
      <w:r w:rsidRPr="00A329E2">
        <w:rPr>
          <w:szCs w:val="24"/>
        </w:rPr>
        <w:t xml:space="preserve">.MHz) </w:t>
      </w:r>
      <w:r>
        <w:rPr>
          <w:szCs w:val="24"/>
        </w:rPr>
        <w:t>implicará restricciones de diseño muy reducidas a los sistemas del SRS</w:t>
      </w:r>
      <w:r w:rsidRPr="00A329E2">
        <w:rPr>
          <w:szCs w:val="24"/>
        </w:rPr>
        <w:t xml:space="preserve">. </w:t>
      </w:r>
      <w:r w:rsidRPr="00421A62">
        <w:rPr>
          <w:szCs w:val="24"/>
        </w:rPr>
        <w:t xml:space="preserve">Este límite de dfp consigue una protección adecuada a las estaciones IMT terminales en la </w:t>
      </w:r>
      <w:r w:rsidRPr="00421A62">
        <w:rPr>
          <w:szCs w:val="24"/>
        </w:rPr>
        <w:lastRenderedPageBreak/>
        <w:t>banda de frecuencias 1 452</w:t>
      </w:r>
      <w:r w:rsidRPr="00421A62">
        <w:rPr>
          <w:szCs w:val="24"/>
        </w:rPr>
        <w:noBreakHyphen/>
        <w:t xml:space="preserve">1 492 MHz, permitiendo además la cobertura de los países que deseen formar parte de </w:t>
      </w:r>
      <w:r>
        <w:rPr>
          <w:szCs w:val="24"/>
        </w:rPr>
        <w:t>un sistema</w:t>
      </w:r>
      <w:r w:rsidRPr="00421A62">
        <w:rPr>
          <w:szCs w:val="24"/>
        </w:rPr>
        <w:t xml:space="preserve"> SRS y que acepten, por tanto, que el límite de df</w:t>
      </w:r>
      <w:r>
        <w:rPr>
          <w:szCs w:val="24"/>
        </w:rPr>
        <w:t>p se exceda sobre sus territorios</w:t>
      </w:r>
      <w:r w:rsidRPr="00421A62">
        <w:rPr>
          <w:szCs w:val="24"/>
        </w:rPr>
        <w:t xml:space="preserve">. </w:t>
      </w:r>
    </w:p>
    <w:p w:rsidR="00A11509" w:rsidRDefault="00A11509" w:rsidP="00A11509">
      <w:pPr>
        <w:pStyle w:val="AnnexNo"/>
        <w:rPr>
          <w:lang w:val="en-US"/>
        </w:rPr>
      </w:pPr>
      <w:r>
        <w:rPr>
          <w:lang w:val="en-US"/>
        </w:rPr>
        <w:t>Annex</w:t>
      </w:r>
    </w:p>
    <w:p w:rsidR="00A11509" w:rsidRPr="003C7190" w:rsidRDefault="00A11509" w:rsidP="00A11509">
      <w:pPr>
        <w:jc w:val="center"/>
        <w:rPr>
          <w:lang w:val="en-US"/>
        </w:rPr>
      </w:pPr>
      <w:r>
        <w:rPr>
          <w:lang w:val="en-US"/>
        </w:rPr>
        <w:t>(English only)</w:t>
      </w:r>
    </w:p>
    <w:p w:rsidR="00A11509" w:rsidRDefault="00A11509" w:rsidP="00A11509">
      <w:pPr>
        <w:pStyle w:val="Annextitle"/>
        <w:rPr>
          <w:szCs w:val="24"/>
          <w:lang w:val="en-US"/>
        </w:rPr>
      </w:pPr>
      <w:r w:rsidRPr="00A11509">
        <w:rPr>
          <w:lang w:val="en-US"/>
        </w:rPr>
        <w:t xml:space="preserve">Impact of a -113 dBW/(m².MHz) pfd limit on BSS operations </w:t>
      </w:r>
      <w:r w:rsidRPr="00A11509">
        <w:rPr>
          <w:lang w:val="en-US"/>
        </w:rPr>
        <w:br/>
        <w:t>in the band 1 452-1 492 MHz</w:t>
      </w:r>
    </w:p>
    <w:p w:rsidR="00A11509" w:rsidRDefault="00A11509" w:rsidP="00A11509">
      <w:pPr>
        <w:pStyle w:val="Heading1"/>
        <w:rPr>
          <w:lang w:val="en-US"/>
        </w:rPr>
      </w:pPr>
      <w:r>
        <w:rPr>
          <w:lang w:val="en-US"/>
        </w:rPr>
        <w:t>1</w:t>
      </w:r>
      <w:r>
        <w:rPr>
          <w:lang w:val="en-US"/>
        </w:rPr>
        <w:tab/>
        <w:t>Introduction</w:t>
      </w:r>
    </w:p>
    <w:p w:rsidR="00A11509" w:rsidRPr="005A041C" w:rsidRDefault="00A11509" w:rsidP="00A11509">
      <w:pPr>
        <w:pStyle w:val="Headingb"/>
        <w:rPr>
          <w:bCs/>
          <w:lang w:val="en-US"/>
        </w:rPr>
      </w:pPr>
      <w:r w:rsidRPr="005A041C">
        <w:rPr>
          <w:bCs/>
          <w:lang w:val="en-US"/>
        </w:rPr>
        <w:t>Option C1 of the CPM text on WRC-15 agenda item 1.1 for the band 1 452-1 492 MHz proposes to set a pfd value of -113 dBW/(m².MHz) in Article 21 of the Radio Regulations. This pfd value provides an appropriate protection of IMT user equipment. The study contained in this Annex provides a further analysis showing the limited impact of this pfd value on BSS systems.</w:t>
      </w:r>
    </w:p>
    <w:p w:rsidR="00A11509" w:rsidRDefault="00A11509" w:rsidP="00A11509">
      <w:pPr>
        <w:pStyle w:val="Heading1"/>
        <w:rPr>
          <w:lang w:val="en-US"/>
        </w:rPr>
      </w:pPr>
      <w:r>
        <w:rPr>
          <w:lang w:val="en-US"/>
        </w:rPr>
        <w:t>2</w:t>
      </w:r>
      <w:r>
        <w:rPr>
          <w:lang w:val="en-US"/>
        </w:rPr>
        <w:tab/>
        <w:t>Analysis of the coverage area of different BSS systems</w:t>
      </w:r>
    </w:p>
    <w:p w:rsidR="00A11509" w:rsidRPr="00C033FE" w:rsidRDefault="00A11509" w:rsidP="00A11509">
      <w:pPr>
        <w:pStyle w:val="Heading2"/>
        <w:rPr>
          <w:lang w:val="en-US"/>
        </w:rPr>
      </w:pPr>
      <w:r>
        <w:rPr>
          <w:lang w:val="en-US"/>
        </w:rPr>
        <w:t>2.1</w:t>
      </w:r>
      <w:r>
        <w:rPr>
          <w:lang w:val="en-US"/>
        </w:rPr>
        <w:tab/>
      </w:r>
      <w:r w:rsidRPr="00C033FE">
        <w:rPr>
          <w:lang w:val="en-US"/>
        </w:rPr>
        <w:t>Characteristics of the BSS systems</w:t>
      </w:r>
    </w:p>
    <w:p w:rsidR="00A11509" w:rsidRDefault="00A11509" w:rsidP="00A11509">
      <w:pPr>
        <w:rPr>
          <w:szCs w:val="24"/>
          <w:lang w:val="en-US"/>
        </w:rPr>
      </w:pPr>
      <w:r>
        <w:rPr>
          <w:szCs w:val="24"/>
          <w:lang w:val="en-US"/>
        </w:rPr>
        <w:t>The characteristics of the BSS satellite networks in the band 1 452-1 492 MHz that are studied in this document were taken from special sections published in BR IFIC. When a BSS satellite network uses multi spot beams and covers different areas, the study distinguishes among them the various cases in the following analysis. The following table lists all the cases that are addressed in this document.</w:t>
      </w:r>
    </w:p>
    <w:p w:rsidR="00A11509" w:rsidRDefault="00A11509" w:rsidP="00A11509">
      <w:pPr>
        <w:pStyle w:val="TableNo"/>
        <w:rPr>
          <w:lang w:val="en-US"/>
        </w:rPr>
      </w:pPr>
      <w:r>
        <w:rPr>
          <w:lang w:val="en-US"/>
        </w:rPr>
        <w:t>Table 1</w:t>
      </w:r>
    </w:p>
    <w:p w:rsidR="00A11509" w:rsidRPr="00A40C32" w:rsidRDefault="00A11509" w:rsidP="00A11509">
      <w:pPr>
        <w:pStyle w:val="Tabletitle"/>
        <w:rPr>
          <w:lang w:val="en-US"/>
        </w:rPr>
      </w:pPr>
      <w:r>
        <w:rPr>
          <w:lang w:val="en-US"/>
        </w:rPr>
        <w:t xml:space="preserve">List of studied BSS satellite networks in the band 1452-1492 MHz </w:t>
      </w:r>
    </w:p>
    <w:tbl>
      <w:tblPr>
        <w:tblStyle w:val="TableGrid"/>
        <w:tblW w:w="0" w:type="auto"/>
        <w:jc w:val="center"/>
        <w:tblLook w:val="04A0" w:firstRow="1" w:lastRow="0" w:firstColumn="1" w:lastColumn="0" w:noHBand="0" w:noVBand="1"/>
      </w:tblPr>
      <w:tblGrid>
        <w:gridCol w:w="1506"/>
        <w:gridCol w:w="1095"/>
        <w:gridCol w:w="1850"/>
        <w:gridCol w:w="840"/>
        <w:gridCol w:w="827"/>
        <w:gridCol w:w="799"/>
        <w:gridCol w:w="716"/>
        <w:gridCol w:w="668"/>
        <w:gridCol w:w="664"/>
        <w:gridCol w:w="664"/>
      </w:tblGrid>
      <w:tr w:rsidR="00A11509" w:rsidRPr="003C7190" w:rsidTr="005A041C">
        <w:trPr>
          <w:jc w:val="center"/>
        </w:trPr>
        <w:tc>
          <w:tcPr>
            <w:tcW w:w="1573" w:type="dxa"/>
          </w:tcPr>
          <w:p w:rsidR="00A11509" w:rsidRPr="003C7190" w:rsidRDefault="00A11509" w:rsidP="005A041C">
            <w:pPr>
              <w:pStyle w:val="Tablehead"/>
            </w:pPr>
            <w:r w:rsidRPr="003C7190">
              <w:t>Satellite Name</w:t>
            </w:r>
          </w:p>
        </w:tc>
        <w:tc>
          <w:tcPr>
            <w:tcW w:w="1095" w:type="dxa"/>
          </w:tcPr>
          <w:p w:rsidR="00A11509" w:rsidRPr="003C7190" w:rsidRDefault="00A11509" w:rsidP="005A041C">
            <w:pPr>
              <w:pStyle w:val="Tablehead"/>
            </w:pPr>
            <w:r w:rsidRPr="003C7190">
              <w:t>Longitude</w:t>
            </w:r>
          </w:p>
        </w:tc>
        <w:tc>
          <w:tcPr>
            <w:tcW w:w="2058" w:type="dxa"/>
          </w:tcPr>
          <w:p w:rsidR="00A11509" w:rsidRPr="003C7190" w:rsidRDefault="00A11509" w:rsidP="005A041C">
            <w:pPr>
              <w:pStyle w:val="Tablehead"/>
            </w:pPr>
            <w:r w:rsidRPr="003C7190">
              <w:t>Notifying Administration</w:t>
            </w:r>
          </w:p>
        </w:tc>
        <w:tc>
          <w:tcPr>
            <w:tcW w:w="840" w:type="dxa"/>
          </w:tcPr>
          <w:p w:rsidR="00A11509" w:rsidRPr="003C7190" w:rsidRDefault="00A11509" w:rsidP="005A041C">
            <w:pPr>
              <w:pStyle w:val="Tablehead"/>
            </w:pPr>
            <w:r w:rsidRPr="003C7190">
              <w:t>Status</w:t>
            </w:r>
            <w:r w:rsidRPr="003C7190">
              <w:rPr>
                <w:rStyle w:val="FootnoteReference"/>
              </w:rPr>
              <w:footnoteReference w:id="1"/>
            </w:r>
          </w:p>
        </w:tc>
        <w:tc>
          <w:tcPr>
            <w:tcW w:w="4543" w:type="dxa"/>
            <w:gridSpan w:val="6"/>
            <w:tcBorders>
              <w:bottom w:val="single" w:sz="4" w:space="0" w:color="auto"/>
            </w:tcBorders>
          </w:tcPr>
          <w:p w:rsidR="00A11509" w:rsidRPr="003C7190" w:rsidRDefault="00A11509" w:rsidP="005A041C">
            <w:pPr>
              <w:pStyle w:val="Tablehead"/>
            </w:pPr>
            <w:r w:rsidRPr="003C7190">
              <w:t>Beam Name</w:t>
            </w:r>
          </w:p>
        </w:tc>
      </w:tr>
      <w:tr w:rsidR="00A11509" w:rsidRPr="00A40C32" w:rsidTr="005A041C">
        <w:trPr>
          <w:jc w:val="center"/>
        </w:trPr>
        <w:tc>
          <w:tcPr>
            <w:tcW w:w="1573" w:type="dxa"/>
          </w:tcPr>
          <w:p w:rsidR="00A11509" w:rsidRPr="00083501" w:rsidRDefault="00A11509" w:rsidP="005A041C">
            <w:pPr>
              <w:pStyle w:val="Tabletext"/>
              <w:rPr>
                <w:lang w:val="en-US"/>
              </w:rPr>
            </w:pPr>
            <w:r w:rsidRPr="00083501">
              <w:rPr>
                <w:lang w:val="en-US"/>
              </w:rPr>
              <w:t>AFRIBSS</w:t>
            </w:r>
          </w:p>
        </w:tc>
        <w:tc>
          <w:tcPr>
            <w:tcW w:w="1095" w:type="dxa"/>
          </w:tcPr>
          <w:p w:rsidR="00A11509" w:rsidRPr="00083501" w:rsidRDefault="00A11509" w:rsidP="005A041C">
            <w:pPr>
              <w:pStyle w:val="Tabletext"/>
              <w:rPr>
                <w:lang w:val="en-US"/>
              </w:rPr>
            </w:pPr>
            <w:r>
              <w:rPr>
                <w:lang w:val="en-US"/>
              </w:rPr>
              <w:t>21°E</w:t>
            </w:r>
          </w:p>
        </w:tc>
        <w:tc>
          <w:tcPr>
            <w:tcW w:w="2058" w:type="dxa"/>
          </w:tcPr>
          <w:p w:rsidR="00A11509" w:rsidRPr="00083501" w:rsidRDefault="00A11509" w:rsidP="005A041C">
            <w:pPr>
              <w:pStyle w:val="Tabletext"/>
              <w:rPr>
                <w:lang w:val="en-US"/>
              </w:rPr>
            </w:pPr>
            <w:r>
              <w:rPr>
                <w:lang w:val="en-US"/>
              </w:rPr>
              <w:t>USA</w:t>
            </w:r>
          </w:p>
        </w:tc>
        <w:tc>
          <w:tcPr>
            <w:tcW w:w="840" w:type="dxa"/>
            <w:tcBorders>
              <w:right w:val="single" w:sz="4" w:space="0" w:color="auto"/>
            </w:tcBorders>
          </w:tcPr>
          <w:p w:rsidR="00A11509" w:rsidRPr="00083501" w:rsidRDefault="00A11509" w:rsidP="005A041C">
            <w:pPr>
              <w:pStyle w:val="Tabletext"/>
              <w:rPr>
                <w:lang w:val="en-US"/>
              </w:rPr>
            </w:pPr>
            <w:r>
              <w:rPr>
                <w:lang w:val="en-US"/>
              </w:rPr>
              <w:t>N</w:t>
            </w:r>
          </w:p>
        </w:tc>
        <w:tc>
          <w:tcPr>
            <w:tcW w:w="870" w:type="dxa"/>
            <w:tcBorders>
              <w:top w:val="single" w:sz="4" w:space="0" w:color="auto"/>
              <w:left w:val="single" w:sz="4" w:space="0" w:color="auto"/>
              <w:bottom w:val="single" w:sz="4" w:space="0" w:color="auto"/>
              <w:right w:val="single" w:sz="4" w:space="0" w:color="auto"/>
            </w:tcBorders>
          </w:tcPr>
          <w:p w:rsidR="00A11509" w:rsidRPr="00083501" w:rsidRDefault="00A11509" w:rsidP="005A041C">
            <w:pPr>
              <w:pStyle w:val="Tabletext"/>
              <w:rPr>
                <w:lang w:val="en-US"/>
              </w:rPr>
            </w:pPr>
            <w:r w:rsidRPr="00083501">
              <w:rPr>
                <w:lang w:val="en-US"/>
              </w:rPr>
              <w:t>AD</w:t>
            </w:r>
          </w:p>
        </w:tc>
        <w:tc>
          <w:tcPr>
            <w:tcW w:w="831" w:type="dxa"/>
            <w:tcBorders>
              <w:top w:val="single" w:sz="4" w:space="0" w:color="auto"/>
              <w:left w:val="single" w:sz="4" w:space="0" w:color="auto"/>
              <w:bottom w:val="single" w:sz="4" w:space="0" w:color="auto"/>
              <w:right w:val="single" w:sz="4" w:space="0" w:color="auto"/>
            </w:tcBorders>
          </w:tcPr>
          <w:p w:rsidR="00A11509" w:rsidRPr="00083501" w:rsidRDefault="00A11509" w:rsidP="005A041C">
            <w:pPr>
              <w:pStyle w:val="Tabletext"/>
              <w:rPr>
                <w:lang w:val="en-US"/>
              </w:rPr>
            </w:pPr>
            <w:r w:rsidRPr="00083501">
              <w:rPr>
                <w:lang w:val="en-US"/>
              </w:rPr>
              <w:t>CD</w:t>
            </w:r>
          </w:p>
        </w:tc>
        <w:tc>
          <w:tcPr>
            <w:tcW w:w="716" w:type="dxa"/>
            <w:tcBorders>
              <w:top w:val="single" w:sz="4" w:space="0" w:color="auto"/>
              <w:left w:val="single" w:sz="4" w:space="0" w:color="auto"/>
              <w:bottom w:val="single" w:sz="4" w:space="0" w:color="auto"/>
              <w:right w:val="single" w:sz="4" w:space="0" w:color="auto"/>
            </w:tcBorders>
          </w:tcPr>
          <w:p w:rsidR="00A11509" w:rsidRPr="00083501" w:rsidRDefault="00A11509" w:rsidP="005A041C">
            <w:pPr>
              <w:pStyle w:val="Tabletext"/>
              <w:rPr>
                <w:lang w:val="en-US"/>
              </w:rPr>
            </w:pPr>
            <w:r w:rsidRPr="00083501">
              <w:rPr>
                <w:lang w:val="en-US"/>
              </w:rPr>
              <w:t>BD</w:t>
            </w:r>
          </w:p>
        </w:tc>
        <w:tc>
          <w:tcPr>
            <w:tcW w:w="708" w:type="dxa"/>
            <w:tcBorders>
              <w:top w:val="single" w:sz="4" w:space="0" w:color="auto"/>
              <w:left w:val="single" w:sz="4" w:space="0" w:color="auto"/>
              <w:bottom w:val="single" w:sz="4" w:space="0" w:color="auto"/>
              <w:right w:val="single" w:sz="4" w:space="0" w:color="auto"/>
            </w:tcBorders>
          </w:tcPr>
          <w:p w:rsidR="00A11509" w:rsidRPr="00083501" w:rsidRDefault="00A11509" w:rsidP="005A041C">
            <w:pPr>
              <w:pStyle w:val="Tabletext"/>
              <w:rPr>
                <w:lang w:val="en-US"/>
              </w:rPr>
            </w:pPr>
            <w:r w:rsidRPr="00083501">
              <w:rPr>
                <w:lang w:val="en-US"/>
              </w:rPr>
              <w:t>AD2</w:t>
            </w:r>
          </w:p>
        </w:tc>
        <w:tc>
          <w:tcPr>
            <w:tcW w:w="709" w:type="dxa"/>
            <w:tcBorders>
              <w:top w:val="single" w:sz="4" w:space="0" w:color="auto"/>
              <w:left w:val="single" w:sz="4" w:space="0" w:color="auto"/>
              <w:bottom w:val="single" w:sz="4" w:space="0" w:color="auto"/>
              <w:right w:val="single" w:sz="4" w:space="0" w:color="auto"/>
            </w:tcBorders>
          </w:tcPr>
          <w:p w:rsidR="00A11509" w:rsidRPr="00083501" w:rsidRDefault="00A11509" w:rsidP="005A041C">
            <w:pPr>
              <w:pStyle w:val="Tabletext"/>
              <w:rPr>
                <w:lang w:val="en-US"/>
              </w:rPr>
            </w:pPr>
            <w:r w:rsidRPr="00083501">
              <w:rPr>
                <w:lang w:val="en-US"/>
              </w:rPr>
              <w:t>CD2</w:t>
            </w:r>
          </w:p>
        </w:tc>
        <w:tc>
          <w:tcPr>
            <w:tcW w:w="709" w:type="dxa"/>
            <w:tcBorders>
              <w:top w:val="single" w:sz="4" w:space="0" w:color="auto"/>
              <w:left w:val="single" w:sz="4" w:space="0" w:color="auto"/>
              <w:bottom w:val="single" w:sz="4" w:space="0" w:color="auto"/>
              <w:right w:val="single" w:sz="4" w:space="0" w:color="auto"/>
            </w:tcBorders>
          </w:tcPr>
          <w:p w:rsidR="00A11509" w:rsidRPr="00083501" w:rsidRDefault="00A11509" w:rsidP="005A041C">
            <w:pPr>
              <w:pStyle w:val="Tabletext"/>
              <w:rPr>
                <w:lang w:val="en-US"/>
              </w:rPr>
            </w:pPr>
            <w:r w:rsidRPr="00083501">
              <w:rPr>
                <w:lang w:val="en-US"/>
              </w:rPr>
              <w:t>BD2</w:t>
            </w:r>
          </w:p>
        </w:tc>
      </w:tr>
      <w:tr w:rsidR="00A11509" w:rsidRPr="00A40C32" w:rsidTr="005A041C">
        <w:trPr>
          <w:jc w:val="center"/>
        </w:trPr>
        <w:tc>
          <w:tcPr>
            <w:tcW w:w="1573" w:type="dxa"/>
          </w:tcPr>
          <w:p w:rsidR="00A11509" w:rsidRPr="00083501" w:rsidRDefault="00A11509" w:rsidP="005A041C">
            <w:pPr>
              <w:pStyle w:val="Tabletext"/>
              <w:rPr>
                <w:lang w:val="en-US"/>
              </w:rPr>
            </w:pPr>
            <w:r w:rsidRPr="00083501">
              <w:rPr>
                <w:lang w:val="en-US"/>
              </w:rPr>
              <w:t>ASIABSS</w:t>
            </w:r>
          </w:p>
        </w:tc>
        <w:tc>
          <w:tcPr>
            <w:tcW w:w="1095" w:type="dxa"/>
          </w:tcPr>
          <w:p w:rsidR="00A11509" w:rsidRPr="00083501" w:rsidRDefault="00A11509" w:rsidP="005A041C">
            <w:pPr>
              <w:pStyle w:val="Tabletext"/>
              <w:rPr>
                <w:lang w:val="en-US"/>
              </w:rPr>
            </w:pPr>
            <w:r>
              <w:rPr>
                <w:lang w:val="en-US"/>
              </w:rPr>
              <w:t>105°E</w:t>
            </w:r>
          </w:p>
        </w:tc>
        <w:tc>
          <w:tcPr>
            <w:tcW w:w="2058" w:type="dxa"/>
          </w:tcPr>
          <w:p w:rsidR="00A11509" w:rsidRPr="00083501" w:rsidRDefault="00A11509" w:rsidP="005A041C">
            <w:pPr>
              <w:pStyle w:val="Tabletext"/>
              <w:rPr>
                <w:lang w:val="en-US"/>
              </w:rPr>
            </w:pPr>
            <w:r>
              <w:rPr>
                <w:lang w:val="en-US"/>
              </w:rPr>
              <w:t>Australia</w:t>
            </w:r>
          </w:p>
        </w:tc>
        <w:tc>
          <w:tcPr>
            <w:tcW w:w="840" w:type="dxa"/>
          </w:tcPr>
          <w:p w:rsidR="00A11509" w:rsidRPr="00083501" w:rsidRDefault="00A11509" w:rsidP="005A041C">
            <w:pPr>
              <w:pStyle w:val="Tabletext"/>
              <w:rPr>
                <w:lang w:val="en-US"/>
              </w:rPr>
            </w:pPr>
            <w:r>
              <w:rPr>
                <w:lang w:val="en-US"/>
              </w:rPr>
              <w:t>N</w:t>
            </w:r>
          </w:p>
        </w:tc>
        <w:tc>
          <w:tcPr>
            <w:tcW w:w="870" w:type="dxa"/>
            <w:tcBorders>
              <w:top w:val="single" w:sz="4" w:space="0" w:color="auto"/>
            </w:tcBorders>
          </w:tcPr>
          <w:p w:rsidR="00A11509" w:rsidRPr="00083501" w:rsidRDefault="00A11509" w:rsidP="005A041C">
            <w:pPr>
              <w:pStyle w:val="Tabletext"/>
              <w:rPr>
                <w:lang w:val="en-US"/>
              </w:rPr>
            </w:pPr>
            <w:r w:rsidRPr="00083501">
              <w:rPr>
                <w:lang w:val="en-US"/>
              </w:rPr>
              <w:t>AD</w:t>
            </w:r>
          </w:p>
        </w:tc>
        <w:tc>
          <w:tcPr>
            <w:tcW w:w="831" w:type="dxa"/>
            <w:tcBorders>
              <w:top w:val="single" w:sz="4" w:space="0" w:color="auto"/>
            </w:tcBorders>
          </w:tcPr>
          <w:p w:rsidR="00A11509" w:rsidRPr="00083501" w:rsidRDefault="00A11509" w:rsidP="005A041C">
            <w:pPr>
              <w:pStyle w:val="Tabletext"/>
              <w:rPr>
                <w:lang w:val="en-US"/>
              </w:rPr>
            </w:pPr>
            <w:r w:rsidRPr="00083501">
              <w:rPr>
                <w:lang w:val="en-US"/>
              </w:rPr>
              <w:t>CD</w:t>
            </w:r>
          </w:p>
        </w:tc>
        <w:tc>
          <w:tcPr>
            <w:tcW w:w="716" w:type="dxa"/>
            <w:tcBorders>
              <w:top w:val="single" w:sz="4" w:space="0" w:color="auto"/>
            </w:tcBorders>
          </w:tcPr>
          <w:p w:rsidR="00A11509" w:rsidRPr="00083501" w:rsidRDefault="00A11509" w:rsidP="005A041C">
            <w:pPr>
              <w:pStyle w:val="Tabletext"/>
              <w:rPr>
                <w:lang w:val="en-US"/>
              </w:rPr>
            </w:pPr>
            <w:r w:rsidRPr="00083501">
              <w:rPr>
                <w:lang w:val="en-US"/>
              </w:rPr>
              <w:t>BD</w:t>
            </w:r>
          </w:p>
        </w:tc>
        <w:tc>
          <w:tcPr>
            <w:tcW w:w="708" w:type="dxa"/>
            <w:tcBorders>
              <w:top w:val="single" w:sz="4" w:space="0" w:color="auto"/>
            </w:tcBorders>
          </w:tcPr>
          <w:p w:rsidR="00A11509" w:rsidRPr="00083501" w:rsidRDefault="00A11509" w:rsidP="005A041C">
            <w:pPr>
              <w:pStyle w:val="Tabletext"/>
              <w:rPr>
                <w:lang w:val="en-US"/>
              </w:rPr>
            </w:pPr>
          </w:p>
        </w:tc>
        <w:tc>
          <w:tcPr>
            <w:tcW w:w="709" w:type="dxa"/>
            <w:tcBorders>
              <w:top w:val="single" w:sz="4" w:space="0" w:color="auto"/>
            </w:tcBorders>
          </w:tcPr>
          <w:p w:rsidR="00A11509" w:rsidRPr="00083501" w:rsidRDefault="00A11509" w:rsidP="005A041C">
            <w:pPr>
              <w:pStyle w:val="Tabletext"/>
              <w:rPr>
                <w:lang w:val="en-US"/>
              </w:rPr>
            </w:pPr>
          </w:p>
        </w:tc>
        <w:tc>
          <w:tcPr>
            <w:tcW w:w="709" w:type="dxa"/>
            <w:tcBorders>
              <w:top w:val="single" w:sz="4" w:space="0" w:color="auto"/>
            </w:tcBorders>
          </w:tcPr>
          <w:p w:rsidR="00A11509" w:rsidRPr="00083501" w:rsidRDefault="00A11509" w:rsidP="005A041C">
            <w:pPr>
              <w:pStyle w:val="Tabletext"/>
              <w:rPr>
                <w:lang w:val="en-US"/>
              </w:rPr>
            </w:pPr>
          </w:p>
        </w:tc>
      </w:tr>
      <w:tr w:rsidR="00A11509" w:rsidRPr="00A40C32" w:rsidTr="005A041C">
        <w:trPr>
          <w:trHeight w:val="3020"/>
          <w:jc w:val="center"/>
        </w:trPr>
        <w:tc>
          <w:tcPr>
            <w:tcW w:w="1573" w:type="dxa"/>
            <w:shd w:val="clear" w:color="auto" w:fill="auto"/>
          </w:tcPr>
          <w:p w:rsidR="00A11509" w:rsidRPr="00083501" w:rsidRDefault="00A11509" w:rsidP="005A041C">
            <w:pPr>
              <w:pStyle w:val="Tabletext"/>
              <w:rPr>
                <w:lang w:val="en-US"/>
              </w:rPr>
            </w:pPr>
            <w:r>
              <w:rPr>
                <w:lang w:val="en-US"/>
              </w:rPr>
              <w:t>CHINASAT-xx</w:t>
            </w:r>
          </w:p>
        </w:tc>
        <w:tc>
          <w:tcPr>
            <w:tcW w:w="1095" w:type="dxa"/>
          </w:tcPr>
          <w:p w:rsidR="00A11509" w:rsidRPr="00016F5F" w:rsidRDefault="00A11509" w:rsidP="005A041C">
            <w:pPr>
              <w:pStyle w:val="Tabletext"/>
            </w:pPr>
            <w:r w:rsidRPr="00016F5F">
              <w:t>92.2°E</w:t>
            </w:r>
          </w:p>
          <w:p w:rsidR="00A11509" w:rsidRPr="00016F5F" w:rsidRDefault="00A11509" w:rsidP="005A041C">
            <w:pPr>
              <w:pStyle w:val="Tabletext"/>
            </w:pPr>
            <w:r w:rsidRPr="00016F5F">
              <w:t>87.5°E</w:t>
            </w:r>
          </w:p>
          <w:p w:rsidR="00A11509" w:rsidRPr="00016F5F" w:rsidRDefault="00A11509" w:rsidP="005A041C">
            <w:pPr>
              <w:pStyle w:val="Tabletext"/>
            </w:pPr>
            <w:r w:rsidRPr="00016F5F">
              <w:t>126°E</w:t>
            </w:r>
          </w:p>
          <w:p w:rsidR="00A11509" w:rsidRPr="00016F5F" w:rsidRDefault="00A11509" w:rsidP="005A041C">
            <w:pPr>
              <w:pStyle w:val="Tabletext"/>
            </w:pPr>
            <w:r w:rsidRPr="00016F5F">
              <w:t>136°E</w:t>
            </w:r>
          </w:p>
          <w:p w:rsidR="00A11509" w:rsidRPr="00016F5F" w:rsidRDefault="00A11509" w:rsidP="005A041C">
            <w:pPr>
              <w:pStyle w:val="Tabletext"/>
            </w:pPr>
            <w:r w:rsidRPr="00016F5F">
              <w:t>163°E</w:t>
            </w:r>
          </w:p>
          <w:p w:rsidR="00A11509" w:rsidRPr="00016F5F" w:rsidRDefault="00A11509" w:rsidP="005A041C">
            <w:pPr>
              <w:pStyle w:val="Tabletext"/>
            </w:pPr>
            <w:r w:rsidRPr="00016F5F">
              <w:t>51.5°E</w:t>
            </w:r>
          </w:p>
          <w:p w:rsidR="00A11509" w:rsidRPr="00016F5F" w:rsidRDefault="00A11509" w:rsidP="005A041C">
            <w:pPr>
              <w:pStyle w:val="Tabletext"/>
            </w:pPr>
            <w:r w:rsidRPr="00016F5F">
              <w:t>110.5°E</w:t>
            </w:r>
          </w:p>
          <w:p w:rsidR="00A11509" w:rsidRPr="00016F5F" w:rsidRDefault="00A11509" w:rsidP="005A041C">
            <w:pPr>
              <w:pStyle w:val="Tabletext"/>
            </w:pPr>
            <w:r w:rsidRPr="00016F5F">
              <w:t>125°E</w:t>
            </w:r>
          </w:p>
          <w:p w:rsidR="00A11509" w:rsidRPr="00016F5F" w:rsidRDefault="00A11509" w:rsidP="005A041C">
            <w:pPr>
              <w:pStyle w:val="Tabletext"/>
            </w:pPr>
            <w:r w:rsidRPr="00016F5F">
              <w:t>163°E</w:t>
            </w:r>
          </w:p>
          <w:p w:rsidR="00A11509" w:rsidRPr="00016F5F" w:rsidRDefault="00A11509" w:rsidP="005A041C">
            <w:pPr>
              <w:pStyle w:val="Tabletext"/>
            </w:pPr>
            <w:r w:rsidRPr="00016F5F">
              <w:t>87.5°E</w:t>
            </w:r>
          </w:p>
          <w:p w:rsidR="00A11509" w:rsidRPr="00016F5F" w:rsidRDefault="00A11509" w:rsidP="005A041C">
            <w:pPr>
              <w:pStyle w:val="Tabletext"/>
            </w:pPr>
            <w:r w:rsidRPr="00016F5F">
              <w:t>115.5°E</w:t>
            </w:r>
          </w:p>
        </w:tc>
        <w:tc>
          <w:tcPr>
            <w:tcW w:w="2058" w:type="dxa"/>
          </w:tcPr>
          <w:p w:rsidR="00A11509" w:rsidRPr="00083501" w:rsidRDefault="00A11509" w:rsidP="005A041C">
            <w:pPr>
              <w:pStyle w:val="Tabletext"/>
              <w:rPr>
                <w:lang w:val="en-US"/>
              </w:rPr>
            </w:pPr>
            <w:r>
              <w:rPr>
                <w:lang w:val="en-US"/>
              </w:rPr>
              <w:t>China</w:t>
            </w:r>
          </w:p>
        </w:tc>
        <w:tc>
          <w:tcPr>
            <w:tcW w:w="840" w:type="dxa"/>
          </w:tcPr>
          <w:p w:rsidR="00A11509" w:rsidRDefault="00A11509" w:rsidP="005A041C">
            <w:pPr>
              <w:pStyle w:val="Tabletext"/>
              <w:rPr>
                <w:lang w:val="en-US"/>
              </w:rPr>
            </w:pPr>
            <w:r>
              <w:rPr>
                <w:lang w:val="en-US"/>
              </w:rPr>
              <w:t>N</w:t>
            </w:r>
          </w:p>
          <w:p w:rsidR="00A11509" w:rsidRDefault="00A11509" w:rsidP="005A041C">
            <w:pPr>
              <w:pStyle w:val="Tabletext"/>
              <w:rPr>
                <w:lang w:val="en-US"/>
              </w:rPr>
            </w:pPr>
            <w:r>
              <w:rPr>
                <w:lang w:val="en-US"/>
              </w:rPr>
              <w:t>C</w:t>
            </w:r>
          </w:p>
          <w:p w:rsidR="00A11509" w:rsidRDefault="00A11509" w:rsidP="005A041C">
            <w:pPr>
              <w:pStyle w:val="Tabletext"/>
              <w:rPr>
                <w:lang w:val="en-US"/>
              </w:rPr>
            </w:pPr>
            <w:r>
              <w:rPr>
                <w:lang w:val="en-US"/>
              </w:rPr>
              <w:t>C</w:t>
            </w:r>
          </w:p>
          <w:p w:rsidR="00A11509" w:rsidRDefault="00A11509" w:rsidP="005A041C">
            <w:pPr>
              <w:pStyle w:val="Tabletext"/>
              <w:rPr>
                <w:lang w:val="en-US"/>
              </w:rPr>
            </w:pPr>
            <w:r>
              <w:rPr>
                <w:lang w:val="en-US"/>
              </w:rPr>
              <w:t>C</w:t>
            </w:r>
          </w:p>
          <w:p w:rsidR="00A11509" w:rsidRDefault="00A11509" w:rsidP="005A041C">
            <w:pPr>
              <w:pStyle w:val="Tabletext"/>
              <w:rPr>
                <w:lang w:val="en-US"/>
              </w:rPr>
            </w:pPr>
            <w:r>
              <w:rPr>
                <w:lang w:val="en-US"/>
              </w:rPr>
              <w:t>C</w:t>
            </w:r>
          </w:p>
          <w:p w:rsidR="00A11509" w:rsidRDefault="00A11509" w:rsidP="005A041C">
            <w:pPr>
              <w:pStyle w:val="Tabletext"/>
              <w:rPr>
                <w:lang w:val="en-US"/>
              </w:rPr>
            </w:pPr>
            <w:r>
              <w:rPr>
                <w:lang w:val="en-US"/>
              </w:rPr>
              <w:t>C</w:t>
            </w:r>
          </w:p>
          <w:p w:rsidR="00A11509" w:rsidRDefault="00A11509" w:rsidP="005A041C">
            <w:pPr>
              <w:pStyle w:val="Tabletext"/>
              <w:rPr>
                <w:lang w:val="en-US"/>
              </w:rPr>
            </w:pPr>
            <w:r>
              <w:rPr>
                <w:lang w:val="en-US"/>
              </w:rPr>
              <w:t>C</w:t>
            </w:r>
          </w:p>
          <w:p w:rsidR="00A11509" w:rsidRDefault="00A11509" w:rsidP="005A041C">
            <w:pPr>
              <w:pStyle w:val="Tabletext"/>
              <w:rPr>
                <w:lang w:val="en-US"/>
              </w:rPr>
            </w:pPr>
            <w:r>
              <w:rPr>
                <w:lang w:val="en-US"/>
              </w:rPr>
              <w:t>C</w:t>
            </w:r>
          </w:p>
          <w:p w:rsidR="00A11509" w:rsidRDefault="00A11509" w:rsidP="005A041C">
            <w:pPr>
              <w:pStyle w:val="Tabletext"/>
              <w:rPr>
                <w:lang w:val="en-US"/>
              </w:rPr>
            </w:pPr>
            <w:r>
              <w:rPr>
                <w:lang w:val="en-US"/>
              </w:rPr>
              <w:t>C</w:t>
            </w:r>
          </w:p>
          <w:p w:rsidR="00A11509" w:rsidRDefault="00A11509" w:rsidP="005A041C">
            <w:pPr>
              <w:pStyle w:val="Tabletext"/>
              <w:rPr>
                <w:lang w:val="en-US"/>
              </w:rPr>
            </w:pPr>
            <w:r>
              <w:rPr>
                <w:lang w:val="en-US"/>
              </w:rPr>
              <w:t>C</w:t>
            </w:r>
          </w:p>
          <w:p w:rsidR="00A11509" w:rsidRPr="00083501" w:rsidRDefault="00A11509" w:rsidP="005A041C">
            <w:pPr>
              <w:pStyle w:val="Tabletext"/>
              <w:rPr>
                <w:lang w:val="en-US"/>
              </w:rPr>
            </w:pPr>
            <w:r>
              <w:rPr>
                <w:lang w:val="en-US"/>
              </w:rPr>
              <w:t>C</w:t>
            </w:r>
          </w:p>
        </w:tc>
        <w:tc>
          <w:tcPr>
            <w:tcW w:w="870" w:type="dxa"/>
          </w:tcPr>
          <w:p w:rsidR="00A11509" w:rsidRDefault="00A11509" w:rsidP="005A041C">
            <w:pPr>
              <w:pStyle w:val="Tabletext"/>
              <w:rPr>
                <w:lang w:val="en-US"/>
              </w:rPr>
            </w:pPr>
            <w:r w:rsidRPr="00083501">
              <w:rPr>
                <w:lang w:val="en-US"/>
              </w:rPr>
              <w:t>LDCN</w:t>
            </w:r>
          </w:p>
          <w:p w:rsidR="00A11509" w:rsidRDefault="00A11509" w:rsidP="005A041C">
            <w:pPr>
              <w:pStyle w:val="Tabletext"/>
              <w:rPr>
                <w:lang w:val="en-US"/>
              </w:rPr>
            </w:pPr>
            <w:r>
              <w:rPr>
                <w:lang w:val="en-US"/>
              </w:rPr>
              <w:t>LD1R</w:t>
            </w:r>
          </w:p>
          <w:p w:rsidR="00A11509" w:rsidRDefault="00A11509" w:rsidP="005A041C">
            <w:pPr>
              <w:pStyle w:val="Tabletext"/>
              <w:rPr>
                <w:lang w:val="en-US"/>
              </w:rPr>
            </w:pPr>
            <w:r>
              <w:rPr>
                <w:lang w:val="en-US"/>
              </w:rPr>
              <w:t>LBDR</w:t>
            </w:r>
          </w:p>
          <w:p w:rsidR="00A11509" w:rsidRDefault="00A11509" w:rsidP="005A041C">
            <w:pPr>
              <w:pStyle w:val="Tabletext"/>
              <w:rPr>
                <w:lang w:val="en-US"/>
              </w:rPr>
            </w:pPr>
            <w:r>
              <w:rPr>
                <w:lang w:val="en-US"/>
              </w:rPr>
              <w:t>LBDR</w:t>
            </w:r>
          </w:p>
          <w:p w:rsidR="00A11509" w:rsidRDefault="00A11509" w:rsidP="005A041C">
            <w:pPr>
              <w:pStyle w:val="Tabletext"/>
              <w:rPr>
                <w:lang w:val="en-US"/>
              </w:rPr>
            </w:pPr>
            <w:r>
              <w:rPr>
                <w:lang w:val="en-US"/>
              </w:rPr>
              <w:t>LDR</w:t>
            </w:r>
          </w:p>
          <w:p w:rsidR="00A11509" w:rsidRDefault="00A11509" w:rsidP="005A041C">
            <w:pPr>
              <w:pStyle w:val="Tabletext"/>
              <w:rPr>
                <w:lang w:val="en-US"/>
              </w:rPr>
            </w:pPr>
            <w:r>
              <w:rPr>
                <w:lang w:val="en-US"/>
              </w:rPr>
              <w:t>LDR</w:t>
            </w:r>
          </w:p>
          <w:p w:rsidR="00A11509" w:rsidRDefault="00A11509" w:rsidP="005A041C">
            <w:pPr>
              <w:pStyle w:val="Tabletext"/>
              <w:rPr>
                <w:lang w:val="en-US"/>
              </w:rPr>
            </w:pPr>
            <w:r>
              <w:rPr>
                <w:lang w:val="en-US"/>
              </w:rPr>
              <w:t>LBDG</w:t>
            </w:r>
          </w:p>
          <w:p w:rsidR="00A11509" w:rsidRDefault="00A11509" w:rsidP="005A041C">
            <w:pPr>
              <w:pStyle w:val="Tabletext"/>
              <w:rPr>
                <w:lang w:val="en-US"/>
              </w:rPr>
            </w:pPr>
            <w:r>
              <w:rPr>
                <w:lang w:val="en-US"/>
              </w:rPr>
              <w:t>LBDG</w:t>
            </w:r>
          </w:p>
          <w:p w:rsidR="00A11509" w:rsidRDefault="00A11509" w:rsidP="005A041C">
            <w:pPr>
              <w:pStyle w:val="Tabletext"/>
              <w:rPr>
                <w:lang w:val="en-US"/>
              </w:rPr>
            </w:pPr>
            <w:r>
              <w:rPr>
                <w:lang w:val="en-US"/>
              </w:rPr>
              <w:t>LBDG</w:t>
            </w:r>
          </w:p>
          <w:p w:rsidR="00A11509" w:rsidRDefault="00A11509" w:rsidP="005A041C">
            <w:pPr>
              <w:pStyle w:val="Tabletext"/>
              <w:rPr>
                <w:lang w:val="en-US"/>
              </w:rPr>
            </w:pPr>
            <w:r>
              <w:rPr>
                <w:lang w:val="en-US"/>
              </w:rPr>
              <w:t>LBDG</w:t>
            </w:r>
          </w:p>
          <w:p w:rsidR="00A11509" w:rsidRPr="00083501" w:rsidRDefault="00A11509" w:rsidP="005A041C">
            <w:pPr>
              <w:pStyle w:val="Tabletext"/>
              <w:rPr>
                <w:lang w:val="en-US"/>
              </w:rPr>
            </w:pPr>
            <w:r>
              <w:rPr>
                <w:lang w:val="en-US"/>
              </w:rPr>
              <w:t>LBDR</w:t>
            </w:r>
          </w:p>
        </w:tc>
        <w:tc>
          <w:tcPr>
            <w:tcW w:w="831" w:type="dxa"/>
          </w:tcPr>
          <w:p w:rsidR="00A11509" w:rsidRDefault="00A11509" w:rsidP="005A041C">
            <w:pPr>
              <w:pStyle w:val="Tabletext"/>
              <w:rPr>
                <w:lang w:val="en-US"/>
              </w:rPr>
            </w:pPr>
          </w:p>
          <w:p w:rsidR="00A11509" w:rsidRDefault="00A11509" w:rsidP="005A041C">
            <w:pPr>
              <w:pStyle w:val="Tabletext"/>
              <w:rPr>
                <w:lang w:val="en-US"/>
              </w:rPr>
            </w:pPr>
            <w:r>
              <w:rPr>
                <w:lang w:val="en-US"/>
              </w:rPr>
              <w:t>LD2R</w:t>
            </w:r>
          </w:p>
          <w:p w:rsidR="00A11509" w:rsidRDefault="00A11509" w:rsidP="005A041C">
            <w:pPr>
              <w:pStyle w:val="Tabletext"/>
              <w:rPr>
                <w:lang w:val="en-US"/>
              </w:rPr>
            </w:pPr>
          </w:p>
          <w:p w:rsidR="00A11509" w:rsidRDefault="00A11509" w:rsidP="005A041C">
            <w:pPr>
              <w:pStyle w:val="Tabletext"/>
              <w:rPr>
                <w:lang w:val="en-US"/>
              </w:rPr>
            </w:pPr>
          </w:p>
          <w:p w:rsidR="00A11509" w:rsidRDefault="00A11509" w:rsidP="005A041C">
            <w:pPr>
              <w:pStyle w:val="Tabletext"/>
              <w:rPr>
                <w:lang w:val="en-US"/>
              </w:rPr>
            </w:pPr>
          </w:p>
          <w:p w:rsidR="00A11509" w:rsidRDefault="00A11509" w:rsidP="005A041C">
            <w:pPr>
              <w:pStyle w:val="Tabletext"/>
              <w:rPr>
                <w:lang w:val="en-US"/>
              </w:rPr>
            </w:pPr>
          </w:p>
          <w:p w:rsidR="00A11509" w:rsidRDefault="00A11509" w:rsidP="005A041C">
            <w:pPr>
              <w:pStyle w:val="Tabletext"/>
              <w:rPr>
                <w:lang w:val="en-US"/>
              </w:rPr>
            </w:pPr>
            <w:r>
              <w:rPr>
                <w:lang w:val="en-US"/>
              </w:rPr>
              <w:t>LBDR</w:t>
            </w:r>
          </w:p>
          <w:p w:rsidR="00A11509" w:rsidRDefault="00A11509" w:rsidP="005A041C">
            <w:pPr>
              <w:pStyle w:val="Tabletext"/>
              <w:rPr>
                <w:lang w:val="en-US"/>
              </w:rPr>
            </w:pPr>
            <w:r>
              <w:rPr>
                <w:lang w:val="en-US"/>
              </w:rPr>
              <w:t>LBDR</w:t>
            </w:r>
          </w:p>
          <w:p w:rsidR="00A11509" w:rsidRDefault="00A11509" w:rsidP="005A041C">
            <w:pPr>
              <w:pStyle w:val="Tabletext"/>
              <w:rPr>
                <w:lang w:val="en-US"/>
              </w:rPr>
            </w:pPr>
            <w:r>
              <w:rPr>
                <w:lang w:val="en-US"/>
              </w:rPr>
              <w:t>LBDR</w:t>
            </w:r>
          </w:p>
          <w:p w:rsidR="00A11509" w:rsidRPr="00083501" w:rsidRDefault="00A11509" w:rsidP="005A041C">
            <w:pPr>
              <w:pStyle w:val="Tabletext"/>
              <w:rPr>
                <w:lang w:val="en-US"/>
              </w:rPr>
            </w:pPr>
            <w:r>
              <w:rPr>
                <w:lang w:val="en-US"/>
              </w:rPr>
              <w:t>LBDR</w:t>
            </w:r>
          </w:p>
        </w:tc>
        <w:tc>
          <w:tcPr>
            <w:tcW w:w="716" w:type="dxa"/>
          </w:tcPr>
          <w:p w:rsidR="00A11509" w:rsidRDefault="00A11509" w:rsidP="005A041C">
            <w:pPr>
              <w:pStyle w:val="Tabletext"/>
              <w:rPr>
                <w:lang w:val="en-US"/>
              </w:rPr>
            </w:pPr>
          </w:p>
          <w:p w:rsidR="00A11509" w:rsidRPr="00083501" w:rsidRDefault="00A11509" w:rsidP="005A041C">
            <w:pPr>
              <w:pStyle w:val="Tabletext"/>
              <w:rPr>
                <w:lang w:val="en-US"/>
              </w:rPr>
            </w:pPr>
            <w:r>
              <w:rPr>
                <w:lang w:val="en-US"/>
              </w:rPr>
              <w:t>LD3R</w:t>
            </w:r>
          </w:p>
        </w:tc>
        <w:tc>
          <w:tcPr>
            <w:tcW w:w="708" w:type="dxa"/>
          </w:tcPr>
          <w:p w:rsidR="00A11509" w:rsidRPr="00083501" w:rsidRDefault="00A11509" w:rsidP="005A041C">
            <w:pPr>
              <w:pStyle w:val="Tabletext"/>
              <w:rPr>
                <w:lang w:val="en-US"/>
              </w:rPr>
            </w:pPr>
          </w:p>
        </w:tc>
        <w:tc>
          <w:tcPr>
            <w:tcW w:w="709" w:type="dxa"/>
          </w:tcPr>
          <w:p w:rsidR="00A11509" w:rsidRPr="00083501" w:rsidRDefault="00A11509" w:rsidP="005A041C">
            <w:pPr>
              <w:pStyle w:val="Tabletext"/>
              <w:rPr>
                <w:lang w:val="en-US"/>
              </w:rPr>
            </w:pPr>
          </w:p>
        </w:tc>
        <w:tc>
          <w:tcPr>
            <w:tcW w:w="709" w:type="dxa"/>
          </w:tcPr>
          <w:p w:rsidR="00A11509" w:rsidRPr="00083501" w:rsidRDefault="00A11509" w:rsidP="005A041C">
            <w:pPr>
              <w:pStyle w:val="Tabletext"/>
              <w:rPr>
                <w:lang w:val="en-US"/>
              </w:rPr>
            </w:pPr>
          </w:p>
        </w:tc>
      </w:tr>
      <w:tr w:rsidR="00A11509" w:rsidRPr="00A40C32" w:rsidTr="005A041C">
        <w:trPr>
          <w:jc w:val="center"/>
        </w:trPr>
        <w:tc>
          <w:tcPr>
            <w:tcW w:w="1573" w:type="dxa"/>
          </w:tcPr>
          <w:p w:rsidR="00A11509" w:rsidRPr="00083501" w:rsidRDefault="00A11509" w:rsidP="005A041C">
            <w:pPr>
              <w:pStyle w:val="Tabletext"/>
              <w:rPr>
                <w:lang w:val="en-US"/>
              </w:rPr>
            </w:pPr>
            <w:r w:rsidRPr="004F1137">
              <w:rPr>
                <w:sz w:val="22"/>
                <w:lang w:val="en-US"/>
              </w:rPr>
              <w:lastRenderedPageBreak/>
              <w:t>DFH</w:t>
            </w:r>
            <w:r w:rsidRPr="00083501">
              <w:rPr>
                <w:lang w:val="en-US"/>
              </w:rPr>
              <w:t>-3-OC M</w:t>
            </w:r>
          </w:p>
        </w:tc>
        <w:tc>
          <w:tcPr>
            <w:tcW w:w="1095" w:type="dxa"/>
          </w:tcPr>
          <w:p w:rsidR="00A11509" w:rsidRPr="00083501" w:rsidRDefault="00A11509" w:rsidP="005A041C">
            <w:pPr>
              <w:pStyle w:val="Tabletext"/>
              <w:rPr>
                <w:lang w:val="en-US"/>
              </w:rPr>
            </w:pPr>
            <w:r>
              <w:rPr>
                <w:lang w:val="en-US"/>
              </w:rPr>
              <w:t>87.5°E</w:t>
            </w:r>
          </w:p>
        </w:tc>
        <w:tc>
          <w:tcPr>
            <w:tcW w:w="2058" w:type="dxa"/>
          </w:tcPr>
          <w:p w:rsidR="00A11509" w:rsidRPr="00083501" w:rsidRDefault="00A11509" w:rsidP="005A041C">
            <w:pPr>
              <w:pStyle w:val="Tabletext"/>
              <w:rPr>
                <w:lang w:val="en-US"/>
              </w:rPr>
            </w:pPr>
            <w:r>
              <w:rPr>
                <w:lang w:val="en-US"/>
              </w:rPr>
              <w:t>China</w:t>
            </w:r>
          </w:p>
        </w:tc>
        <w:tc>
          <w:tcPr>
            <w:tcW w:w="840" w:type="dxa"/>
          </w:tcPr>
          <w:p w:rsidR="00A11509" w:rsidRPr="00083501" w:rsidRDefault="00A11509" w:rsidP="005A041C">
            <w:pPr>
              <w:pStyle w:val="Tabletext"/>
              <w:rPr>
                <w:lang w:val="en-US"/>
              </w:rPr>
            </w:pPr>
            <w:r>
              <w:rPr>
                <w:lang w:val="en-US"/>
              </w:rPr>
              <w:t>N</w:t>
            </w:r>
          </w:p>
        </w:tc>
        <w:tc>
          <w:tcPr>
            <w:tcW w:w="870" w:type="dxa"/>
          </w:tcPr>
          <w:p w:rsidR="00A11509" w:rsidRPr="00083501" w:rsidRDefault="00A11509" w:rsidP="005A041C">
            <w:pPr>
              <w:pStyle w:val="Tabletext"/>
              <w:rPr>
                <w:lang w:val="en-US"/>
              </w:rPr>
            </w:pPr>
            <w:r w:rsidRPr="00083501">
              <w:rPr>
                <w:lang w:val="en-US"/>
              </w:rPr>
              <w:t>EL1</w:t>
            </w:r>
          </w:p>
        </w:tc>
        <w:tc>
          <w:tcPr>
            <w:tcW w:w="831" w:type="dxa"/>
          </w:tcPr>
          <w:p w:rsidR="00A11509" w:rsidRPr="00083501" w:rsidRDefault="00A11509" w:rsidP="005A041C">
            <w:pPr>
              <w:pStyle w:val="Tabletext"/>
              <w:rPr>
                <w:lang w:val="en-US"/>
              </w:rPr>
            </w:pPr>
          </w:p>
        </w:tc>
        <w:tc>
          <w:tcPr>
            <w:tcW w:w="716" w:type="dxa"/>
          </w:tcPr>
          <w:p w:rsidR="00A11509" w:rsidRPr="00083501" w:rsidRDefault="00A11509" w:rsidP="005A041C">
            <w:pPr>
              <w:pStyle w:val="Tabletext"/>
              <w:rPr>
                <w:lang w:val="en-US"/>
              </w:rPr>
            </w:pPr>
          </w:p>
        </w:tc>
        <w:tc>
          <w:tcPr>
            <w:tcW w:w="708" w:type="dxa"/>
          </w:tcPr>
          <w:p w:rsidR="00A11509" w:rsidRPr="00083501" w:rsidRDefault="00A11509" w:rsidP="005A041C">
            <w:pPr>
              <w:pStyle w:val="Tabletext"/>
              <w:rPr>
                <w:lang w:val="en-US"/>
              </w:rPr>
            </w:pPr>
          </w:p>
        </w:tc>
        <w:tc>
          <w:tcPr>
            <w:tcW w:w="709" w:type="dxa"/>
          </w:tcPr>
          <w:p w:rsidR="00A11509" w:rsidRPr="00083501" w:rsidRDefault="00A11509" w:rsidP="005A041C">
            <w:pPr>
              <w:pStyle w:val="Tabletext"/>
              <w:rPr>
                <w:lang w:val="en-US"/>
              </w:rPr>
            </w:pPr>
          </w:p>
        </w:tc>
        <w:tc>
          <w:tcPr>
            <w:tcW w:w="709" w:type="dxa"/>
          </w:tcPr>
          <w:p w:rsidR="00A11509" w:rsidRPr="00083501" w:rsidRDefault="00A11509" w:rsidP="005A041C">
            <w:pPr>
              <w:pStyle w:val="Tabletext"/>
              <w:rPr>
                <w:lang w:val="en-US"/>
              </w:rPr>
            </w:pPr>
          </w:p>
        </w:tc>
      </w:tr>
      <w:tr w:rsidR="00A11509" w:rsidTr="005A041C">
        <w:trPr>
          <w:jc w:val="center"/>
        </w:trPr>
        <w:tc>
          <w:tcPr>
            <w:tcW w:w="1573" w:type="dxa"/>
          </w:tcPr>
          <w:p w:rsidR="00A11509" w:rsidRPr="00083501" w:rsidRDefault="00A11509" w:rsidP="005A041C">
            <w:pPr>
              <w:pStyle w:val="Tabletext"/>
              <w:rPr>
                <w:lang w:val="en-US"/>
              </w:rPr>
            </w:pPr>
            <w:r w:rsidRPr="00083501">
              <w:rPr>
                <w:lang w:val="en-US"/>
              </w:rPr>
              <w:t>SADKO</w:t>
            </w:r>
          </w:p>
        </w:tc>
        <w:tc>
          <w:tcPr>
            <w:tcW w:w="1095" w:type="dxa"/>
          </w:tcPr>
          <w:p w:rsidR="00A11509" w:rsidRPr="00083501" w:rsidRDefault="00A11509" w:rsidP="005A041C">
            <w:pPr>
              <w:pStyle w:val="Tabletext"/>
              <w:rPr>
                <w:lang w:val="en-US"/>
              </w:rPr>
            </w:pPr>
            <w:r>
              <w:rPr>
                <w:lang w:val="en-US"/>
              </w:rPr>
              <w:t>85.4°E</w:t>
            </w:r>
          </w:p>
        </w:tc>
        <w:tc>
          <w:tcPr>
            <w:tcW w:w="2058" w:type="dxa"/>
          </w:tcPr>
          <w:p w:rsidR="00A11509" w:rsidRPr="00083501" w:rsidRDefault="00A11509" w:rsidP="005A041C">
            <w:pPr>
              <w:pStyle w:val="Tabletext"/>
              <w:rPr>
                <w:lang w:val="en-US"/>
              </w:rPr>
            </w:pPr>
            <w:r>
              <w:rPr>
                <w:lang w:val="en-US"/>
              </w:rPr>
              <w:t>Russian Federation</w:t>
            </w:r>
          </w:p>
        </w:tc>
        <w:tc>
          <w:tcPr>
            <w:tcW w:w="840" w:type="dxa"/>
          </w:tcPr>
          <w:p w:rsidR="00A11509" w:rsidRPr="00083501" w:rsidRDefault="00A11509" w:rsidP="005A041C">
            <w:pPr>
              <w:pStyle w:val="Tabletext"/>
              <w:rPr>
                <w:lang w:val="en-US"/>
              </w:rPr>
            </w:pPr>
            <w:r>
              <w:rPr>
                <w:lang w:val="en-US"/>
              </w:rPr>
              <w:t>N</w:t>
            </w:r>
          </w:p>
        </w:tc>
        <w:tc>
          <w:tcPr>
            <w:tcW w:w="870" w:type="dxa"/>
          </w:tcPr>
          <w:p w:rsidR="00A11509" w:rsidRPr="00083501" w:rsidRDefault="00A11509" w:rsidP="005A041C">
            <w:pPr>
              <w:pStyle w:val="Tabletext"/>
              <w:rPr>
                <w:lang w:val="en-US"/>
              </w:rPr>
            </w:pPr>
            <w:r w:rsidRPr="00083501">
              <w:rPr>
                <w:lang w:val="en-US"/>
              </w:rPr>
              <w:t>LEBR</w:t>
            </w:r>
          </w:p>
        </w:tc>
        <w:tc>
          <w:tcPr>
            <w:tcW w:w="831" w:type="dxa"/>
          </w:tcPr>
          <w:p w:rsidR="00A11509" w:rsidRPr="00083501" w:rsidRDefault="00A11509" w:rsidP="005A041C">
            <w:pPr>
              <w:pStyle w:val="Tabletext"/>
              <w:rPr>
                <w:lang w:val="en-US"/>
              </w:rPr>
            </w:pPr>
          </w:p>
        </w:tc>
        <w:tc>
          <w:tcPr>
            <w:tcW w:w="716" w:type="dxa"/>
          </w:tcPr>
          <w:p w:rsidR="00A11509" w:rsidRPr="00083501" w:rsidRDefault="00A11509" w:rsidP="005A041C">
            <w:pPr>
              <w:pStyle w:val="Tabletext"/>
              <w:rPr>
                <w:lang w:val="en-US"/>
              </w:rPr>
            </w:pPr>
          </w:p>
        </w:tc>
        <w:tc>
          <w:tcPr>
            <w:tcW w:w="708" w:type="dxa"/>
          </w:tcPr>
          <w:p w:rsidR="00A11509" w:rsidRPr="00083501" w:rsidRDefault="00A11509" w:rsidP="005A041C">
            <w:pPr>
              <w:pStyle w:val="Tabletext"/>
              <w:rPr>
                <w:lang w:val="en-US"/>
              </w:rPr>
            </w:pPr>
          </w:p>
        </w:tc>
        <w:tc>
          <w:tcPr>
            <w:tcW w:w="709" w:type="dxa"/>
          </w:tcPr>
          <w:p w:rsidR="00A11509" w:rsidRPr="00083501" w:rsidRDefault="00A11509" w:rsidP="005A041C">
            <w:pPr>
              <w:pStyle w:val="Tabletext"/>
              <w:rPr>
                <w:lang w:val="en-US"/>
              </w:rPr>
            </w:pPr>
          </w:p>
        </w:tc>
        <w:tc>
          <w:tcPr>
            <w:tcW w:w="709" w:type="dxa"/>
          </w:tcPr>
          <w:p w:rsidR="00A11509" w:rsidRPr="00083501" w:rsidRDefault="00A11509" w:rsidP="005A041C">
            <w:pPr>
              <w:pStyle w:val="Tabletext"/>
              <w:rPr>
                <w:lang w:val="en-US"/>
              </w:rPr>
            </w:pPr>
          </w:p>
        </w:tc>
      </w:tr>
      <w:tr w:rsidR="00A11509" w:rsidTr="005A041C">
        <w:trPr>
          <w:jc w:val="center"/>
        </w:trPr>
        <w:tc>
          <w:tcPr>
            <w:tcW w:w="1573" w:type="dxa"/>
          </w:tcPr>
          <w:p w:rsidR="00A11509" w:rsidRPr="00DD6827" w:rsidRDefault="00A11509" w:rsidP="005A041C">
            <w:pPr>
              <w:pStyle w:val="Tabletext"/>
              <w:rPr>
                <w:sz w:val="22"/>
                <w:lang w:val="en-US"/>
              </w:rPr>
            </w:pPr>
            <w:r w:rsidRPr="00DD6827">
              <w:rPr>
                <w:sz w:val="22"/>
                <w:lang w:val="en-US"/>
              </w:rPr>
              <w:t>INDOSTAR-1</w:t>
            </w:r>
          </w:p>
          <w:p w:rsidR="00A11509" w:rsidRPr="00DD6827" w:rsidRDefault="00A11509" w:rsidP="005A041C">
            <w:pPr>
              <w:pStyle w:val="Tabletext"/>
              <w:rPr>
                <w:sz w:val="22"/>
                <w:lang w:val="en-US"/>
              </w:rPr>
            </w:pPr>
            <w:r w:rsidRPr="00DD6827">
              <w:rPr>
                <w:sz w:val="22"/>
                <w:lang w:val="en-US"/>
              </w:rPr>
              <w:t>INDOSTAR-2</w:t>
            </w:r>
          </w:p>
          <w:p w:rsidR="00A11509" w:rsidRPr="00712AE5" w:rsidRDefault="00A11509" w:rsidP="005A041C">
            <w:pPr>
              <w:pStyle w:val="Tabletext"/>
              <w:rPr>
                <w:lang w:val="en-US"/>
              </w:rPr>
            </w:pPr>
            <w:r w:rsidRPr="00DD6827">
              <w:rPr>
                <w:sz w:val="22"/>
                <w:lang w:val="en-US"/>
              </w:rPr>
              <w:t>INDOSTAR</w:t>
            </w:r>
            <w:r w:rsidRPr="00712AE5">
              <w:rPr>
                <w:lang w:val="en-US"/>
              </w:rPr>
              <w:t>-3</w:t>
            </w:r>
          </w:p>
          <w:p w:rsidR="00A11509" w:rsidRPr="00083501" w:rsidRDefault="00A11509" w:rsidP="005A041C">
            <w:pPr>
              <w:pStyle w:val="Tabletext"/>
              <w:rPr>
                <w:lang w:val="en-US"/>
              </w:rPr>
            </w:pPr>
            <w:r w:rsidRPr="00DD6827">
              <w:rPr>
                <w:sz w:val="22"/>
                <w:lang w:val="en-US"/>
              </w:rPr>
              <w:t>INDOSTAR</w:t>
            </w:r>
            <w:r w:rsidRPr="00712AE5">
              <w:rPr>
                <w:lang w:val="en-US"/>
              </w:rPr>
              <w:t>-4</w:t>
            </w:r>
          </w:p>
        </w:tc>
        <w:tc>
          <w:tcPr>
            <w:tcW w:w="1095" w:type="dxa"/>
          </w:tcPr>
          <w:p w:rsidR="00A11509" w:rsidRDefault="00A11509" w:rsidP="005A041C">
            <w:pPr>
              <w:pStyle w:val="Tabletext"/>
              <w:rPr>
                <w:lang w:val="en-US"/>
              </w:rPr>
            </w:pPr>
            <w:r>
              <w:rPr>
                <w:lang w:val="en-US"/>
              </w:rPr>
              <w:t>107.7°E</w:t>
            </w:r>
          </w:p>
          <w:p w:rsidR="00A11509" w:rsidRDefault="00A11509" w:rsidP="005A041C">
            <w:pPr>
              <w:pStyle w:val="Tabletext"/>
              <w:rPr>
                <w:lang w:val="en-US"/>
              </w:rPr>
            </w:pPr>
            <w:r>
              <w:rPr>
                <w:lang w:val="en-US"/>
              </w:rPr>
              <w:t>119.1°E</w:t>
            </w:r>
          </w:p>
          <w:p w:rsidR="00A11509" w:rsidRDefault="00A11509" w:rsidP="005A041C">
            <w:pPr>
              <w:pStyle w:val="Tabletext"/>
              <w:rPr>
                <w:lang w:val="en-US"/>
              </w:rPr>
            </w:pPr>
            <w:r>
              <w:rPr>
                <w:lang w:val="en-US"/>
              </w:rPr>
              <w:t>107.5°E</w:t>
            </w:r>
          </w:p>
          <w:p w:rsidR="00A11509" w:rsidRPr="00083501" w:rsidRDefault="00A11509" w:rsidP="005A041C">
            <w:pPr>
              <w:pStyle w:val="Tabletext"/>
              <w:rPr>
                <w:lang w:val="en-US"/>
              </w:rPr>
            </w:pPr>
            <w:r>
              <w:rPr>
                <w:lang w:val="en-US"/>
              </w:rPr>
              <w:t>118.9°E</w:t>
            </w:r>
          </w:p>
        </w:tc>
        <w:tc>
          <w:tcPr>
            <w:tcW w:w="2058" w:type="dxa"/>
          </w:tcPr>
          <w:p w:rsidR="00A11509" w:rsidRPr="00083501" w:rsidRDefault="00A11509" w:rsidP="005A041C">
            <w:pPr>
              <w:pStyle w:val="Tabletext"/>
              <w:rPr>
                <w:lang w:val="en-US"/>
              </w:rPr>
            </w:pPr>
            <w:r>
              <w:rPr>
                <w:lang w:val="en-US"/>
              </w:rPr>
              <w:t>Indonesia</w:t>
            </w:r>
          </w:p>
        </w:tc>
        <w:tc>
          <w:tcPr>
            <w:tcW w:w="840" w:type="dxa"/>
          </w:tcPr>
          <w:p w:rsidR="00A11509" w:rsidRDefault="00A11509" w:rsidP="005A041C">
            <w:pPr>
              <w:pStyle w:val="Tabletext"/>
              <w:rPr>
                <w:lang w:val="en-US"/>
              </w:rPr>
            </w:pPr>
            <w:r>
              <w:rPr>
                <w:lang w:val="en-US"/>
              </w:rPr>
              <w:t>N</w:t>
            </w:r>
          </w:p>
          <w:p w:rsidR="00A11509" w:rsidRDefault="00A11509" w:rsidP="005A041C">
            <w:pPr>
              <w:pStyle w:val="Tabletext"/>
              <w:rPr>
                <w:lang w:val="en-US"/>
              </w:rPr>
            </w:pPr>
            <w:r>
              <w:rPr>
                <w:lang w:val="en-US"/>
              </w:rPr>
              <w:t>N</w:t>
            </w:r>
          </w:p>
          <w:p w:rsidR="00A11509" w:rsidRDefault="00A11509" w:rsidP="005A041C">
            <w:pPr>
              <w:pStyle w:val="Tabletext"/>
              <w:rPr>
                <w:lang w:val="en-US"/>
              </w:rPr>
            </w:pPr>
            <w:r>
              <w:rPr>
                <w:lang w:val="en-US"/>
              </w:rPr>
              <w:t>N</w:t>
            </w:r>
          </w:p>
          <w:p w:rsidR="00A11509" w:rsidRPr="00083501" w:rsidRDefault="00A11509" w:rsidP="005A041C">
            <w:pPr>
              <w:pStyle w:val="Tabletext"/>
              <w:rPr>
                <w:lang w:val="en-US"/>
              </w:rPr>
            </w:pPr>
            <w:r>
              <w:rPr>
                <w:lang w:val="en-US"/>
              </w:rPr>
              <w:t>N</w:t>
            </w:r>
          </w:p>
        </w:tc>
        <w:tc>
          <w:tcPr>
            <w:tcW w:w="870" w:type="dxa"/>
          </w:tcPr>
          <w:p w:rsidR="00A11509" w:rsidRPr="00083501" w:rsidRDefault="00A11509" w:rsidP="005A041C">
            <w:pPr>
              <w:pStyle w:val="Tabletext"/>
              <w:rPr>
                <w:lang w:val="en-US"/>
              </w:rPr>
            </w:pPr>
            <w:r w:rsidRPr="00083501">
              <w:rPr>
                <w:lang w:val="en-US"/>
              </w:rPr>
              <w:t>LBN</w:t>
            </w:r>
          </w:p>
        </w:tc>
        <w:tc>
          <w:tcPr>
            <w:tcW w:w="831" w:type="dxa"/>
          </w:tcPr>
          <w:p w:rsidR="00A11509" w:rsidRPr="00083501" w:rsidRDefault="00A11509" w:rsidP="005A041C">
            <w:pPr>
              <w:pStyle w:val="Tabletext"/>
              <w:rPr>
                <w:lang w:val="en-US"/>
              </w:rPr>
            </w:pPr>
          </w:p>
        </w:tc>
        <w:tc>
          <w:tcPr>
            <w:tcW w:w="716" w:type="dxa"/>
          </w:tcPr>
          <w:p w:rsidR="00A11509" w:rsidRPr="00083501" w:rsidRDefault="00A11509" w:rsidP="005A041C">
            <w:pPr>
              <w:pStyle w:val="Tabletext"/>
              <w:rPr>
                <w:lang w:val="en-US"/>
              </w:rPr>
            </w:pPr>
          </w:p>
        </w:tc>
        <w:tc>
          <w:tcPr>
            <w:tcW w:w="708" w:type="dxa"/>
          </w:tcPr>
          <w:p w:rsidR="00A11509" w:rsidRPr="00083501" w:rsidRDefault="00A11509" w:rsidP="005A041C">
            <w:pPr>
              <w:pStyle w:val="Tabletext"/>
              <w:rPr>
                <w:lang w:val="en-US"/>
              </w:rPr>
            </w:pPr>
          </w:p>
        </w:tc>
        <w:tc>
          <w:tcPr>
            <w:tcW w:w="709" w:type="dxa"/>
          </w:tcPr>
          <w:p w:rsidR="00A11509" w:rsidRPr="00083501" w:rsidRDefault="00A11509" w:rsidP="005A041C">
            <w:pPr>
              <w:pStyle w:val="Tabletext"/>
              <w:rPr>
                <w:lang w:val="en-US"/>
              </w:rPr>
            </w:pPr>
          </w:p>
        </w:tc>
        <w:tc>
          <w:tcPr>
            <w:tcW w:w="709" w:type="dxa"/>
          </w:tcPr>
          <w:p w:rsidR="00A11509" w:rsidRPr="00083501" w:rsidRDefault="00A11509" w:rsidP="005A041C">
            <w:pPr>
              <w:pStyle w:val="Tabletext"/>
              <w:rPr>
                <w:lang w:val="en-US"/>
              </w:rPr>
            </w:pPr>
          </w:p>
        </w:tc>
      </w:tr>
    </w:tbl>
    <w:p w:rsidR="00A11509" w:rsidRDefault="00A11509" w:rsidP="00A11509">
      <w:pPr>
        <w:rPr>
          <w:szCs w:val="24"/>
          <w:lang w:val="en-US"/>
        </w:rPr>
      </w:pPr>
      <w:r>
        <w:rPr>
          <w:szCs w:val="24"/>
          <w:lang w:val="en-US"/>
        </w:rPr>
        <w:t xml:space="preserve">The purpose of the study is to evaluate </w:t>
      </w:r>
      <w:r w:rsidRPr="005955F1">
        <w:rPr>
          <w:szCs w:val="24"/>
          <w:lang w:val="en-US"/>
        </w:rPr>
        <w:t>if the proposed pfd limit included in the CPM</w:t>
      </w:r>
      <w:r w:rsidRPr="000B0E05">
        <w:rPr>
          <w:szCs w:val="24"/>
          <w:lang w:val="en-US"/>
        </w:rPr>
        <w:t xml:space="preserve"> Report </w:t>
      </w:r>
      <w:r w:rsidRPr="00AF4D16">
        <w:rPr>
          <w:szCs w:val="24"/>
          <w:lang w:val="en-US"/>
        </w:rPr>
        <w:t>on WRC-15 agenda item 1.1 (i.e. -113dBW/(m</w:t>
      </w:r>
      <w:r w:rsidRPr="00AF4D16">
        <w:rPr>
          <w:szCs w:val="24"/>
          <w:vertAlign w:val="superscript"/>
          <w:lang w:val="en-US"/>
        </w:rPr>
        <w:t>2</w:t>
      </w:r>
      <w:r w:rsidRPr="00AF4D16">
        <w:rPr>
          <w:szCs w:val="24"/>
          <w:lang w:val="en-US"/>
        </w:rPr>
        <w:t>.MHz)) has an impact on the coverage requirements of the intended service areas of BSS systems operating within the band 1</w:t>
      </w:r>
      <w:r>
        <w:rPr>
          <w:szCs w:val="24"/>
          <w:lang w:val="en-US"/>
        </w:rPr>
        <w:t xml:space="preserve"> </w:t>
      </w:r>
      <w:r w:rsidRPr="00AF4D16">
        <w:rPr>
          <w:szCs w:val="24"/>
          <w:lang w:val="en-US"/>
        </w:rPr>
        <w:t>452-1</w:t>
      </w:r>
      <w:r>
        <w:rPr>
          <w:szCs w:val="24"/>
          <w:lang w:val="en-US"/>
        </w:rPr>
        <w:t xml:space="preserve"> </w:t>
      </w:r>
      <w:r w:rsidRPr="00AF4D16">
        <w:rPr>
          <w:szCs w:val="24"/>
          <w:lang w:val="en-US"/>
        </w:rPr>
        <w:t>492 MHz</w:t>
      </w:r>
      <w:r>
        <w:rPr>
          <w:szCs w:val="24"/>
          <w:lang w:val="en-US"/>
        </w:rPr>
        <w:t>.</w:t>
      </w:r>
    </w:p>
    <w:p w:rsidR="00A11509" w:rsidRDefault="00A11509" w:rsidP="00A11509">
      <w:pPr>
        <w:rPr>
          <w:szCs w:val="24"/>
          <w:lang w:val="en-US"/>
        </w:rPr>
      </w:pPr>
      <w:r>
        <w:rPr>
          <w:szCs w:val="24"/>
          <w:lang w:val="en-US"/>
        </w:rPr>
        <w:t>Technical characteristics of BSS satellite networks were extracted from the SRS database through the SNS Query Builder software</w:t>
      </w:r>
      <w:r>
        <w:rPr>
          <w:rStyle w:val="FootnoteReference"/>
          <w:szCs w:val="24"/>
          <w:lang w:val="en-US"/>
        </w:rPr>
        <w:footnoteReference w:id="2"/>
      </w:r>
      <w:r>
        <w:rPr>
          <w:szCs w:val="24"/>
          <w:lang w:val="en-US"/>
        </w:rPr>
        <w:t xml:space="preserve"> and are shown in Table 2 below.</w:t>
      </w:r>
    </w:p>
    <w:p w:rsidR="00A11509" w:rsidRDefault="00A11509" w:rsidP="00A11509">
      <w:pPr>
        <w:pStyle w:val="TableNo"/>
        <w:rPr>
          <w:lang w:val="en-US"/>
        </w:rPr>
      </w:pPr>
      <w:r>
        <w:rPr>
          <w:lang w:val="en-US"/>
        </w:rPr>
        <w:t>Table 2</w:t>
      </w:r>
    </w:p>
    <w:p w:rsidR="00A11509" w:rsidRPr="00A40C32" w:rsidRDefault="00A11509" w:rsidP="00A11509">
      <w:pPr>
        <w:pStyle w:val="Tabletitle"/>
        <w:rPr>
          <w:lang w:val="en-US"/>
        </w:rPr>
      </w:pPr>
      <w:r>
        <w:rPr>
          <w:lang w:val="en-US"/>
        </w:rPr>
        <w:t>Characteristics of BSS satellite networks in the band 1452-1492 MHz</w:t>
      </w:r>
    </w:p>
    <w:p w:rsidR="00A11509" w:rsidRPr="00712AE5" w:rsidRDefault="00A11509" w:rsidP="00A11509">
      <w:pPr>
        <w:rPr>
          <w:szCs w:val="24"/>
          <w:lang w:val="en-US"/>
        </w:rPr>
      </w:pPr>
    </w:p>
    <w:tbl>
      <w:tblPr>
        <w:tblStyle w:val="TableGrid"/>
        <w:tblW w:w="9855" w:type="dxa"/>
        <w:jc w:val="center"/>
        <w:tblLook w:val="04A0" w:firstRow="1" w:lastRow="0" w:firstColumn="1" w:lastColumn="0" w:noHBand="0" w:noVBand="1"/>
      </w:tblPr>
      <w:tblGrid>
        <w:gridCol w:w="3226"/>
        <w:gridCol w:w="1139"/>
        <w:gridCol w:w="1196"/>
        <w:gridCol w:w="950"/>
        <w:gridCol w:w="1139"/>
        <w:gridCol w:w="1139"/>
        <w:gridCol w:w="1066"/>
      </w:tblGrid>
      <w:tr w:rsidR="00A11509" w:rsidRPr="00E3143E" w:rsidTr="005A041C">
        <w:trPr>
          <w:trHeight w:val="420"/>
          <w:jc w:val="center"/>
        </w:trPr>
        <w:tc>
          <w:tcPr>
            <w:tcW w:w="3226" w:type="dxa"/>
          </w:tcPr>
          <w:p w:rsidR="00A11509" w:rsidRPr="00A1572A" w:rsidRDefault="00A11509" w:rsidP="005A041C">
            <w:pPr>
              <w:pStyle w:val="Tablehead"/>
              <w:rPr>
                <w:lang w:val="en-US"/>
              </w:rPr>
            </w:pPr>
            <w:r w:rsidRPr="00A1572A">
              <w:rPr>
                <w:lang w:val="en-US"/>
              </w:rPr>
              <w:t>Sat</w:t>
            </w:r>
            <w:r>
              <w:rPr>
                <w:lang w:val="en-US"/>
              </w:rPr>
              <w:t>ellite and</w:t>
            </w:r>
            <w:r w:rsidRPr="00A1572A">
              <w:rPr>
                <w:lang w:val="en-US"/>
              </w:rPr>
              <w:t>/</w:t>
            </w:r>
            <w:r>
              <w:rPr>
                <w:lang w:val="en-US"/>
              </w:rPr>
              <w:t xml:space="preserve">or </w:t>
            </w:r>
            <w:r w:rsidRPr="00A1572A">
              <w:rPr>
                <w:lang w:val="en-US"/>
              </w:rPr>
              <w:t>Beam Name</w:t>
            </w:r>
          </w:p>
        </w:tc>
        <w:tc>
          <w:tcPr>
            <w:tcW w:w="1139" w:type="dxa"/>
          </w:tcPr>
          <w:p w:rsidR="00A11509" w:rsidRPr="00A1572A" w:rsidRDefault="00A11509" w:rsidP="005A041C">
            <w:pPr>
              <w:pStyle w:val="Tablehead"/>
              <w:rPr>
                <w:lang w:val="en-US"/>
              </w:rPr>
            </w:pPr>
            <w:r w:rsidRPr="00A1572A">
              <w:rPr>
                <w:lang w:val="en-US"/>
              </w:rPr>
              <w:t>P</w:t>
            </w:r>
            <w:r w:rsidRPr="00A1572A">
              <w:rPr>
                <w:vertAlign w:val="subscript"/>
                <w:lang w:val="en-US"/>
              </w:rPr>
              <w:t>e max</w:t>
            </w:r>
          </w:p>
        </w:tc>
        <w:tc>
          <w:tcPr>
            <w:tcW w:w="1196" w:type="dxa"/>
          </w:tcPr>
          <w:p w:rsidR="00A11509" w:rsidRPr="00A1572A" w:rsidRDefault="00A11509" w:rsidP="005A041C">
            <w:pPr>
              <w:pStyle w:val="Tablehead"/>
              <w:rPr>
                <w:lang w:val="en-US"/>
              </w:rPr>
            </w:pPr>
            <w:r w:rsidRPr="00A1572A">
              <w:rPr>
                <w:lang w:val="en-US"/>
              </w:rPr>
              <w:t>P</w:t>
            </w:r>
            <w:r w:rsidRPr="00A1572A">
              <w:rPr>
                <w:vertAlign w:val="subscript"/>
                <w:lang w:val="en-US"/>
              </w:rPr>
              <w:t>e min</w:t>
            </w:r>
          </w:p>
        </w:tc>
        <w:tc>
          <w:tcPr>
            <w:tcW w:w="950" w:type="dxa"/>
          </w:tcPr>
          <w:p w:rsidR="00A11509" w:rsidRPr="00A1572A" w:rsidRDefault="00A11509" w:rsidP="005A041C">
            <w:pPr>
              <w:pStyle w:val="Tablehead"/>
              <w:rPr>
                <w:lang w:val="en-US"/>
              </w:rPr>
            </w:pPr>
            <w:r w:rsidRPr="00A1572A">
              <w:rPr>
                <w:lang w:val="en-US"/>
              </w:rPr>
              <w:t>G</w:t>
            </w:r>
            <w:r w:rsidRPr="00A1572A">
              <w:rPr>
                <w:vertAlign w:val="subscript"/>
                <w:lang w:val="en-US"/>
              </w:rPr>
              <w:t>Tx</w:t>
            </w:r>
          </w:p>
        </w:tc>
        <w:tc>
          <w:tcPr>
            <w:tcW w:w="1139" w:type="dxa"/>
          </w:tcPr>
          <w:p w:rsidR="00A11509" w:rsidRPr="00A1572A" w:rsidRDefault="00A11509" w:rsidP="005A041C">
            <w:pPr>
              <w:pStyle w:val="Tablehead"/>
              <w:rPr>
                <w:lang w:val="en-US"/>
              </w:rPr>
            </w:pPr>
            <w:r w:rsidRPr="00A1572A">
              <w:rPr>
                <w:lang w:val="en-US"/>
              </w:rPr>
              <w:t>EIRP</w:t>
            </w:r>
            <w:r w:rsidRPr="00A1572A">
              <w:rPr>
                <w:vertAlign w:val="subscript"/>
                <w:lang w:val="en-US"/>
              </w:rPr>
              <w:t>max</w:t>
            </w:r>
          </w:p>
        </w:tc>
        <w:tc>
          <w:tcPr>
            <w:tcW w:w="1139" w:type="dxa"/>
          </w:tcPr>
          <w:p w:rsidR="00A11509" w:rsidRPr="00A1572A" w:rsidRDefault="00A11509" w:rsidP="005A041C">
            <w:pPr>
              <w:pStyle w:val="Tablehead"/>
              <w:rPr>
                <w:lang w:val="en-US"/>
              </w:rPr>
            </w:pPr>
            <w:r w:rsidRPr="00A1572A">
              <w:rPr>
                <w:lang w:val="en-US"/>
              </w:rPr>
              <w:t>EIRP</w:t>
            </w:r>
            <w:r w:rsidRPr="00A1572A">
              <w:rPr>
                <w:vertAlign w:val="subscript"/>
                <w:lang w:val="en-US"/>
              </w:rPr>
              <w:t>min</w:t>
            </w:r>
          </w:p>
        </w:tc>
        <w:tc>
          <w:tcPr>
            <w:tcW w:w="1066" w:type="dxa"/>
          </w:tcPr>
          <w:p w:rsidR="00A11509" w:rsidRPr="00A1572A" w:rsidRDefault="00A11509" w:rsidP="005A041C">
            <w:pPr>
              <w:pStyle w:val="Tablehead"/>
              <w:rPr>
                <w:lang w:val="en-US"/>
              </w:rPr>
            </w:pPr>
            <w:r w:rsidRPr="00A1572A">
              <w:rPr>
                <w:lang w:val="en-US"/>
              </w:rPr>
              <w:t>B (MHz)</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AD AFRIBSS</w:t>
            </w:r>
          </w:p>
        </w:tc>
        <w:tc>
          <w:tcPr>
            <w:tcW w:w="1139" w:type="dxa"/>
          </w:tcPr>
          <w:p w:rsidR="00A11509" w:rsidRPr="00A1572A" w:rsidRDefault="00A11509" w:rsidP="005A041C">
            <w:pPr>
              <w:pStyle w:val="Tabletext"/>
              <w:rPr>
                <w:lang w:val="en-US"/>
              </w:rPr>
            </w:pPr>
            <w:r w:rsidRPr="00A1572A">
              <w:rPr>
                <w:lang w:val="en-US"/>
              </w:rPr>
              <w:t>23.8</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10.7</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29</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52.8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39.7</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3</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BD AFRIBSS</w:t>
            </w:r>
          </w:p>
        </w:tc>
        <w:tc>
          <w:tcPr>
            <w:tcW w:w="1139" w:type="dxa"/>
          </w:tcPr>
          <w:p w:rsidR="00A11509" w:rsidRPr="00A1572A" w:rsidRDefault="00A11509" w:rsidP="005A041C">
            <w:pPr>
              <w:pStyle w:val="Tabletext"/>
              <w:rPr>
                <w:lang w:val="en-US"/>
              </w:rPr>
            </w:pPr>
            <w:r w:rsidRPr="00A1572A">
              <w:rPr>
                <w:lang w:val="en-US"/>
              </w:rPr>
              <w:t>23.8</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10</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29.7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53.5</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39.7</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3</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CD AFRIBSS</w:t>
            </w:r>
          </w:p>
        </w:tc>
        <w:tc>
          <w:tcPr>
            <w:tcW w:w="1139" w:type="dxa"/>
          </w:tcPr>
          <w:p w:rsidR="00A11509" w:rsidRPr="00A1572A" w:rsidRDefault="00A11509" w:rsidP="005A041C">
            <w:pPr>
              <w:pStyle w:val="Tabletext"/>
              <w:rPr>
                <w:lang w:val="en-US"/>
              </w:rPr>
            </w:pPr>
            <w:r w:rsidRPr="00A1572A">
              <w:rPr>
                <w:lang w:val="en-US"/>
              </w:rPr>
              <w:t>23.8</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10.7</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29</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52.8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39.7</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3</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AD2 AFRIBSS</w:t>
            </w:r>
          </w:p>
        </w:tc>
        <w:tc>
          <w:tcPr>
            <w:tcW w:w="1139" w:type="dxa"/>
          </w:tcPr>
          <w:p w:rsidR="00A11509" w:rsidRPr="00A1572A" w:rsidRDefault="00A11509" w:rsidP="005A041C">
            <w:pPr>
              <w:pStyle w:val="Tabletext"/>
              <w:rPr>
                <w:lang w:val="en-US"/>
              </w:rPr>
            </w:pPr>
            <w:r w:rsidRPr="00A1572A">
              <w:rPr>
                <w:lang w:val="en-US"/>
              </w:rPr>
              <w:t>23.8</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2.5</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30</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53.8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Pr>
                <w:lang w:val="en-US"/>
              </w:rPr>
              <w:t>32.5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BD2 AFRIBSS</w:t>
            </w:r>
          </w:p>
        </w:tc>
        <w:tc>
          <w:tcPr>
            <w:tcW w:w="1139" w:type="dxa"/>
          </w:tcPr>
          <w:p w:rsidR="00A11509" w:rsidRPr="00A1572A" w:rsidRDefault="00A11509" w:rsidP="005A041C">
            <w:pPr>
              <w:pStyle w:val="Tabletext"/>
              <w:rPr>
                <w:lang w:val="en-US"/>
              </w:rPr>
            </w:pPr>
            <w:r w:rsidRPr="00A1572A">
              <w:rPr>
                <w:lang w:val="en-US"/>
              </w:rPr>
              <w:t>23.8</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9.2</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30.5</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54.3</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Pr>
                <w:lang w:val="en-US"/>
              </w:rPr>
              <w:t>39.7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CD2 AFRIBSS</w:t>
            </w:r>
          </w:p>
        </w:tc>
        <w:tc>
          <w:tcPr>
            <w:tcW w:w="1139" w:type="dxa"/>
          </w:tcPr>
          <w:p w:rsidR="00A11509" w:rsidRPr="00A1572A" w:rsidRDefault="00A11509" w:rsidP="005A041C">
            <w:pPr>
              <w:pStyle w:val="Tabletext"/>
              <w:rPr>
                <w:lang w:val="en-US"/>
              </w:rPr>
            </w:pPr>
            <w:r w:rsidRPr="00A1572A">
              <w:rPr>
                <w:lang w:val="en-US"/>
              </w:rPr>
              <w:t>23.8</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2.5</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30</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53.8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Pr>
                <w:lang w:val="en-US"/>
              </w:rPr>
              <w:t>32.5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AD ASIABSS</w:t>
            </w:r>
          </w:p>
        </w:tc>
        <w:tc>
          <w:tcPr>
            <w:tcW w:w="1139" w:type="dxa"/>
          </w:tcPr>
          <w:p w:rsidR="00A11509" w:rsidRPr="00A1572A" w:rsidRDefault="00A11509" w:rsidP="005A041C">
            <w:pPr>
              <w:pStyle w:val="Tabletext"/>
              <w:rPr>
                <w:lang w:val="en-US"/>
              </w:rPr>
            </w:pPr>
            <w:r w:rsidRPr="00A1572A">
              <w:rPr>
                <w:lang w:val="en-US"/>
              </w:rPr>
              <w:t>23.8</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19.8</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30</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53.8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Pr>
                <w:lang w:val="en-US"/>
              </w:rPr>
              <w:t>49.8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BD ASIABSS</w:t>
            </w:r>
          </w:p>
        </w:tc>
        <w:tc>
          <w:tcPr>
            <w:tcW w:w="1139" w:type="dxa"/>
          </w:tcPr>
          <w:p w:rsidR="00A11509" w:rsidRPr="00A1572A" w:rsidRDefault="00A11509" w:rsidP="005A041C">
            <w:pPr>
              <w:pStyle w:val="Tabletext"/>
              <w:rPr>
                <w:lang w:val="en-US"/>
              </w:rPr>
            </w:pPr>
            <w:r w:rsidRPr="00A1572A">
              <w:rPr>
                <w:lang w:val="en-US"/>
              </w:rPr>
              <w:t>23.8</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19.8</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30.5</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54.3</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Pr>
                <w:lang w:val="en-US"/>
              </w:rPr>
              <w:t>50.3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CD ASIABSS</w:t>
            </w:r>
          </w:p>
        </w:tc>
        <w:tc>
          <w:tcPr>
            <w:tcW w:w="1139" w:type="dxa"/>
          </w:tcPr>
          <w:p w:rsidR="00A11509" w:rsidRPr="00A1572A" w:rsidRDefault="00A11509" w:rsidP="005A041C">
            <w:pPr>
              <w:pStyle w:val="Tabletext"/>
              <w:rPr>
                <w:lang w:val="en-US"/>
              </w:rPr>
            </w:pPr>
            <w:r w:rsidRPr="00A1572A">
              <w:rPr>
                <w:lang w:val="en-US"/>
              </w:rPr>
              <w:t>23.8</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19.8</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30</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53.8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Pr>
                <w:lang w:val="en-US"/>
              </w:rPr>
              <w:t>49.8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LDCN CHINASAT-92.2E</w:t>
            </w:r>
          </w:p>
        </w:tc>
        <w:tc>
          <w:tcPr>
            <w:tcW w:w="1139" w:type="dxa"/>
          </w:tcPr>
          <w:p w:rsidR="00A11509" w:rsidRPr="00A1572A" w:rsidRDefault="00A11509" w:rsidP="005A041C">
            <w:pPr>
              <w:pStyle w:val="Tabletext"/>
              <w:rPr>
                <w:lang w:val="en-US"/>
              </w:rPr>
            </w:pPr>
            <w:r w:rsidRPr="00A1572A">
              <w:rPr>
                <w:lang w:val="en-US"/>
              </w:rPr>
              <w:t>25</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21</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29</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54</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 xml:space="preserve">50 </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CHINASAT-A5 (87.5) LD1R/LD2R/LD3R</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2.6-17</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CHINASAT-C20 (126)</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CHINASAT-C21 (136)</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CHINASAT-CL11 (163)</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CHINASAT-CL2 (51.5)</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CHINASAT-D-110 (110.5)</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 xml:space="preserve">CHINASAT-125E </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CHINASAT-163E</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CHINASAT-87.5E</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CHINASAT-DL4 (110.5)</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CHINASAT-DL5 (115.5)</w:t>
            </w:r>
          </w:p>
        </w:tc>
        <w:tc>
          <w:tcPr>
            <w:tcW w:w="1139" w:type="dxa"/>
          </w:tcPr>
          <w:p w:rsidR="00A11509" w:rsidRPr="00A1572A" w:rsidRDefault="00A11509" w:rsidP="005A041C">
            <w:pPr>
              <w:pStyle w:val="Tabletext"/>
              <w:rPr>
                <w:lang w:val="en-US"/>
              </w:rPr>
            </w:pPr>
            <w:r w:rsidRPr="00A1572A">
              <w:rPr>
                <w:lang w:val="en-US"/>
              </w:rPr>
              <w:t>31.8</w:t>
            </w:r>
            <w:r>
              <w:rPr>
                <w:lang w:val="en-US"/>
              </w:rPr>
              <w:t xml:space="preserve"> dB</w:t>
            </w:r>
            <w:r w:rsidRPr="00A1572A">
              <w:rPr>
                <w:lang w:val="en-US"/>
              </w:rPr>
              <w:t>W</w:t>
            </w:r>
          </w:p>
        </w:tc>
        <w:tc>
          <w:tcPr>
            <w:tcW w:w="1196" w:type="dxa"/>
          </w:tcPr>
          <w:p w:rsidR="00A11509" w:rsidRPr="00A1572A" w:rsidRDefault="00A11509" w:rsidP="005A041C">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68.8</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39.6</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lastRenderedPageBreak/>
              <w:t>CHINASAT-DL6 (125)</w:t>
            </w:r>
          </w:p>
        </w:tc>
        <w:tc>
          <w:tcPr>
            <w:tcW w:w="1139" w:type="dxa"/>
          </w:tcPr>
          <w:p w:rsidR="00A11509" w:rsidRPr="00A1572A" w:rsidRDefault="00A11509" w:rsidP="005A041C">
            <w:pPr>
              <w:pStyle w:val="Tabletext"/>
              <w:rPr>
                <w:lang w:val="en-US"/>
              </w:rPr>
            </w:pPr>
            <w:r w:rsidRPr="00A1572A">
              <w:rPr>
                <w:lang w:val="en-US"/>
              </w:rPr>
              <w:t>27.7</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17.7</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37</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64.7</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54.7</w:t>
            </w:r>
            <w:r>
              <w:rPr>
                <w:lang w:val="en-US"/>
              </w:rPr>
              <w:t xml:space="preserve">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5</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 xml:space="preserve">EL1 DFH-3-OC </w:t>
            </w:r>
          </w:p>
        </w:tc>
        <w:tc>
          <w:tcPr>
            <w:tcW w:w="1139" w:type="dxa"/>
          </w:tcPr>
          <w:p w:rsidR="00A11509" w:rsidRPr="00A1572A" w:rsidRDefault="00A11509" w:rsidP="005A041C">
            <w:pPr>
              <w:pStyle w:val="Tabletext"/>
              <w:rPr>
                <w:lang w:val="en-US"/>
              </w:rPr>
            </w:pPr>
            <w:r w:rsidRPr="00A1572A">
              <w:rPr>
                <w:lang w:val="en-US"/>
              </w:rPr>
              <w:t>19.9</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11.9</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39</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58.9</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Pr>
                <w:lang w:val="en-US"/>
              </w:rPr>
              <w:t>50.9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2.6</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LEBR SADKO-1</w:t>
            </w:r>
          </w:p>
        </w:tc>
        <w:tc>
          <w:tcPr>
            <w:tcW w:w="1139" w:type="dxa"/>
          </w:tcPr>
          <w:p w:rsidR="00A11509" w:rsidRPr="00A1572A" w:rsidRDefault="00A11509" w:rsidP="005A041C">
            <w:pPr>
              <w:pStyle w:val="Tabletext"/>
              <w:rPr>
                <w:lang w:val="en-US"/>
              </w:rPr>
            </w:pPr>
            <w:r w:rsidRPr="00A1572A">
              <w:rPr>
                <w:lang w:val="en-US"/>
              </w:rPr>
              <w:t>16</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13</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43</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59</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sidRPr="00A1572A">
              <w:rPr>
                <w:lang w:val="en-US"/>
              </w:rPr>
              <w:t xml:space="preserve">56 </w:t>
            </w:r>
            <w:r>
              <w:rPr>
                <w:lang w:val="en-US"/>
              </w:rPr>
              <w:t>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1.35</w:t>
            </w:r>
          </w:p>
        </w:tc>
      </w:tr>
      <w:tr w:rsidR="00A11509" w:rsidTr="005A041C">
        <w:trPr>
          <w:jc w:val="center"/>
        </w:trPr>
        <w:tc>
          <w:tcPr>
            <w:tcW w:w="3226" w:type="dxa"/>
          </w:tcPr>
          <w:p w:rsidR="00A11509" w:rsidRPr="00A1572A" w:rsidRDefault="00A11509" w:rsidP="005A041C">
            <w:pPr>
              <w:pStyle w:val="Tabletext"/>
              <w:rPr>
                <w:lang w:val="en-US"/>
              </w:rPr>
            </w:pPr>
            <w:r w:rsidRPr="00A1572A">
              <w:rPr>
                <w:lang w:val="en-US"/>
              </w:rPr>
              <w:t>LBN INDOSTAR-1,2,3,4</w:t>
            </w:r>
          </w:p>
        </w:tc>
        <w:tc>
          <w:tcPr>
            <w:tcW w:w="1139" w:type="dxa"/>
          </w:tcPr>
          <w:p w:rsidR="00A11509" w:rsidRPr="00A1572A" w:rsidRDefault="00A11509" w:rsidP="005A041C">
            <w:pPr>
              <w:pStyle w:val="Tabletext"/>
              <w:rPr>
                <w:lang w:val="en-US"/>
              </w:rPr>
            </w:pPr>
            <w:r w:rsidRPr="00A1572A">
              <w:rPr>
                <w:lang w:val="en-US"/>
              </w:rPr>
              <w:t>15</w:t>
            </w:r>
            <w:r>
              <w:rPr>
                <w:lang w:val="en-US"/>
              </w:rPr>
              <w:t xml:space="preserve"> dB</w:t>
            </w:r>
            <w:r w:rsidRPr="00A1572A">
              <w:rPr>
                <w:lang w:val="en-US"/>
              </w:rPr>
              <w:t>W</w:t>
            </w:r>
          </w:p>
        </w:tc>
        <w:tc>
          <w:tcPr>
            <w:tcW w:w="1196" w:type="dxa"/>
          </w:tcPr>
          <w:p w:rsidR="00A11509" w:rsidRPr="00A1572A" w:rsidRDefault="00A11509" w:rsidP="005A041C">
            <w:pPr>
              <w:pStyle w:val="Tabletext"/>
              <w:rPr>
                <w:lang w:val="en-US"/>
              </w:rPr>
            </w:pPr>
            <w:r w:rsidRPr="00A1572A">
              <w:rPr>
                <w:lang w:val="en-US"/>
              </w:rPr>
              <w:t>15</w:t>
            </w:r>
            <w:r>
              <w:rPr>
                <w:lang w:val="en-US"/>
              </w:rPr>
              <w:t xml:space="preserve"> dB</w:t>
            </w:r>
            <w:r w:rsidRPr="00A1572A">
              <w:rPr>
                <w:lang w:val="en-US"/>
              </w:rPr>
              <w:t>W</w:t>
            </w:r>
          </w:p>
        </w:tc>
        <w:tc>
          <w:tcPr>
            <w:tcW w:w="950" w:type="dxa"/>
          </w:tcPr>
          <w:p w:rsidR="00A11509" w:rsidRPr="00A1572A" w:rsidRDefault="00A11509" w:rsidP="005A041C">
            <w:pPr>
              <w:pStyle w:val="Tabletext"/>
              <w:rPr>
                <w:lang w:val="en-US"/>
              </w:rPr>
            </w:pPr>
            <w:r w:rsidRPr="00A1572A">
              <w:rPr>
                <w:lang w:val="en-US"/>
              </w:rPr>
              <w:t>28.9</w:t>
            </w:r>
            <w:r>
              <w:rPr>
                <w:lang w:val="en-US"/>
              </w:rPr>
              <w:t xml:space="preserve"> dB</w:t>
            </w:r>
          </w:p>
        </w:tc>
        <w:tc>
          <w:tcPr>
            <w:tcW w:w="1139" w:type="dxa"/>
          </w:tcPr>
          <w:p w:rsidR="00A11509" w:rsidRPr="00A1572A" w:rsidRDefault="00A11509" w:rsidP="005A041C">
            <w:pPr>
              <w:pStyle w:val="Tabletext"/>
              <w:rPr>
                <w:lang w:val="en-US"/>
              </w:rPr>
            </w:pPr>
            <w:r w:rsidRPr="00A1572A">
              <w:rPr>
                <w:lang w:val="en-US"/>
              </w:rPr>
              <w:t>43.9</w:t>
            </w:r>
            <w:r>
              <w:rPr>
                <w:lang w:val="en-US"/>
              </w:rPr>
              <w:t xml:space="preserve"> dB</w:t>
            </w:r>
            <w:r w:rsidRPr="00A1572A">
              <w:rPr>
                <w:lang w:val="en-US"/>
              </w:rPr>
              <w:t>W</w:t>
            </w:r>
          </w:p>
        </w:tc>
        <w:tc>
          <w:tcPr>
            <w:tcW w:w="1139" w:type="dxa"/>
          </w:tcPr>
          <w:p w:rsidR="00A11509" w:rsidRPr="00A1572A" w:rsidRDefault="00A11509" w:rsidP="005A041C">
            <w:pPr>
              <w:pStyle w:val="Tabletext"/>
              <w:rPr>
                <w:lang w:val="en-US"/>
              </w:rPr>
            </w:pPr>
            <w:r>
              <w:rPr>
                <w:lang w:val="en-US"/>
              </w:rPr>
              <w:t>43.9 dB</w:t>
            </w:r>
            <w:r w:rsidRPr="00A1572A">
              <w:rPr>
                <w:lang w:val="en-US"/>
              </w:rPr>
              <w:t>W</w:t>
            </w:r>
          </w:p>
        </w:tc>
        <w:tc>
          <w:tcPr>
            <w:tcW w:w="1066" w:type="dxa"/>
          </w:tcPr>
          <w:p w:rsidR="00A11509" w:rsidRPr="00A1572A" w:rsidRDefault="00A11509" w:rsidP="005A041C">
            <w:pPr>
              <w:pStyle w:val="Tabletext"/>
              <w:rPr>
                <w:lang w:val="en-US"/>
              </w:rPr>
            </w:pPr>
            <w:r w:rsidRPr="00A1572A">
              <w:rPr>
                <w:lang w:val="en-US"/>
              </w:rPr>
              <w:t>0.3</w:t>
            </w:r>
          </w:p>
        </w:tc>
      </w:tr>
    </w:tbl>
    <w:p w:rsidR="00A11509" w:rsidRPr="008F676A" w:rsidRDefault="00A11509" w:rsidP="00A11509">
      <w:pPr>
        <w:pStyle w:val="Heading2"/>
        <w:rPr>
          <w:lang w:val="en-US"/>
        </w:rPr>
      </w:pPr>
      <w:r>
        <w:rPr>
          <w:lang w:val="en-US"/>
        </w:rPr>
        <w:t>2.2</w:t>
      </w:r>
      <w:r>
        <w:rPr>
          <w:lang w:val="en-US"/>
        </w:rPr>
        <w:tab/>
      </w:r>
      <w:r w:rsidRPr="008F676A">
        <w:rPr>
          <w:lang w:val="en-US"/>
        </w:rPr>
        <w:t>Methodology for performing the coverage area of the BSS</w:t>
      </w:r>
    </w:p>
    <w:p w:rsidR="00A11509" w:rsidRPr="00CB5A76" w:rsidRDefault="00A11509" w:rsidP="00A11509">
      <w:pPr>
        <w:rPr>
          <w:szCs w:val="24"/>
          <w:lang w:val="en-US"/>
        </w:rPr>
      </w:pPr>
      <w:r>
        <w:rPr>
          <w:szCs w:val="24"/>
          <w:lang w:val="en-US"/>
        </w:rPr>
        <w:t xml:space="preserve">Based on the technical characteristics of BSS satellite networks that were published in the BR IFIC and using the </w:t>
      </w:r>
      <w:r w:rsidRPr="00CB5A76">
        <w:rPr>
          <w:szCs w:val="24"/>
          <w:lang w:val="en-US"/>
        </w:rPr>
        <w:t>ITU-R Software GIMS</w:t>
      </w:r>
      <w:r>
        <w:rPr>
          <w:rStyle w:val="FootnoteReference"/>
          <w:szCs w:val="24"/>
          <w:lang w:val="en-US"/>
        </w:rPr>
        <w:footnoteReference w:id="3"/>
      </w:r>
      <w:r>
        <w:rPr>
          <w:szCs w:val="24"/>
          <w:lang w:val="en-US"/>
        </w:rPr>
        <w:t xml:space="preserve">, </w:t>
      </w:r>
      <w:r w:rsidRPr="00CB5A76">
        <w:rPr>
          <w:szCs w:val="24"/>
          <w:lang w:val="en-US"/>
        </w:rPr>
        <w:t xml:space="preserve">pfd values over </w:t>
      </w:r>
      <w:r>
        <w:rPr>
          <w:szCs w:val="24"/>
          <w:lang w:val="en-US"/>
        </w:rPr>
        <w:t xml:space="preserve">geographic areas </w:t>
      </w:r>
      <w:r w:rsidRPr="00CB5A76">
        <w:rPr>
          <w:szCs w:val="24"/>
          <w:lang w:val="en-US"/>
        </w:rPr>
        <w:t xml:space="preserve">of the Earth </w:t>
      </w:r>
      <w:r>
        <w:rPr>
          <w:szCs w:val="24"/>
          <w:lang w:val="en-US"/>
        </w:rPr>
        <w:t xml:space="preserve">have been derived </w:t>
      </w:r>
      <w:r w:rsidRPr="00CB5A76">
        <w:rPr>
          <w:szCs w:val="24"/>
          <w:lang w:val="en-US"/>
        </w:rPr>
        <w:t xml:space="preserve">for each satellite </w:t>
      </w:r>
      <w:r>
        <w:rPr>
          <w:szCs w:val="24"/>
          <w:lang w:val="en-US"/>
        </w:rPr>
        <w:t xml:space="preserve">network and </w:t>
      </w:r>
      <w:r w:rsidRPr="00CB5A76">
        <w:rPr>
          <w:szCs w:val="24"/>
          <w:lang w:val="en-US"/>
        </w:rPr>
        <w:t>beam.</w:t>
      </w:r>
    </w:p>
    <w:p w:rsidR="00A11509" w:rsidRDefault="00A11509" w:rsidP="00A11509">
      <w:pPr>
        <w:rPr>
          <w:szCs w:val="24"/>
          <w:lang w:val="en-US"/>
        </w:rPr>
      </w:pPr>
      <w:r w:rsidRPr="00C60181">
        <w:rPr>
          <w:szCs w:val="24"/>
          <w:lang w:val="en-US"/>
        </w:rPr>
        <w:t xml:space="preserve">As an example, the following figure depicts the service area (left-hand side, </w:t>
      </w:r>
      <w:r w:rsidRPr="00AF4D16">
        <w:rPr>
          <w:szCs w:val="24"/>
          <w:lang w:val="en-US"/>
        </w:rPr>
        <w:t>bold orange curve)</w:t>
      </w:r>
      <w:r w:rsidRPr="00C60181">
        <w:rPr>
          <w:szCs w:val="24"/>
          <w:lang w:val="en-US"/>
        </w:rPr>
        <w:t xml:space="preserve"> and the coverage area (left side, </w:t>
      </w:r>
      <w:r w:rsidRPr="00AF4D16">
        <w:rPr>
          <w:szCs w:val="24"/>
          <w:lang w:val="en-US"/>
        </w:rPr>
        <w:t>red curve</w:t>
      </w:r>
      <w:r w:rsidRPr="00C60181">
        <w:rPr>
          <w:szCs w:val="24"/>
          <w:lang w:val="en-US"/>
        </w:rPr>
        <w:t>) of the CHINASAT-</w:t>
      </w:r>
      <w:r w:rsidRPr="00AF4D16">
        <w:rPr>
          <w:szCs w:val="24"/>
          <w:lang w:val="en-US"/>
        </w:rPr>
        <w:t xml:space="preserve">92.2E </w:t>
      </w:r>
      <w:r w:rsidRPr="00C60181">
        <w:rPr>
          <w:szCs w:val="24"/>
          <w:lang w:val="en-US"/>
        </w:rPr>
        <w:t xml:space="preserve">satellite network. </w:t>
      </w:r>
      <w:r>
        <w:rPr>
          <w:szCs w:val="24"/>
          <w:lang w:val="en-US"/>
        </w:rPr>
        <w:t xml:space="preserve">GIMS </w:t>
      </w:r>
      <w:r w:rsidRPr="00CB5A76">
        <w:rPr>
          <w:szCs w:val="24"/>
          <w:lang w:val="en-US"/>
        </w:rPr>
        <w:t>also enables to display the zone corresponding to a constant pfd value (right</w:t>
      </w:r>
      <w:r>
        <w:rPr>
          <w:szCs w:val="24"/>
          <w:lang w:val="en-US"/>
        </w:rPr>
        <w:t>-hand</w:t>
      </w:r>
      <w:r w:rsidRPr="00CB5A76">
        <w:rPr>
          <w:szCs w:val="24"/>
          <w:lang w:val="en-US"/>
        </w:rPr>
        <w:t xml:space="preserve"> sid</w:t>
      </w:r>
      <w:r>
        <w:rPr>
          <w:szCs w:val="24"/>
          <w:lang w:val="en-US"/>
        </w:rPr>
        <w:t xml:space="preserve">e, </w:t>
      </w:r>
      <w:r w:rsidRPr="00C60181">
        <w:rPr>
          <w:szCs w:val="24"/>
          <w:lang w:val="en-US"/>
        </w:rPr>
        <w:t>small red bold circle</w:t>
      </w:r>
      <w:r w:rsidRPr="00AF4D16">
        <w:rPr>
          <w:b/>
          <w:szCs w:val="24"/>
          <w:lang w:val="en-US"/>
        </w:rPr>
        <w:t xml:space="preserve"> </w:t>
      </w:r>
      <w:r>
        <w:rPr>
          <w:color w:val="000000" w:themeColor="text1"/>
          <w:szCs w:val="24"/>
          <w:lang w:val="en-US"/>
        </w:rPr>
        <w:t>corresponding to a pfd value of -113dBW/(m</w:t>
      </w:r>
      <w:r w:rsidRPr="00053093">
        <w:rPr>
          <w:color w:val="000000" w:themeColor="text1"/>
          <w:szCs w:val="24"/>
          <w:vertAlign w:val="superscript"/>
          <w:lang w:val="en-US"/>
        </w:rPr>
        <w:t>2</w:t>
      </w:r>
      <w:r>
        <w:rPr>
          <w:color w:val="000000" w:themeColor="text1"/>
          <w:szCs w:val="24"/>
          <w:lang w:val="en-US"/>
        </w:rPr>
        <w:t>.MHz)</w:t>
      </w:r>
      <w:r>
        <w:rPr>
          <w:szCs w:val="24"/>
          <w:lang w:val="en-US"/>
        </w:rPr>
        <w:t>).</w:t>
      </w:r>
    </w:p>
    <w:p w:rsidR="00A11509" w:rsidRDefault="00A11509" w:rsidP="00A11509">
      <w:pPr>
        <w:pStyle w:val="FigureNo"/>
        <w:rPr>
          <w:lang w:val="en-US"/>
        </w:rPr>
      </w:pPr>
      <w:r>
        <w:rPr>
          <w:lang w:val="en-US"/>
        </w:rPr>
        <w:t>Figure 1</w:t>
      </w:r>
    </w:p>
    <w:p w:rsidR="00A11509" w:rsidRDefault="00A11509" w:rsidP="001A3450">
      <w:pPr>
        <w:pStyle w:val="Figuretitle"/>
        <w:keepNext/>
        <w:keepLines/>
        <w:spacing w:before="0"/>
        <w:jc w:val="center"/>
        <w:rPr>
          <w:lang w:val="en-US"/>
        </w:rPr>
      </w:pPr>
      <w:r w:rsidRPr="001A3450">
        <w:rPr>
          <w:rFonts w:ascii="Times New Roman Bold" w:hAnsi="Times New Roman Bold"/>
          <w:b/>
          <w:sz w:val="20"/>
          <w:lang w:val="en-US"/>
        </w:rPr>
        <w:t>Examples of service area, coverage area constant pfd area of a BSS satellite network</w:t>
      </w:r>
    </w:p>
    <w:p w:rsidR="00A11509" w:rsidRPr="009D7AB6" w:rsidRDefault="00A11509" w:rsidP="00A11509">
      <w:pPr>
        <w:pStyle w:val="Figure"/>
        <w:rPr>
          <w:lang w:val="en-US"/>
        </w:rPr>
      </w:pPr>
      <w:r w:rsidRPr="005955F1">
        <w:rPr>
          <w:noProof/>
          <w:lang w:val="en-US" w:eastAsia="zh-CN"/>
        </w:rPr>
        <w:drawing>
          <wp:inline distT="0" distB="0" distL="0" distR="0" wp14:anchorId="2741F532" wp14:editId="286847D9">
            <wp:extent cx="5029200" cy="130232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0945" cy="1302780"/>
                    </a:xfrm>
                    <a:prstGeom prst="rect">
                      <a:avLst/>
                    </a:prstGeom>
                    <a:noFill/>
                    <a:ln>
                      <a:noFill/>
                    </a:ln>
                  </pic:spPr>
                </pic:pic>
              </a:graphicData>
            </a:graphic>
          </wp:inline>
        </w:drawing>
      </w:r>
    </w:p>
    <w:p w:rsidR="00A11509" w:rsidRDefault="00A11509" w:rsidP="00A11509">
      <w:pPr>
        <w:pStyle w:val="Heading2"/>
        <w:rPr>
          <w:lang w:val="en-US"/>
        </w:rPr>
      </w:pPr>
    </w:p>
    <w:p w:rsidR="00A11509" w:rsidRPr="00D32CED" w:rsidRDefault="00A11509" w:rsidP="00A11509">
      <w:pPr>
        <w:pStyle w:val="Heading2"/>
        <w:rPr>
          <w:lang w:val="en-US"/>
        </w:rPr>
      </w:pPr>
      <w:r>
        <w:rPr>
          <w:lang w:val="en-US"/>
        </w:rPr>
        <w:t>2.3</w:t>
      </w:r>
      <w:r>
        <w:rPr>
          <w:lang w:val="en-US"/>
        </w:rPr>
        <w:tab/>
      </w:r>
      <w:r w:rsidRPr="00D32CED">
        <w:rPr>
          <w:lang w:val="en-US"/>
        </w:rPr>
        <w:t xml:space="preserve">Results </w:t>
      </w:r>
    </w:p>
    <w:p w:rsidR="00A11509" w:rsidRDefault="00A11509" w:rsidP="00A11509">
      <w:pPr>
        <w:rPr>
          <w:szCs w:val="24"/>
          <w:lang w:val="en-US"/>
        </w:rPr>
      </w:pPr>
      <w:r>
        <w:rPr>
          <w:szCs w:val="24"/>
          <w:lang w:val="en-US"/>
        </w:rPr>
        <w:t xml:space="preserve">Based on the previous assumptions, results of the analysis are provided in Table 3 below for the satellite networks that were listed in Table 1. </w:t>
      </w:r>
    </w:p>
    <w:p w:rsidR="00A11509" w:rsidRDefault="00A11509" w:rsidP="00A11509">
      <w:pPr>
        <w:rPr>
          <w:szCs w:val="24"/>
          <w:lang w:val="en-US"/>
        </w:rPr>
      </w:pPr>
      <w:r>
        <w:rPr>
          <w:szCs w:val="24"/>
          <w:lang w:val="en-US"/>
        </w:rPr>
        <w:t xml:space="preserve">Recalling the </w:t>
      </w:r>
      <w:r w:rsidRPr="00AF4D16">
        <w:rPr>
          <w:szCs w:val="24"/>
          <w:lang w:val="en-US"/>
        </w:rPr>
        <w:t>pfd</w:t>
      </w:r>
      <w:r>
        <w:rPr>
          <w:szCs w:val="24"/>
          <w:lang w:val="en-US"/>
        </w:rPr>
        <w:t xml:space="preserve"> formula:  </w:t>
      </w:r>
      <m:oMath>
        <m:r>
          <w:rPr>
            <w:rFonts w:ascii="Cambria Math" w:hAnsi="Cambria Math"/>
            <w:szCs w:val="24"/>
            <w:lang w:val="en-US"/>
          </w:rPr>
          <m:t>pfd=EIRP+10</m:t>
        </m:r>
        <m:sSub>
          <m:sSubPr>
            <m:ctrlPr>
              <w:rPr>
                <w:rFonts w:ascii="Cambria Math" w:hAnsi="Cambria Math"/>
                <w:i/>
                <w:szCs w:val="24"/>
                <w:lang w:val="en-US"/>
              </w:rPr>
            </m:ctrlPr>
          </m:sSubPr>
          <m:e>
            <m:r>
              <w:rPr>
                <w:rFonts w:ascii="Cambria Math" w:hAnsi="Cambria Math"/>
                <w:szCs w:val="24"/>
                <w:lang w:val="en-US"/>
              </w:rPr>
              <m:t>log</m:t>
            </m:r>
          </m:e>
          <m:sub>
            <m:r>
              <w:rPr>
                <w:rFonts w:ascii="Cambria Math" w:hAnsi="Cambria Math"/>
                <w:szCs w:val="24"/>
                <w:lang w:val="en-US"/>
              </w:rPr>
              <m:t>10</m:t>
            </m:r>
          </m:sub>
        </m:sSub>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4π</m:t>
                </m:r>
                <m:sSup>
                  <m:sSupPr>
                    <m:ctrlPr>
                      <w:rPr>
                        <w:rFonts w:ascii="Cambria Math" w:hAnsi="Cambria Math"/>
                        <w:i/>
                        <w:szCs w:val="24"/>
                        <w:lang w:val="en-US"/>
                      </w:rPr>
                    </m:ctrlPr>
                  </m:sSupPr>
                  <m:e>
                    <m:r>
                      <w:rPr>
                        <w:rFonts w:ascii="Cambria Math" w:hAnsi="Cambria Math"/>
                        <w:szCs w:val="24"/>
                        <w:lang w:val="en-US"/>
                      </w:rPr>
                      <m:t>d</m:t>
                    </m:r>
                  </m:e>
                  <m:sup>
                    <m:r>
                      <w:rPr>
                        <w:rFonts w:ascii="Cambria Math" w:hAnsi="Cambria Math"/>
                        <w:szCs w:val="24"/>
                        <w:lang w:val="en-US"/>
                      </w:rPr>
                      <m:t>2</m:t>
                    </m:r>
                  </m:sup>
                </m:sSup>
              </m:den>
            </m:f>
          </m:e>
        </m:d>
      </m:oMath>
      <w:r>
        <w:rPr>
          <w:szCs w:val="24"/>
          <w:lang w:val="en-US"/>
        </w:rPr>
        <w:t xml:space="preserve">, </w:t>
      </w:r>
      <w:r>
        <w:rPr>
          <w:rFonts w:eastAsiaTheme="minorEastAsia"/>
          <w:szCs w:val="24"/>
          <w:lang w:val="en-US"/>
        </w:rPr>
        <w:t xml:space="preserve">where d is the distance between the BSS satellite and the point of the Earth where the pfd is computed. </w:t>
      </w:r>
      <w:r>
        <w:rPr>
          <w:szCs w:val="24"/>
          <w:lang w:val="en-US"/>
        </w:rPr>
        <w:t xml:space="preserve">maximum </w:t>
      </w:r>
      <w:r w:rsidRPr="00AF4D16">
        <w:rPr>
          <w:szCs w:val="24"/>
          <w:lang w:val="en-US"/>
        </w:rPr>
        <w:t>pfd</w:t>
      </w:r>
      <w:r>
        <w:rPr>
          <w:szCs w:val="24"/>
          <w:lang w:val="en-US"/>
        </w:rPr>
        <w:t xml:space="preserve"> value within the service area and at its border is computed for each satellite and/or beam</w:t>
      </w:r>
      <w:r w:rsidRPr="00426404">
        <w:rPr>
          <w:szCs w:val="24"/>
          <w:lang w:val="en-US"/>
        </w:rPr>
        <w:t xml:space="preserve"> </w:t>
      </w:r>
      <w:r>
        <w:rPr>
          <w:szCs w:val="24"/>
          <w:lang w:val="en-US"/>
        </w:rPr>
        <w:t>(although there may be some different (EIRP</w:t>
      </w:r>
      <w:r w:rsidRPr="00846670">
        <w:rPr>
          <w:szCs w:val="24"/>
          <w:vertAlign w:val="subscript"/>
          <w:lang w:val="en-US"/>
        </w:rPr>
        <w:t>max</w:t>
      </w:r>
      <w:r>
        <w:rPr>
          <w:szCs w:val="24"/>
          <w:lang w:val="en-US"/>
        </w:rPr>
        <w:t xml:space="preserve">, B) combinations for the same beam in the BR IFIC special sections, only one value is retained for each beam in the following table and corresponds to the worst case of the highest power spectral density value). Note that the results may change with different beams of the same satellite network. </w:t>
      </w:r>
    </w:p>
    <w:p w:rsidR="00A11509" w:rsidRDefault="00A11509" w:rsidP="00A11509">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A11509" w:rsidRDefault="00A11509" w:rsidP="00A11509">
      <w:pPr>
        <w:pStyle w:val="TableNo"/>
        <w:rPr>
          <w:lang w:val="en-US"/>
        </w:rPr>
      </w:pPr>
      <w:r>
        <w:rPr>
          <w:lang w:val="en-US"/>
        </w:rPr>
        <w:lastRenderedPageBreak/>
        <w:t>Table 3</w:t>
      </w:r>
    </w:p>
    <w:p w:rsidR="00A11509" w:rsidRPr="007E28D0" w:rsidRDefault="00A11509" w:rsidP="00A11509">
      <w:pPr>
        <w:pStyle w:val="Tabletitle"/>
        <w:rPr>
          <w:rFonts w:eastAsiaTheme="minorEastAsia"/>
          <w:lang w:val="en-US"/>
        </w:rPr>
      </w:pPr>
      <w:r>
        <w:rPr>
          <w:lang w:val="en-US"/>
        </w:rPr>
        <w:t>pfd values within and outside service areas of BSS satellite networks in the band 1452-1492 MHz</w:t>
      </w:r>
    </w:p>
    <w:tbl>
      <w:tblPr>
        <w:tblStyle w:val="TableGrid"/>
        <w:tblW w:w="0" w:type="auto"/>
        <w:jc w:val="center"/>
        <w:tblLayout w:type="fixed"/>
        <w:tblLook w:val="04A0" w:firstRow="1" w:lastRow="0" w:firstColumn="1" w:lastColumn="0" w:noHBand="0" w:noVBand="1"/>
      </w:tblPr>
      <w:tblGrid>
        <w:gridCol w:w="2611"/>
        <w:gridCol w:w="1272"/>
        <w:gridCol w:w="1161"/>
        <w:gridCol w:w="1861"/>
        <w:gridCol w:w="2415"/>
      </w:tblGrid>
      <w:tr w:rsidR="00A11509" w:rsidRPr="00A11509" w:rsidTr="005A041C">
        <w:trPr>
          <w:jc w:val="center"/>
        </w:trPr>
        <w:tc>
          <w:tcPr>
            <w:tcW w:w="2611" w:type="dxa"/>
          </w:tcPr>
          <w:p w:rsidR="00A11509" w:rsidRPr="00780A3F" w:rsidRDefault="00A11509" w:rsidP="005A041C">
            <w:pPr>
              <w:pStyle w:val="Tablehead"/>
              <w:rPr>
                <w:lang w:val="en-US"/>
              </w:rPr>
            </w:pPr>
            <w:r w:rsidRPr="00780A3F">
              <w:rPr>
                <w:lang w:val="en-US"/>
              </w:rPr>
              <w:t>Sat</w:t>
            </w:r>
            <w:r>
              <w:rPr>
                <w:lang w:val="en-US"/>
              </w:rPr>
              <w:t>ellite and</w:t>
            </w:r>
            <w:r w:rsidRPr="00780A3F">
              <w:rPr>
                <w:lang w:val="en-US"/>
              </w:rPr>
              <w:t>/</w:t>
            </w:r>
            <w:r>
              <w:rPr>
                <w:lang w:val="en-US"/>
              </w:rPr>
              <w:t xml:space="preserve">or </w:t>
            </w:r>
            <w:r w:rsidRPr="00780A3F">
              <w:rPr>
                <w:lang w:val="en-US"/>
              </w:rPr>
              <w:t>Beam Name</w:t>
            </w:r>
          </w:p>
        </w:tc>
        <w:tc>
          <w:tcPr>
            <w:tcW w:w="1272" w:type="dxa"/>
          </w:tcPr>
          <w:p w:rsidR="00A11509" w:rsidRPr="00844866" w:rsidRDefault="00A11509" w:rsidP="005A041C">
            <w:pPr>
              <w:pStyle w:val="Tablehead"/>
              <w:rPr>
                <w:lang w:val="en-US"/>
              </w:rPr>
            </w:pPr>
            <w:r w:rsidRPr="00844866">
              <w:rPr>
                <w:lang w:val="en-US"/>
              </w:rPr>
              <w:t>EIRP</w:t>
            </w:r>
            <w:r w:rsidRPr="00844866">
              <w:rPr>
                <w:vertAlign w:val="subscript"/>
                <w:lang w:val="en-US"/>
              </w:rPr>
              <w:t>max</w:t>
            </w:r>
          </w:p>
        </w:tc>
        <w:tc>
          <w:tcPr>
            <w:tcW w:w="1161" w:type="dxa"/>
          </w:tcPr>
          <w:p w:rsidR="00A11509" w:rsidRPr="001807E1" w:rsidRDefault="00A11509" w:rsidP="005A041C">
            <w:pPr>
              <w:pStyle w:val="Tablehead"/>
              <w:rPr>
                <w:lang w:val="en-US"/>
              </w:rPr>
            </w:pPr>
            <w:r w:rsidRPr="001807E1">
              <w:rPr>
                <w:lang w:val="en-US"/>
              </w:rPr>
              <w:t>B</w:t>
            </w:r>
            <w:r>
              <w:rPr>
                <w:lang w:val="en-US"/>
              </w:rPr>
              <w:t>andwidth</w:t>
            </w:r>
          </w:p>
          <w:p w:rsidR="00A11509" w:rsidRDefault="00A11509" w:rsidP="005A041C">
            <w:pPr>
              <w:pStyle w:val="Tablehead"/>
              <w:rPr>
                <w:sz w:val="32"/>
                <w:szCs w:val="32"/>
                <w:lang w:val="en-US"/>
              </w:rPr>
            </w:pPr>
            <w:r>
              <w:rPr>
                <w:lang w:val="en-US"/>
              </w:rPr>
              <w:t>(</w:t>
            </w:r>
            <w:r w:rsidRPr="001807E1">
              <w:rPr>
                <w:lang w:val="en-US"/>
              </w:rPr>
              <w:t>MHz</w:t>
            </w:r>
            <w:r>
              <w:rPr>
                <w:lang w:val="en-US"/>
              </w:rPr>
              <w:t>)</w:t>
            </w:r>
          </w:p>
        </w:tc>
        <w:tc>
          <w:tcPr>
            <w:tcW w:w="1861" w:type="dxa"/>
          </w:tcPr>
          <w:p w:rsidR="00A11509" w:rsidRPr="00110E83" w:rsidRDefault="00A11509" w:rsidP="005A041C">
            <w:pPr>
              <w:pStyle w:val="Tablehead"/>
              <w:rPr>
                <w:lang w:val="en-US"/>
              </w:rPr>
            </w:pPr>
            <w:r>
              <w:rPr>
                <w:lang w:val="en-US"/>
              </w:rPr>
              <w:t>Max. pfd within the service area (dBW/(m².MHz))</w:t>
            </w:r>
          </w:p>
        </w:tc>
        <w:tc>
          <w:tcPr>
            <w:tcW w:w="2415" w:type="dxa"/>
          </w:tcPr>
          <w:p w:rsidR="00A11509" w:rsidRPr="00A92AD7" w:rsidRDefault="00A11509" w:rsidP="005A041C">
            <w:pPr>
              <w:pStyle w:val="Tablehead"/>
              <w:rPr>
                <w:lang w:val="en-US"/>
              </w:rPr>
            </w:pPr>
            <w:r>
              <w:rPr>
                <w:lang w:val="en-US"/>
              </w:rPr>
              <w:t xml:space="preserve">Max. Pfd at the border of the service area (dBW/(m².MHz)) </w:t>
            </w:r>
          </w:p>
        </w:tc>
      </w:tr>
      <w:tr w:rsidR="00A11509" w:rsidRPr="00BF47C2" w:rsidTr="005A041C">
        <w:trPr>
          <w:jc w:val="center"/>
        </w:trPr>
        <w:tc>
          <w:tcPr>
            <w:tcW w:w="2611" w:type="dxa"/>
          </w:tcPr>
          <w:p w:rsidR="00A11509" w:rsidRPr="008D5C95" w:rsidRDefault="00A11509" w:rsidP="005A041C">
            <w:pPr>
              <w:pStyle w:val="Tabletext"/>
              <w:rPr>
                <w:lang w:val="en-US"/>
              </w:rPr>
            </w:pPr>
            <w:r w:rsidRPr="008D5C95">
              <w:rPr>
                <w:lang w:val="en-US"/>
              </w:rPr>
              <w:t>AD AFRIBSS</w:t>
            </w:r>
          </w:p>
        </w:tc>
        <w:tc>
          <w:tcPr>
            <w:tcW w:w="1272" w:type="dxa"/>
          </w:tcPr>
          <w:p w:rsidR="00A11509" w:rsidRPr="00954699" w:rsidRDefault="00A11509" w:rsidP="005A041C">
            <w:pPr>
              <w:pStyle w:val="Tabletext"/>
              <w:rPr>
                <w:lang w:val="en-US"/>
              </w:rPr>
            </w:pPr>
            <w:r>
              <w:rPr>
                <w:lang w:val="en-US"/>
              </w:rPr>
              <w:t>52.8 dBW</w:t>
            </w:r>
          </w:p>
        </w:tc>
        <w:tc>
          <w:tcPr>
            <w:tcW w:w="1161" w:type="dxa"/>
          </w:tcPr>
          <w:p w:rsidR="00A11509" w:rsidRPr="00954699" w:rsidRDefault="00A11509" w:rsidP="005A041C">
            <w:pPr>
              <w:pStyle w:val="Tabletext"/>
              <w:rPr>
                <w:lang w:val="en-US"/>
              </w:rPr>
            </w:pPr>
            <w:r>
              <w:rPr>
                <w:lang w:val="en-US"/>
              </w:rPr>
              <w:t>3</w:t>
            </w:r>
          </w:p>
        </w:tc>
        <w:tc>
          <w:tcPr>
            <w:tcW w:w="1861" w:type="dxa"/>
          </w:tcPr>
          <w:p w:rsidR="00A11509" w:rsidRPr="00954699" w:rsidRDefault="00A11509" w:rsidP="005A041C">
            <w:pPr>
              <w:pStyle w:val="Tabletext"/>
              <w:rPr>
                <w:lang w:val="en-US"/>
              </w:rPr>
            </w:pPr>
            <w:r>
              <w:rPr>
                <w:lang w:val="en-US"/>
              </w:rPr>
              <w:t>&lt;-113</w:t>
            </w:r>
          </w:p>
        </w:tc>
        <w:tc>
          <w:tcPr>
            <w:tcW w:w="2415" w:type="dxa"/>
          </w:tcPr>
          <w:p w:rsidR="00A11509" w:rsidRPr="00954699" w:rsidRDefault="00A11509" w:rsidP="005A041C">
            <w:pPr>
              <w:pStyle w:val="Tabletext"/>
              <w:rPr>
                <w:lang w:val="en-US"/>
              </w:rPr>
            </w:pPr>
            <w:r>
              <w:rPr>
                <w:lang w:val="en-US"/>
              </w:rPr>
              <w:t>&lt;-113</w:t>
            </w:r>
          </w:p>
        </w:tc>
      </w:tr>
      <w:tr w:rsidR="00A11509" w:rsidRPr="00BF47C2" w:rsidTr="005A041C">
        <w:trPr>
          <w:jc w:val="center"/>
        </w:trPr>
        <w:tc>
          <w:tcPr>
            <w:tcW w:w="2611" w:type="dxa"/>
          </w:tcPr>
          <w:p w:rsidR="00A11509" w:rsidRPr="008D5C95" w:rsidRDefault="00A11509" w:rsidP="005A041C">
            <w:pPr>
              <w:pStyle w:val="Tabletext"/>
              <w:rPr>
                <w:lang w:val="en-US"/>
              </w:rPr>
            </w:pPr>
            <w:r w:rsidRPr="008D5C95">
              <w:rPr>
                <w:lang w:val="en-US"/>
              </w:rPr>
              <w:t>BD AFRIBSS</w:t>
            </w:r>
          </w:p>
        </w:tc>
        <w:tc>
          <w:tcPr>
            <w:tcW w:w="1272" w:type="dxa"/>
          </w:tcPr>
          <w:p w:rsidR="00A11509" w:rsidRPr="00954699" w:rsidRDefault="00A11509" w:rsidP="005A041C">
            <w:pPr>
              <w:pStyle w:val="Tabletext"/>
              <w:rPr>
                <w:lang w:val="en-US"/>
              </w:rPr>
            </w:pPr>
            <w:r>
              <w:rPr>
                <w:lang w:val="en-US"/>
              </w:rPr>
              <w:t>53.5 dBW</w:t>
            </w:r>
          </w:p>
        </w:tc>
        <w:tc>
          <w:tcPr>
            <w:tcW w:w="1161" w:type="dxa"/>
          </w:tcPr>
          <w:p w:rsidR="00A11509" w:rsidRPr="00954699" w:rsidRDefault="00A11509" w:rsidP="005A041C">
            <w:pPr>
              <w:pStyle w:val="Tabletext"/>
              <w:rPr>
                <w:lang w:val="en-US"/>
              </w:rPr>
            </w:pPr>
            <w:r>
              <w:rPr>
                <w:lang w:val="en-US"/>
              </w:rPr>
              <w:t>3</w:t>
            </w:r>
          </w:p>
        </w:tc>
        <w:tc>
          <w:tcPr>
            <w:tcW w:w="1861" w:type="dxa"/>
          </w:tcPr>
          <w:p w:rsidR="00A11509" w:rsidRPr="00954699" w:rsidRDefault="00A11509" w:rsidP="005A041C">
            <w:pPr>
              <w:pStyle w:val="Tabletext"/>
              <w:rPr>
                <w:lang w:val="en-US"/>
              </w:rPr>
            </w:pPr>
            <w:r>
              <w:rPr>
                <w:lang w:val="en-US"/>
              </w:rPr>
              <w:t>&lt;-113</w:t>
            </w:r>
          </w:p>
        </w:tc>
        <w:tc>
          <w:tcPr>
            <w:tcW w:w="2415" w:type="dxa"/>
          </w:tcPr>
          <w:p w:rsidR="00A11509" w:rsidRPr="00954699" w:rsidRDefault="00A11509" w:rsidP="005A041C">
            <w:pPr>
              <w:pStyle w:val="Tabletext"/>
              <w:rPr>
                <w:lang w:val="en-US"/>
              </w:rPr>
            </w:pPr>
            <w:r>
              <w:rPr>
                <w:lang w:val="en-US"/>
              </w:rPr>
              <w:t>&lt;-113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CD AFRIBSS</w:t>
            </w:r>
          </w:p>
        </w:tc>
        <w:tc>
          <w:tcPr>
            <w:tcW w:w="1272" w:type="dxa"/>
          </w:tcPr>
          <w:p w:rsidR="00A11509" w:rsidRPr="00954699" w:rsidRDefault="00A11509" w:rsidP="005A041C">
            <w:pPr>
              <w:pStyle w:val="Tabletext"/>
              <w:rPr>
                <w:lang w:val="en-US"/>
              </w:rPr>
            </w:pPr>
            <w:r>
              <w:rPr>
                <w:lang w:val="en-US"/>
              </w:rPr>
              <w:t>52.8 dBW</w:t>
            </w:r>
          </w:p>
        </w:tc>
        <w:tc>
          <w:tcPr>
            <w:tcW w:w="1161" w:type="dxa"/>
          </w:tcPr>
          <w:p w:rsidR="00A11509" w:rsidRPr="00954699" w:rsidRDefault="00A11509" w:rsidP="005A041C">
            <w:pPr>
              <w:pStyle w:val="Tabletext"/>
              <w:rPr>
                <w:lang w:val="en-US"/>
              </w:rPr>
            </w:pPr>
            <w:r>
              <w:rPr>
                <w:lang w:val="en-US"/>
              </w:rPr>
              <w:t>3</w:t>
            </w:r>
          </w:p>
        </w:tc>
        <w:tc>
          <w:tcPr>
            <w:tcW w:w="1861" w:type="dxa"/>
          </w:tcPr>
          <w:p w:rsidR="00A11509" w:rsidRPr="00954699" w:rsidRDefault="00A11509" w:rsidP="005A041C">
            <w:pPr>
              <w:pStyle w:val="Tabletext"/>
              <w:rPr>
                <w:lang w:val="en-US"/>
              </w:rPr>
            </w:pPr>
            <w:r>
              <w:rPr>
                <w:lang w:val="en-US"/>
              </w:rPr>
              <w:t>&lt;-113</w:t>
            </w:r>
          </w:p>
        </w:tc>
        <w:tc>
          <w:tcPr>
            <w:tcW w:w="2415" w:type="dxa"/>
          </w:tcPr>
          <w:p w:rsidR="00A11509" w:rsidRPr="00954699" w:rsidRDefault="00A11509" w:rsidP="005A041C">
            <w:pPr>
              <w:pStyle w:val="Tabletext"/>
              <w:rPr>
                <w:lang w:val="en-US"/>
              </w:rPr>
            </w:pPr>
            <w:r>
              <w:rPr>
                <w:lang w:val="en-US"/>
              </w:rPr>
              <w:t>&lt;-113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AD2 AFRIBSS</w:t>
            </w:r>
          </w:p>
        </w:tc>
        <w:tc>
          <w:tcPr>
            <w:tcW w:w="1272" w:type="dxa"/>
          </w:tcPr>
          <w:p w:rsidR="00A11509" w:rsidRPr="00954699" w:rsidRDefault="00A11509" w:rsidP="005A041C">
            <w:pPr>
              <w:pStyle w:val="Tabletext"/>
              <w:rPr>
                <w:lang w:val="en-US"/>
              </w:rPr>
            </w:pPr>
            <w:r>
              <w:rPr>
                <w:lang w:val="en-US"/>
              </w:rPr>
              <w:t>53.8 dBW</w:t>
            </w:r>
          </w:p>
        </w:tc>
        <w:tc>
          <w:tcPr>
            <w:tcW w:w="1161" w:type="dxa"/>
          </w:tcPr>
          <w:p w:rsidR="00A11509" w:rsidRPr="00954699" w:rsidRDefault="00A11509" w:rsidP="005A041C">
            <w:pPr>
              <w:pStyle w:val="Tabletext"/>
              <w:rPr>
                <w:lang w:val="en-US"/>
              </w:rPr>
            </w:pPr>
            <w:r>
              <w:rPr>
                <w:lang w:val="en-US"/>
              </w:rPr>
              <w:t>2.6</w:t>
            </w:r>
          </w:p>
        </w:tc>
        <w:tc>
          <w:tcPr>
            <w:tcW w:w="1861" w:type="dxa"/>
          </w:tcPr>
          <w:p w:rsidR="00A11509" w:rsidRPr="00954699" w:rsidRDefault="00A11509" w:rsidP="005A041C">
            <w:pPr>
              <w:pStyle w:val="Tabletext"/>
              <w:rPr>
                <w:lang w:val="en-US"/>
              </w:rPr>
            </w:pPr>
            <w:r>
              <w:rPr>
                <w:lang w:val="en-US"/>
              </w:rPr>
              <w:t>&gt;-113</w:t>
            </w:r>
          </w:p>
        </w:tc>
        <w:tc>
          <w:tcPr>
            <w:tcW w:w="2415" w:type="dxa"/>
          </w:tcPr>
          <w:p w:rsidR="00A11509" w:rsidRPr="00954699" w:rsidRDefault="00A11509" w:rsidP="005A041C">
            <w:pPr>
              <w:pStyle w:val="Tabletext"/>
              <w:rPr>
                <w:lang w:val="en-US"/>
              </w:rPr>
            </w:pPr>
            <w:r>
              <w:rPr>
                <w:lang w:val="en-US"/>
              </w:rPr>
              <w:t>&lt;-113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BD2 AFRIBSS</w:t>
            </w:r>
          </w:p>
        </w:tc>
        <w:tc>
          <w:tcPr>
            <w:tcW w:w="1272" w:type="dxa"/>
          </w:tcPr>
          <w:p w:rsidR="00A11509" w:rsidRPr="00954699" w:rsidRDefault="00A11509" w:rsidP="005A041C">
            <w:pPr>
              <w:pStyle w:val="Tabletext"/>
              <w:rPr>
                <w:lang w:val="en-US"/>
              </w:rPr>
            </w:pPr>
            <w:r>
              <w:rPr>
                <w:lang w:val="en-US"/>
              </w:rPr>
              <w:t>54.3 dBW</w:t>
            </w:r>
          </w:p>
        </w:tc>
        <w:tc>
          <w:tcPr>
            <w:tcW w:w="1161" w:type="dxa"/>
          </w:tcPr>
          <w:p w:rsidR="00A11509" w:rsidRPr="00954699" w:rsidRDefault="00A11509" w:rsidP="005A041C">
            <w:pPr>
              <w:pStyle w:val="Tabletext"/>
              <w:rPr>
                <w:lang w:val="en-US"/>
              </w:rPr>
            </w:pPr>
            <w:r>
              <w:rPr>
                <w:lang w:val="en-US"/>
              </w:rPr>
              <w:t>2.6</w:t>
            </w:r>
          </w:p>
        </w:tc>
        <w:tc>
          <w:tcPr>
            <w:tcW w:w="1861" w:type="dxa"/>
          </w:tcPr>
          <w:p w:rsidR="00A11509" w:rsidRPr="00954699" w:rsidRDefault="00A11509" w:rsidP="005A041C">
            <w:pPr>
              <w:pStyle w:val="Tabletext"/>
              <w:rPr>
                <w:lang w:val="en-US"/>
              </w:rPr>
            </w:pPr>
            <w:r>
              <w:rPr>
                <w:lang w:val="en-US"/>
              </w:rPr>
              <w:t>&gt;-113</w:t>
            </w:r>
          </w:p>
        </w:tc>
        <w:tc>
          <w:tcPr>
            <w:tcW w:w="2415" w:type="dxa"/>
          </w:tcPr>
          <w:p w:rsidR="00A11509" w:rsidRPr="00954699" w:rsidRDefault="00A11509" w:rsidP="005A041C">
            <w:pPr>
              <w:pStyle w:val="Tabletext"/>
              <w:rPr>
                <w:lang w:val="en-US"/>
              </w:rPr>
            </w:pPr>
            <w:r>
              <w:rPr>
                <w:lang w:val="en-US"/>
              </w:rPr>
              <w:t>&lt;-113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CD2 AFRIBSS</w:t>
            </w:r>
          </w:p>
        </w:tc>
        <w:tc>
          <w:tcPr>
            <w:tcW w:w="1272" w:type="dxa"/>
          </w:tcPr>
          <w:p w:rsidR="00A11509" w:rsidRPr="00954699" w:rsidRDefault="00A11509" w:rsidP="005A041C">
            <w:pPr>
              <w:pStyle w:val="Tabletext"/>
              <w:rPr>
                <w:lang w:val="en-US"/>
              </w:rPr>
            </w:pPr>
            <w:r>
              <w:rPr>
                <w:lang w:val="en-US"/>
              </w:rPr>
              <w:t>53.8 dBW</w:t>
            </w:r>
          </w:p>
        </w:tc>
        <w:tc>
          <w:tcPr>
            <w:tcW w:w="1161" w:type="dxa"/>
          </w:tcPr>
          <w:p w:rsidR="00A11509" w:rsidRPr="00954699" w:rsidRDefault="00A11509" w:rsidP="005A041C">
            <w:pPr>
              <w:pStyle w:val="Tabletext"/>
              <w:rPr>
                <w:lang w:val="en-US"/>
              </w:rPr>
            </w:pPr>
            <w:r>
              <w:rPr>
                <w:lang w:val="en-US"/>
              </w:rPr>
              <w:t>2.6</w:t>
            </w:r>
          </w:p>
        </w:tc>
        <w:tc>
          <w:tcPr>
            <w:tcW w:w="1861" w:type="dxa"/>
          </w:tcPr>
          <w:p w:rsidR="00A11509" w:rsidRPr="00954699" w:rsidRDefault="00A11509" w:rsidP="005A041C">
            <w:pPr>
              <w:pStyle w:val="Tabletext"/>
              <w:rPr>
                <w:lang w:val="en-US"/>
              </w:rPr>
            </w:pPr>
            <w:r>
              <w:rPr>
                <w:lang w:val="en-US"/>
              </w:rPr>
              <w:t>&gt;-113</w:t>
            </w:r>
          </w:p>
        </w:tc>
        <w:tc>
          <w:tcPr>
            <w:tcW w:w="2415" w:type="dxa"/>
          </w:tcPr>
          <w:p w:rsidR="00A11509" w:rsidRPr="00954699" w:rsidRDefault="00A11509" w:rsidP="005A041C">
            <w:pPr>
              <w:pStyle w:val="Tabletext"/>
              <w:rPr>
                <w:lang w:val="en-US"/>
              </w:rPr>
            </w:pPr>
            <w:r>
              <w:rPr>
                <w:lang w:val="en-US"/>
              </w:rPr>
              <w:t>&lt;-113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AD ASIABSS</w:t>
            </w:r>
          </w:p>
        </w:tc>
        <w:tc>
          <w:tcPr>
            <w:tcW w:w="1272" w:type="dxa"/>
          </w:tcPr>
          <w:p w:rsidR="00A11509" w:rsidRPr="00954699" w:rsidRDefault="00A11509" w:rsidP="005A041C">
            <w:pPr>
              <w:pStyle w:val="Tabletext"/>
              <w:rPr>
                <w:lang w:val="en-US"/>
              </w:rPr>
            </w:pPr>
            <w:r>
              <w:rPr>
                <w:lang w:val="en-US"/>
              </w:rPr>
              <w:t>53.8 dBW</w:t>
            </w:r>
          </w:p>
        </w:tc>
        <w:tc>
          <w:tcPr>
            <w:tcW w:w="1161" w:type="dxa"/>
          </w:tcPr>
          <w:p w:rsidR="00A11509" w:rsidRPr="00954699" w:rsidRDefault="00A11509" w:rsidP="005A041C">
            <w:pPr>
              <w:pStyle w:val="Tabletext"/>
              <w:rPr>
                <w:lang w:val="en-US"/>
              </w:rPr>
            </w:pPr>
            <w:r>
              <w:rPr>
                <w:lang w:val="en-US"/>
              </w:rPr>
              <w:t>2.6</w:t>
            </w:r>
          </w:p>
        </w:tc>
        <w:tc>
          <w:tcPr>
            <w:tcW w:w="1861" w:type="dxa"/>
          </w:tcPr>
          <w:p w:rsidR="00A11509" w:rsidRPr="00954699" w:rsidRDefault="00A11509" w:rsidP="005A041C">
            <w:pPr>
              <w:pStyle w:val="Tabletext"/>
              <w:rPr>
                <w:lang w:val="en-US"/>
              </w:rPr>
            </w:pPr>
            <w:r>
              <w:rPr>
                <w:lang w:val="en-US"/>
              </w:rPr>
              <w:t>&gt;-113</w:t>
            </w:r>
          </w:p>
        </w:tc>
        <w:tc>
          <w:tcPr>
            <w:tcW w:w="2415" w:type="dxa"/>
          </w:tcPr>
          <w:p w:rsidR="00A11509" w:rsidRPr="00954699" w:rsidRDefault="00A11509" w:rsidP="005A041C">
            <w:pPr>
              <w:pStyle w:val="Tabletext"/>
              <w:rPr>
                <w:lang w:val="en-US"/>
              </w:rPr>
            </w:pPr>
            <w:r>
              <w:rPr>
                <w:lang w:val="en-US"/>
              </w:rPr>
              <w:t>&lt;-113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BD ASIABSS</w:t>
            </w:r>
          </w:p>
        </w:tc>
        <w:tc>
          <w:tcPr>
            <w:tcW w:w="1272" w:type="dxa"/>
          </w:tcPr>
          <w:p w:rsidR="00A11509" w:rsidRPr="00954699" w:rsidRDefault="00A11509" w:rsidP="005A041C">
            <w:pPr>
              <w:pStyle w:val="Tabletext"/>
              <w:rPr>
                <w:lang w:val="en-US"/>
              </w:rPr>
            </w:pPr>
            <w:r>
              <w:rPr>
                <w:lang w:val="en-US"/>
              </w:rPr>
              <w:t>54.3 dBW</w:t>
            </w:r>
          </w:p>
        </w:tc>
        <w:tc>
          <w:tcPr>
            <w:tcW w:w="1161" w:type="dxa"/>
          </w:tcPr>
          <w:p w:rsidR="00A11509" w:rsidRPr="00954699" w:rsidRDefault="00A11509" w:rsidP="005A041C">
            <w:pPr>
              <w:pStyle w:val="Tabletext"/>
              <w:rPr>
                <w:lang w:val="en-US"/>
              </w:rPr>
            </w:pPr>
            <w:r>
              <w:rPr>
                <w:lang w:val="en-US"/>
              </w:rPr>
              <w:t>2.6</w:t>
            </w:r>
          </w:p>
        </w:tc>
        <w:tc>
          <w:tcPr>
            <w:tcW w:w="1861" w:type="dxa"/>
          </w:tcPr>
          <w:p w:rsidR="00A11509" w:rsidRPr="00954699" w:rsidRDefault="00A11509" w:rsidP="005A041C">
            <w:pPr>
              <w:pStyle w:val="Tabletext"/>
              <w:rPr>
                <w:lang w:val="en-US"/>
              </w:rPr>
            </w:pPr>
            <w:r>
              <w:rPr>
                <w:lang w:val="en-US"/>
              </w:rPr>
              <w:t>&gt;-113</w:t>
            </w:r>
          </w:p>
        </w:tc>
        <w:tc>
          <w:tcPr>
            <w:tcW w:w="2415" w:type="dxa"/>
          </w:tcPr>
          <w:p w:rsidR="00A11509" w:rsidRPr="00954699" w:rsidRDefault="00A11509" w:rsidP="005A041C">
            <w:pPr>
              <w:pStyle w:val="Tabletext"/>
              <w:rPr>
                <w:lang w:val="en-US"/>
              </w:rPr>
            </w:pPr>
            <w:r>
              <w:rPr>
                <w:lang w:val="en-US"/>
              </w:rPr>
              <w:t>&lt;-113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CD ASIABSS</w:t>
            </w:r>
          </w:p>
        </w:tc>
        <w:tc>
          <w:tcPr>
            <w:tcW w:w="1272" w:type="dxa"/>
          </w:tcPr>
          <w:p w:rsidR="00A11509" w:rsidRPr="00954699" w:rsidRDefault="00A11509" w:rsidP="005A041C">
            <w:pPr>
              <w:pStyle w:val="Tabletext"/>
              <w:rPr>
                <w:lang w:val="en-US"/>
              </w:rPr>
            </w:pPr>
            <w:r>
              <w:rPr>
                <w:lang w:val="en-US"/>
              </w:rPr>
              <w:t>53.8 dBW</w:t>
            </w:r>
          </w:p>
        </w:tc>
        <w:tc>
          <w:tcPr>
            <w:tcW w:w="1161" w:type="dxa"/>
          </w:tcPr>
          <w:p w:rsidR="00A11509" w:rsidRPr="00954699" w:rsidRDefault="00A11509" w:rsidP="005A041C">
            <w:pPr>
              <w:pStyle w:val="Tabletext"/>
              <w:rPr>
                <w:lang w:val="en-US"/>
              </w:rPr>
            </w:pPr>
            <w:r>
              <w:rPr>
                <w:lang w:val="en-US"/>
              </w:rPr>
              <w:t>2.6</w:t>
            </w:r>
          </w:p>
        </w:tc>
        <w:tc>
          <w:tcPr>
            <w:tcW w:w="1861" w:type="dxa"/>
          </w:tcPr>
          <w:p w:rsidR="00A11509" w:rsidRPr="00954699" w:rsidRDefault="00A11509" w:rsidP="005A041C">
            <w:pPr>
              <w:pStyle w:val="Tabletext"/>
              <w:rPr>
                <w:lang w:val="en-US"/>
              </w:rPr>
            </w:pPr>
            <w:r>
              <w:rPr>
                <w:lang w:val="en-US"/>
              </w:rPr>
              <w:t>&gt;-113</w:t>
            </w:r>
          </w:p>
        </w:tc>
        <w:tc>
          <w:tcPr>
            <w:tcW w:w="2415" w:type="dxa"/>
          </w:tcPr>
          <w:p w:rsidR="00A11509" w:rsidRPr="00954699" w:rsidRDefault="00A11509" w:rsidP="005A041C">
            <w:pPr>
              <w:pStyle w:val="Tabletext"/>
              <w:rPr>
                <w:lang w:val="en-US"/>
              </w:rPr>
            </w:pPr>
            <w:r>
              <w:rPr>
                <w:lang w:val="en-US"/>
              </w:rPr>
              <w:t>&lt;-113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LDCN CHINASAT</w:t>
            </w:r>
            <w:r>
              <w:rPr>
                <w:lang w:val="en-US"/>
              </w:rPr>
              <w:t>-92.2E</w:t>
            </w:r>
          </w:p>
        </w:tc>
        <w:tc>
          <w:tcPr>
            <w:tcW w:w="1272" w:type="dxa"/>
          </w:tcPr>
          <w:p w:rsidR="00A11509" w:rsidRPr="00954699" w:rsidRDefault="00A11509" w:rsidP="005A041C">
            <w:pPr>
              <w:pStyle w:val="Tabletext"/>
              <w:rPr>
                <w:lang w:val="en-US"/>
              </w:rPr>
            </w:pPr>
            <w:r>
              <w:rPr>
                <w:lang w:val="en-US"/>
              </w:rPr>
              <w:t>54 dBW</w:t>
            </w:r>
          </w:p>
        </w:tc>
        <w:tc>
          <w:tcPr>
            <w:tcW w:w="1161" w:type="dxa"/>
          </w:tcPr>
          <w:p w:rsidR="00A11509" w:rsidRPr="00954699" w:rsidRDefault="00A11509" w:rsidP="005A041C">
            <w:pPr>
              <w:pStyle w:val="Tabletext"/>
              <w:rPr>
                <w:lang w:val="en-US"/>
              </w:rPr>
            </w:pPr>
            <w:r>
              <w:rPr>
                <w:lang w:val="en-US"/>
              </w:rPr>
              <w:t>2.6</w:t>
            </w:r>
          </w:p>
        </w:tc>
        <w:tc>
          <w:tcPr>
            <w:tcW w:w="1861" w:type="dxa"/>
          </w:tcPr>
          <w:p w:rsidR="00A11509" w:rsidRPr="00954699" w:rsidRDefault="00A11509" w:rsidP="005A041C">
            <w:pPr>
              <w:pStyle w:val="Tabletext"/>
              <w:rPr>
                <w:lang w:val="en-US"/>
              </w:rPr>
            </w:pPr>
            <w:r>
              <w:rPr>
                <w:lang w:val="en-US"/>
              </w:rPr>
              <w:t>&gt;-113</w:t>
            </w:r>
          </w:p>
        </w:tc>
        <w:tc>
          <w:tcPr>
            <w:tcW w:w="2415" w:type="dxa"/>
          </w:tcPr>
          <w:p w:rsidR="00A11509" w:rsidRPr="00954699" w:rsidRDefault="00A11509" w:rsidP="005A041C">
            <w:pPr>
              <w:pStyle w:val="Tabletext"/>
              <w:rPr>
                <w:lang w:val="en-US"/>
              </w:rPr>
            </w:pPr>
            <w:r>
              <w:rPr>
                <w:lang w:val="en-US"/>
              </w:rPr>
              <w:t>&lt;-113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CHINASAT</w:t>
            </w:r>
            <w:r>
              <w:rPr>
                <w:lang w:val="en-US"/>
              </w:rPr>
              <w:t xml:space="preserve"> (Coordination </w:t>
            </w:r>
            <w:r>
              <w:rPr>
                <w:lang w:val="en-US"/>
              </w:rPr>
              <w:br/>
              <w:t>requests)</w:t>
            </w:r>
          </w:p>
        </w:tc>
        <w:tc>
          <w:tcPr>
            <w:tcW w:w="1272" w:type="dxa"/>
          </w:tcPr>
          <w:p w:rsidR="00A11509" w:rsidRDefault="00A11509" w:rsidP="005A041C">
            <w:pPr>
              <w:pStyle w:val="Tabletext"/>
              <w:rPr>
                <w:lang w:val="en-US"/>
              </w:rPr>
            </w:pPr>
            <w:r>
              <w:rPr>
                <w:lang w:val="en-US"/>
              </w:rPr>
              <w:t>68.8 dBW</w:t>
            </w:r>
          </w:p>
        </w:tc>
        <w:tc>
          <w:tcPr>
            <w:tcW w:w="1161" w:type="dxa"/>
          </w:tcPr>
          <w:p w:rsidR="00A11509" w:rsidRDefault="00A11509" w:rsidP="005A041C">
            <w:pPr>
              <w:pStyle w:val="Tabletext"/>
              <w:rPr>
                <w:lang w:val="en-US"/>
              </w:rPr>
            </w:pPr>
            <w:r>
              <w:rPr>
                <w:lang w:val="en-US"/>
              </w:rPr>
              <w:t>2.6</w:t>
            </w:r>
          </w:p>
        </w:tc>
        <w:tc>
          <w:tcPr>
            <w:tcW w:w="1861" w:type="dxa"/>
          </w:tcPr>
          <w:p w:rsidR="00A11509" w:rsidRPr="00954699" w:rsidRDefault="00A11509" w:rsidP="005A041C">
            <w:pPr>
              <w:pStyle w:val="Tabletext"/>
              <w:rPr>
                <w:lang w:val="en-US"/>
              </w:rPr>
            </w:pPr>
            <w:r>
              <w:rPr>
                <w:lang w:val="en-US"/>
              </w:rPr>
              <w:t>&gt;-113</w:t>
            </w:r>
          </w:p>
        </w:tc>
        <w:tc>
          <w:tcPr>
            <w:tcW w:w="2415" w:type="dxa"/>
            <w:shd w:val="clear" w:color="auto" w:fill="FF0000"/>
          </w:tcPr>
          <w:p w:rsidR="00A11509" w:rsidRDefault="00A11509" w:rsidP="005A041C">
            <w:pPr>
              <w:pStyle w:val="Tabletext"/>
              <w:rPr>
                <w:lang w:val="en-US"/>
              </w:rPr>
            </w:pPr>
            <w:r w:rsidRPr="0050117A">
              <w:rPr>
                <w:highlight w:val="red"/>
                <w:lang w:val="en-US"/>
              </w:rPr>
              <w:t>&gt;-113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 xml:space="preserve">EL1 DFH-3-OC </w:t>
            </w:r>
          </w:p>
        </w:tc>
        <w:tc>
          <w:tcPr>
            <w:tcW w:w="1272" w:type="dxa"/>
          </w:tcPr>
          <w:p w:rsidR="00A11509" w:rsidRPr="00954699" w:rsidRDefault="00A11509" w:rsidP="005A041C">
            <w:pPr>
              <w:pStyle w:val="Tabletext"/>
              <w:rPr>
                <w:lang w:val="en-US"/>
              </w:rPr>
            </w:pPr>
            <w:r>
              <w:rPr>
                <w:lang w:val="en-US"/>
              </w:rPr>
              <w:t>58.9 dBW</w:t>
            </w:r>
          </w:p>
        </w:tc>
        <w:tc>
          <w:tcPr>
            <w:tcW w:w="1161" w:type="dxa"/>
          </w:tcPr>
          <w:p w:rsidR="00A11509" w:rsidRPr="00954699" w:rsidRDefault="00A11509" w:rsidP="005A041C">
            <w:pPr>
              <w:pStyle w:val="Tabletext"/>
              <w:rPr>
                <w:lang w:val="en-US"/>
              </w:rPr>
            </w:pPr>
            <w:r>
              <w:rPr>
                <w:lang w:val="en-US"/>
              </w:rPr>
              <w:t>2.6</w:t>
            </w:r>
          </w:p>
        </w:tc>
        <w:tc>
          <w:tcPr>
            <w:tcW w:w="1861" w:type="dxa"/>
          </w:tcPr>
          <w:p w:rsidR="00A11509" w:rsidRPr="00912BC0" w:rsidRDefault="00A11509" w:rsidP="005A041C">
            <w:pPr>
              <w:pStyle w:val="Tabletext"/>
              <w:rPr>
                <w:lang w:val="en-US"/>
              </w:rPr>
            </w:pPr>
            <w:r w:rsidRPr="00912BC0">
              <w:rPr>
                <w:lang w:val="en-US"/>
              </w:rPr>
              <w:t>&lt;-1</w:t>
            </w:r>
            <w:r>
              <w:rPr>
                <w:lang w:val="en-US"/>
              </w:rPr>
              <w:t>13</w:t>
            </w:r>
          </w:p>
        </w:tc>
        <w:tc>
          <w:tcPr>
            <w:tcW w:w="2415" w:type="dxa"/>
          </w:tcPr>
          <w:p w:rsidR="00A11509" w:rsidRPr="00912BC0" w:rsidRDefault="00A11509" w:rsidP="005A041C">
            <w:pPr>
              <w:pStyle w:val="Tabletext"/>
              <w:rPr>
                <w:lang w:val="en-US"/>
              </w:rPr>
            </w:pPr>
            <w:r w:rsidRPr="00912BC0">
              <w:rPr>
                <w:lang w:val="en-US"/>
              </w:rPr>
              <w:t>&lt;-1</w:t>
            </w:r>
            <w:r>
              <w:rPr>
                <w:lang w:val="en-US"/>
              </w:rPr>
              <w:t>13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LEBR SADKO</w:t>
            </w:r>
            <w:r>
              <w:rPr>
                <w:lang w:val="en-US"/>
              </w:rPr>
              <w:t>-1</w:t>
            </w:r>
          </w:p>
        </w:tc>
        <w:tc>
          <w:tcPr>
            <w:tcW w:w="1272" w:type="dxa"/>
          </w:tcPr>
          <w:p w:rsidR="00A11509" w:rsidRPr="00954699" w:rsidRDefault="00A11509" w:rsidP="005A041C">
            <w:pPr>
              <w:pStyle w:val="Tabletext"/>
              <w:rPr>
                <w:lang w:val="en-US"/>
              </w:rPr>
            </w:pPr>
            <w:r>
              <w:rPr>
                <w:lang w:val="en-US"/>
              </w:rPr>
              <w:t>59 dBW</w:t>
            </w:r>
          </w:p>
        </w:tc>
        <w:tc>
          <w:tcPr>
            <w:tcW w:w="1161" w:type="dxa"/>
          </w:tcPr>
          <w:p w:rsidR="00A11509" w:rsidRPr="00954699" w:rsidRDefault="00A11509" w:rsidP="005A041C">
            <w:pPr>
              <w:pStyle w:val="Tabletext"/>
              <w:rPr>
                <w:lang w:val="en-US"/>
              </w:rPr>
            </w:pPr>
            <w:r>
              <w:rPr>
                <w:lang w:val="en-US"/>
              </w:rPr>
              <w:t>1.35</w:t>
            </w:r>
          </w:p>
        </w:tc>
        <w:tc>
          <w:tcPr>
            <w:tcW w:w="1861" w:type="dxa"/>
          </w:tcPr>
          <w:p w:rsidR="00A11509" w:rsidRPr="00954699" w:rsidRDefault="00A11509" w:rsidP="005A041C">
            <w:pPr>
              <w:pStyle w:val="Tabletext"/>
              <w:rPr>
                <w:lang w:val="en-US"/>
              </w:rPr>
            </w:pPr>
            <w:r>
              <w:rPr>
                <w:lang w:val="en-US"/>
              </w:rPr>
              <w:t>&gt;-113</w:t>
            </w:r>
          </w:p>
        </w:tc>
        <w:tc>
          <w:tcPr>
            <w:tcW w:w="2415" w:type="dxa"/>
            <w:shd w:val="clear" w:color="auto" w:fill="FF0000"/>
          </w:tcPr>
          <w:p w:rsidR="00A11509" w:rsidRPr="00954699" w:rsidRDefault="00A11509" w:rsidP="005A041C">
            <w:pPr>
              <w:pStyle w:val="Tabletext"/>
              <w:rPr>
                <w:lang w:val="en-US"/>
              </w:rPr>
            </w:pPr>
            <w:r>
              <w:rPr>
                <w:lang w:val="en-US"/>
              </w:rPr>
              <w:t>&gt;-</w:t>
            </w:r>
            <w:r w:rsidRPr="00A66C72">
              <w:rPr>
                <w:color w:val="000000" w:themeColor="text1"/>
                <w:lang w:val="en-US"/>
              </w:rPr>
              <w:t>11</w:t>
            </w:r>
            <w:r>
              <w:rPr>
                <w:color w:val="000000" w:themeColor="text1"/>
                <w:lang w:val="en-US"/>
              </w:rPr>
              <w:t>3</w:t>
            </w:r>
          </w:p>
        </w:tc>
      </w:tr>
      <w:tr w:rsidR="00A11509" w:rsidTr="005A041C">
        <w:trPr>
          <w:jc w:val="center"/>
        </w:trPr>
        <w:tc>
          <w:tcPr>
            <w:tcW w:w="2611" w:type="dxa"/>
          </w:tcPr>
          <w:p w:rsidR="00A11509" w:rsidRPr="008D5C95" w:rsidRDefault="00A11509" w:rsidP="005A041C">
            <w:pPr>
              <w:pStyle w:val="Tabletext"/>
              <w:rPr>
                <w:lang w:val="en-US"/>
              </w:rPr>
            </w:pPr>
            <w:r w:rsidRPr="008D5C95">
              <w:rPr>
                <w:lang w:val="en-US"/>
              </w:rPr>
              <w:t>LBN INDOSTAR</w:t>
            </w:r>
          </w:p>
        </w:tc>
        <w:tc>
          <w:tcPr>
            <w:tcW w:w="1272" w:type="dxa"/>
          </w:tcPr>
          <w:p w:rsidR="00A11509" w:rsidRPr="00954699" w:rsidRDefault="00A11509" w:rsidP="005A041C">
            <w:pPr>
              <w:pStyle w:val="Tabletext"/>
              <w:rPr>
                <w:lang w:val="en-US"/>
              </w:rPr>
            </w:pPr>
            <w:r>
              <w:rPr>
                <w:lang w:val="en-US"/>
              </w:rPr>
              <w:t>43.9 dBW</w:t>
            </w:r>
          </w:p>
        </w:tc>
        <w:tc>
          <w:tcPr>
            <w:tcW w:w="1161" w:type="dxa"/>
          </w:tcPr>
          <w:p w:rsidR="00A11509" w:rsidRPr="00954699" w:rsidRDefault="00A11509" w:rsidP="005A041C">
            <w:pPr>
              <w:pStyle w:val="Tabletext"/>
              <w:rPr>
                <w:lang w:val="en-US"/>
              </w:rPr>
            </w:pPr>
            <w:r>
              <w:rPr>
                <w:lang w:val="en-US"/>
              </w:rPr>
              <w:t>0.3</w:t>
            </w:r>
          </w:p>
        </w:tc>
        <w:tc>
          <w:tcPr>
            <w:tcW w:w="1861" w:type="dxa"/>
          </w:tcPr>
          <w:p w:rsidR="00A11509" w:rsidRPr="00912BC0" w:rsidRDefault="00A11509" w:rsidP="005A041C">
            <w:pPr>
              <w:pStyle w:val="Tabletext"/>
              <w:rPr>
                <w:lang w:val="en-US"/>
              </w:rPr>
            </w:pPr>
            <w:r w:rsidRPr="00912BC0">
              <w:rPr>
                <w:lang w:val="en-US"/>
              </w:rPr>
              <w:t>&lt;-11</w:t>
            </w:r>
            <w:r>
              <w:rPr>
                <w:lang w:val="en-US"/>
              </w:rPr>
              <w:t>3</w:t>
            </w:r>
          </w:p>
        </w:tc>
        <w:tc>
          <w:tcPr>
            <w:tcW w:w="2415" w:type="dxa"/>
          </w:tcPr>
          <w:p w:rsidR="00A11509" w:rsidRPr="00912BC0" w:rsidRDefault="00A11509" w:rsidP="005A041C">
            <w:pPr>
              <w:pStyle w:val="Tabletext"/>
              <w:rPr>
                <w:lang w:val="en-US"/>
              </w:rPr>
            </w:pPr>
            <w:r w:rsidRPr="00912BC0">
              <w:rPr>
                <w:lang w:val="en-US"/>
              </w:rPr>
              <w:t>&lt;-11</w:t>
            </w:r>
            <w:r>
              <w:rPr>
                <w:lang w:val="en-US"/>
              </w:rPr>
              <w:t>3</w:t>
            </w:r>
          </w:p>
        </w:tc>
      </w:tr>
    </w:tbl>
    <w:p w:rsidR="00A11509" w:rsidRDefault="00A11509" w:rsidP="00A11509">
      <w:pPr>
        <w:rPr>
          <w:szCs w:val="24"/>
          <w:lang w:val="en-US"/>
        </w:rPr>
      </w:pPr>
    </w:p>
    <w:p w:rsidR="00A11509" w:rsidRDefault="00A11509" w:rsidP="00A11509">
      <w:pPr>
        <w:rPr>
          <w:szCs w:val="24"/>
          <w:lang w:val="en-US"/>
        </w:rPr>
      </w:pPr>
      <w:r>
        <w:rPr>
          <w:szCs w:val="24"/>
          <w:lang w:val="en-US"/>
        </w:rPr>
        <w:t>It can be noted that:</w:t>
      </w:r>
    </w:p>
    <w:p w:rsidR="00A11509" w:rsidRPr="009B23D0" w:rsidRDefault="00A11509" w:rsidP="00A11509">
      <w:pPr>
        <w:rPr>
          <w:szCs w:val="24"/>
          <w:lang w:val="en-US"/>
        </w:rPr>
      </w:pPr>
      <w:r>
        <w:rPr>
          <w:szCs w:val="24"/>
          <w:lang w:val="en-US"/>
        </w:rPr>
        <w:t>–</w:t>
      </w:r>
      <w:r>
        <w:rPr>
          <w:szCs w:val="24"/>
          <w:lang w:val="en-US"/>
        </w:rPr>
        <w:tab/>
      </w:r>
      <w:r w:rsidRPr="009B23D0">
        <w:rPr>
          <w:szCs w:val="24"/>
          <w:lang w:val="en-US"/>
        </w:rPr>
        <w:t>Some BSS satellite networks have beams (e.g. AFRIBSS beams AD, BD, CD) that comply with the proposed pfd limit (-113dBW/(m</w:t>
      </w:r>
      <w:r w:rsidRPr="009B23D0">
        <w:rPr>
          <w:szCs w:val="24"/>
          <w:vertAlign w:val="superscript"/>
          <w:lang w:val="en-US"/>
        </w:rPr>
        <w:t>2</w:t>
      </w:r>
      <w:r w:rsidRPr="009B23D0">
        <w:rPr>
          <w:szCs w:val="24"/>
          <w:lang w:val="en-US"/>
        </w:rPr>
        <w:t xml:space="preserve">.MHz)) </w:t>
      </w:r>
      <w:r w:rsidRPr="009B23D0">
        <w:rPr>
          <w:b/>
          <w:szCs w:val="24"/>
          <w:u w:val="single"/>
          <w:lang w:val="en-US"/>
        </w:rPr>
        <w:t>within</w:t>
      </w:r>
      <w:r w:rsidRPr="009B23D0">
        <w:rPr>
          <w:szCs w:val="24"/>
          <w:lang w:val="en-US"/>
        </w:rPr>
        <w:t xml:space="preserve"> the service area (see 4</w:t>
      </w:r>
      <w:r w:rsidRPr="009B23D0">
        <w:rPr>
          <w:szCs w:val="24"/>
          <w:vertAlign w:val="superscript"/>
          <w:lang w:val="en-US"/>
        </w:rPr>
        <w:t>th</w:t>
      </w:r>
      <w:r w:rsidRPr="009B23D0">
        <w:rPr>
          <w:szCs w:val="24"/>
          <w:lang w:val="en-US"/>
        </w:rPr>
        <w:t xml:space="preserve"> column of the previous table), showing that in some cases the proposed pfd limit  is higher than the pfd levels required to provide the intended service,</w:t>
      </w:r>
    </w:p>
    <w:p w:rsidR="00A11509" w:rsidRPr="009B23D0" w:rsidRDefault="00A11509" w:rsidP="00A11509">
      <w:pPr>
        <w:rPr>
          <w:szCs w:val="24"/>
          <w:lang w:val="en-US"/>
        </w:rPr>
      </w:pPr>
      <w:r>
        <w:rPr>
          <w:szCs w:val="24"/>
          <w:lang w:val="en-US"/>
        </w:rPr>
        <w:t>–</w:t>
      </w:r>
      <w:r>
        <w:rPr>
          <w:szCs w:val="24"/>
          <w:lang w:val="en-US"/>
        </w:rPr>
        <w:tab/>
      </w:r>
      <w:r w:rsidRPr="009B23D0">
        <w:rPr>
          <w:szCs w:val="24"/>
          <w:lang w:val="en-US"/>
        </w:rPr>
        <w:t>other BSS satellite networks are able to comply with the proposed pfd limit at the border of their service area (e.g. ASIABSS beams),</w:t>
      </w:r>
    </w:p>
    <w:p w:rsidR="00A11509" w:rsidRPr="009B23D0" w:rsidRDefault="00A11509" w:rsidP="00A11509">
      <w:pPr>
        <w:rPr>
          <w:szCs w:val="24"/>
          <w:lang w:val="en-US"/>
        </w:rPr>
      </w:pPr>
      <w:r>
        <w:rPr>
          <w:szCs w:val="24"/>
          <w:lang w:val="en-US"/>
        </w:rPr>
        <w:t>–</w:t>
      </w:r>
      <w:r>
        <w:rPr>
          <w:szCs w:val="24"/>
          <w:lang w:val="en-US"/>
        </w:rPr>
        <w:tab/>
      </w:r>
      <w:r w:rsidRPr="009B23D0">
        <w:rPr>
          <w:szCs w:val="24"/>
          <w:lang w:val="en-US"/>
        </w:rPr>
        <w:t>other BSS satellite networks do not meet the proposed pfd limit at the border of their service area (highlighted in red in the last column). These cases where the proposed pfd limit is exceeded outside the service area are listed in Table 4 below.</w:t>
      </w:r>
    </w:p>
    <w:p w:rsidR="00A11509" w:rsidRDefault="00A11509" w:rsidP="00A11509">
      <w:pPr>
        <w:pStyle w:val="TableNo"/>
        <w:rPr>
          <w:lang w:val="en-US"/>
        </w:rPr>
      </w:pPr>
      <w:r>
        <w:rPr>
          <w:lang w:val="en-US"/>
        </w:rPr>
        <w:t>Table 4</w:t>
      </w:r>
    </w:p>
    <w:p w:rsidR="00A11509" w:rsidRPr="00A40C32" w:rsidRDefault="00A11509" w:rsidP="00A11509">
      <w:pPr>
        <w:pStyle w:val="Tabletitle"/>
        <w:rPr>
          <w:lang w:val="en-US"/>
        </w:rPr>
      </w:pPr>
      <w:r>
        <w:rPr>
          <w:lang w:val="en-US"/>
        </w:rPr>
        <w:t xml:space="preserve">List of BSS satellite networks in the band 1452-1492 MHz </w:t>
      </w:r>
      <w:r>
        <w:rPr>
          <w:lang w:val="en-US"/>
        </w:rPr>
        <w:br/>
        <w:t xml:space="preserve">for which </w:t>
      </w:r>
      <w:r w:rsidRPr="00923951">
        <w:rPr>
          <w:lang w:val="en-US"/>
        </w:rPr>
        <w:t>the proposed pfd limit is exceeded outside the service area</w:t>
      </w:r>
    </w:p>
    <w:tbl>
      <w:tblPr>
        <w:tblStyle w:val="TableGrid"/>
        <w:tblW w:w="0" w:type="auto"/>
        <w:jc w:val="center"/>
        <w:tblLook w:val="04A0" w:firstRow="1" w:lastRow="0" w:firstColumn="1" w:lastColumn="0" w:noHBand="0" w:noVBand="1"/>
      </w:tblPr>
      <w:tblGrid>
        <w:gridCol w:w="2611"/>
        <w:gridCol w:w="1039"/>
        <w:gridCol w:w="1161"/>
        <w:gridCol w:w="1861"/>
        <w:gridCol w:w="2415"/>
      </w:tblGrid>
      <w:tr w:rsidR="00A11509" w:rsidRPr="00A11509" w:rsidTr="005A041C">
        <w:trPr>
          <w:jc w:val="center"/>
        </w:trPr>
        <w:tc>
          <w:tcPr>
            <w:tcW w:w="0" w:type="auto"/>
          </w:tcPr>
          <w:p w:rsidR="00A11509" w:rsidRPr="00780A3F" w:rsidRDefault="00A11509" w:rsidP="005A041C">
            <w:pPr>
              <w:pStyle w:val="Tablehead"/>
              <w:rPr>
                <w:lang w:val="en-US"/>
              </w:rPr>
            </w:pPr>
            <w:r w:rsidRPr="00780A3F">
              <w:rPr>
                <w:lang w:val="en-US"/>
              </w:rPr>
              <w:t>Sat</w:t>
            </w:r>
            <w:r>
              <w:rPr>
                <w:lang w:val="en-US"/>
              </w:rPr>
              <w:t>ellite and</w:t>
            </w:r>
            <w:r w:rsidRPr="00780A3F">
              <w:rPr>
                <w:lang w:val="en-US"/>
              </w:rPr>
              <w:t>/</w:t>
            </w:r>
            <w:r>
              <w:rPr>
                <w:lang w:val="en-US"/>
              </w:rPr>
              <w:t xml:space="preserve">or </w:t>
            </w:r>
            <w:r w:rsidRPr="00780A3F">
              <w:rPr>
                <w:lang w:val="en-US"/>
              </w:rPr>
              <w:t>Beam Name</w:t>
            </w:r>
          </w:p>
        </w:tc>
        <w:tc>
          <w:tcPr>
            <w:tcW w:w="0" w:type="auto"/>
          </w:tcPr>
          <w:p w:rsidR="00A11509" w:rsidRPr="00844866" w:rsidRDefault="00A11509" w:rsidP="005A041C">
            <w:pPr>
              <w:pStyle w:val="Tablehead"/>
              <w:rPr>
                <w:lang w:val="en-US"/>
              </w:rPr>
            </w:pPr>
            <w:r w:rsidRPr="00844866">
              <w:rPr>
                <w:lang w:val="en-US"/>
              </w:rPr>
              <w:t>EIRP</w:t>
            </w:r>
            <w:r w:rsidRPr="00844866">
              <w:rPr>
                <w:vertAlign w:val="subscript"/>
                <w:lang w:val="en-US"/>
              </w:rPr>
              <w:t>max</w:t>
            </w:r>
          </w:p>
        </w:tc>
        <w:tc>
          <w:tcPr>
            <w:tcW w:w="0" w:type="auto"/>
          </w:tcPr>
          <w:p w:rsidR="00A11509" w:rsidRPr="001807E1" w:rsidRDefault="00A11509" w:rsidP="005A041C">
            <w:pPr>
              <w:pStyle w:val="Tablehead"/>
              <w:rPr>
                <w:lang w:val="en-US"/>
              </w:rPr>
            </w:pPr>
            <w:r w:rsidRPr="001807E1">
              <w:rPr>
                <w:lang w:val="en-US"/>
              </w:rPr>
              <w:t>B</w:t>
            </w:r>
            <w:r>
              <w:rPr>
                <w:lang w:val="en-US"/>
              </w:rPr>
              <w:t>andwidth</w:t>
            </w:r>
          </w:p>
          <w:p w:rsidR="00A11509" w:rsidRDefault="00A11509" w:rsidP="005A041C">
            <w:pPr>
              <w:pStyle w:val="Tablehead"/>
              <w:rPr>
                <w:sz w:val="32"/>
                <w:szCs w:val="32"/>
                <w:lang w:val="en-US"/>
              </w:rPr>
            </w:pPr>
            <w:r>
              <w:rPr>
                <w:lang w:val="en-US"/>
              </w:rPr>
              <w:t>(</w:t>
            </w:r>
            <w:r w:rsidRPr="001807E1">
              <w:rPr>
                <w:lang w:val="en-US"/>
              </w:rPr>
              <w:t>MHz</w:t>
            </w:r>
            <w:r>
              <w:rPr>
                <w:lang w:val="en-US"/>
              </w:rPr>
              <w:t>)</w:t>
            </w:r>
          </w:p>
        </w:tc>
        <w:tc>
          <w:tcPr>
            <w:tcW w:w="1861" w:type="dxa"/>
          </w:tcPr>
          <w:p w:rsidR="00A11509" w:rsidRPr="00110E83" w:rsidRDefault="00A11509" w:rsidP="005A041C">
            <w:pPr>
              <w:pStyle w:val="Tablehead"/>
              <w:rPr>
                <w:lang w:val="en-US"/>
              </w:rPr>
            </w:pPr>
            <w:r>
              <w:rPr>
                <w:lang w:val="en-US"/>
              </w:rPr>
              <w:t>Max. pfd within the service area (dBW/(m².MHz))</w:t>
            </w:r>
          </w:p>
        </w:tc>
        <w:tc>
          <w:tcPr>
            <w:tcW w:w="2415" w:type="dxa"/>
          </w:tcPr>
          <w:p w:rsidR="00A11509" w:rsidRPr="00A92AD7" w:rsidRDefault="00A11509" w:rsidP="005A041C">
            <w:pPr>
              <w:pStyle w:val="Tablehead"/>
              <w:rPr>
                <w:lang w:val="en-US"/>
              </w:rPr>
            </w:pPr>
            <w:r>
              <w:rPr>
                <w:lang w:val="en-US"/>
              </w:rPr>
              <w:t xml:space="preserve">Max. Pfd at the border of the service area (dBW/(m².MHz)) </w:t>
            </w:r>
          </w:p>
        </w:tc>
      </w:tr>
      <w:tr w:rsidR="00A11509" w:rsidTr="005A041C">
        <w:trPr>
          <w:jc w:val="center"/>
        </w:trPr>
        <w:tc>
          <w:tcPr>
            <w:tcW w:w="0" w:type="auto"/>
          </w:tcPr>
          <w:p w:rsidR="00A11509" w:rsidRPr="008D5C95" w:rsidRDefault="00A11509" w:rsidP="005A041C">
            <w:pPr>
              <w:pStyle w:val="Tabletext"/>
              <w:rPr>
                <w:lang w:val="en-US"/>
              </w:rPr>
            </w:pPr>
            <w:r w:rsidRPr="008D5C95">
              <w:rPr>
                <w:lang w:val="en-US"/>
              </w:rPr>
              <w:t>CHINASAT</w:t>
            </w:r>
            <w:r>
              <w:rPr>
                <w:lang w:val="en-US"/>
              </w:rPr>
              <w:t xml:space="preserve"> (Coordination </w:t>
            </w:r>
            <w:r>
              <w:rPr>
                <w:lang w:val="en-US"/>
              </w:rPr>
              <w:br/>
              <w:t>requests)</w:t>
            </w:r>
          </w:p>
        </w:tc>
        <w:tc>
          <w:tcPr>
            <w:tcW w:w="0" w:type="auto"/>
          </w:tcPr>
          <w:p w:rsidR="00A11509" w:rsidRDefault="00A11509" w:rsidP="005A041C">
            <w:pPr>
              <w:pStyle w:val="Tabletext"/>
              <w:rPr>
                <w:lang w:val="en-US"/>
              </w:rPr>
            </w:pPr>
            <w:r>
              <w:rPr>
                <w:lang w:val="en-US"/>
              </w:rPr>
              <w:t>68.8 dBW</w:t>
            </w:r>
          </w:p>
        </w:tc>
        <w:tc>
          <w:tcPr>
            <w:tcW w:w="0" w:type="auto"/>
          </w:tcPr>
          <w:p w:rsidR="00A11509" w:rsidRDefault="00A11509" w:rsidP="005A041C">
            <w:pPr>
              <w:pStyle w:val="Tabletext"/>
              <w:rPr>
                <w:lang w:val="en-US"/>
              </w:rPr>
            </w:pPr>
            <w:r>
              <w:rPr>
                <w:lang w:val="en-US"/>
              </w:rPr>
              <w:t>2.6</w:t>
            </w:r>
          </w:p>
        </w:tc>
        <w:tc>
          <w:tcPr>
            <w:tcW w:w="1861" w:type="dxa"/>
          </w:tcPr>
          <w:p w:rsidR="00A11509" w:rsidRPr="00954699" w:rsidRDefault="00A11509" w:rsidP="005A041C">
            <w:pPr>
              <w:pStyle w:val="Tabletext"/>
              <w:rPr>
                <w:lang w:val="en-US"/>
              </w:rPr>
            </w:pPr>
            <w:r>
              <w:rPr>
                <w:lang w:val="en-US"/>
              </w:rPr>
              <w:t>&gt;-113</w:t>
            </w:r>
          </w:p>
        </w:tc>
        <w:tc>
          <w:tcPr>
            <w:tcW w:w="2415" w:type="dxa"/>
            <w:shd w:val="clear" w:color="auto" w:fill="FF0000"/>
          </w:tcPr>
          <w:p w:rsidR="00A11509" w:rsidRPr="00923951" w:rsidRDefault="00A11509" w:rsidP="005A041C">
            <w:pPr>
              <w:pStyle w:val="Tabletext"/>
              <w:rPr>
                <w:lang w:val="en-US"/>
              </w:rPr>
            </w:pPr>
            <w:r w:rsidRPr="00AF4D16">
              <w:rPr>
                <w:lang w:val="en-US"/>
              </w:rPr>
              <w:t>&gt;-113</w:t>
            </w:r>
          </w:p>
        </w:tc>
      </w:tr>
      <w:tr w:rsidR="00A11509" w:rsidTr="005A041C">
        <w:trPr>
          <w:jc w:val="center"/>
        </w:trPr>
        <w:tc>
          <w:tcPr>
            <w:tcW w:w="0" w:type="auto"/>
          </w:tcPr>
          <w:p w:rsidR="00A11509" w:rsidRPr="008D5C95" w:rsidRDefault="00A11509" w:rsidP="005A041C">
            <w:pPr>
              <w:pStyle w:val="Tabletext"/>
              <w:rPr>
                <w:lang w:val="en-US"/>
              </w:rPr>
            </w:pPr>
            <w:r w:rsidRPr="008D5C95">
              <w:rPr>
                <w:lang w:val="en-US"/>
              </w:rPr>
              <w:t>LEBR SADKO</w:t>
            </w:r>
            <w:r>
              <w:rPr>
                <w:lang w:val="en-US"/>
              </w:rPr>
              <w:t>-1</w:t>
            </w:r>
          </w:p>
        </w:tc>
        <w:tc>
          <w:tcPr>
            <w:tcW w:w="0" w:type="auto"/>
          </w:tcPr>
          <w:p w:rsidR="00A11509" w:rsidRPr="00954699" w:rsidRDefault="00A11509" w:rsidP="005A041C">
            <w:pPr>
              <w:pStyle w:val="Tabletext"/>
              <w:rPr>
                <w:lang w:val="en-US"/>
              </w:rPr>
            </w:pPr>
            <w:r>
              <w:rPr>
                <w:lang w:val="en-US"/>
              </w:rPr>
              <w:t>59 dBW</w:t>
            </w:r>
          </w:p>
        </w:tc>
        <w:tc>
          <w:tcPr>
            <w:tcW w:w="0" w:type="auto"/>
          </w:tcPr>
          <w:p w:rsidR="00A11509" w:rsidRPr="00954699" w:rsidRDefault="00A11509" w:rsidP="005A041C">
            <w:pPr>
              <w:pStyle w:val="Tabletext"/>
              <w:rPr>
                <w:lang w:val="en-US"/>
              </w:rPr>
            </w:pPr>
            <w:r>
              <w:rPr>
                <w:lang w:val="en-US"/>
              </w:rPr>
              <w:t>1.35</w:t>
            </w:r>
          </w:p>
        </w:tc>
        <w:tc>
          <w:tcPr>
            <w:tcW w:w="1861" w:type="dxa"/>
          </w:tcPr>
          <w:p w:rsidR="00A11509" w:rsidRPr="00954699" w:rsidRDefault="00A11509" w:rsidP="005A041C">
            <w:pPr>
              <w:pStyle w:val="Tabletext"/>
              <w:rPr>
                <w:lang w:val="en-US"/>
              </w:rPr>
            </w:pPr>
            <w:r>
              <w:rPr>
                <w:lang w:val="en-US"/>
              </w:rPr>
              <w:t>&gt;-113</w:t>
            </w:r>
          </w:p>
        </w:tc>
        <w:tc>
          <w:tcPr>
            <w:tcW w:w="2415" w:type="dxa"/>
            <w:shd w:val="clear" w:color="auto" w:fill="FF0000"/>
          </w:tcPr>
          <w:p w:rsidR="00A11509" w:rsidRPr="00954699" w:rsidRDefault="00A11509" w:rsidP="005A041C">
            <w:pPr>
              <w:pStyle w:val="Tabletext"/>
              <w:rPr>
                <w:lang w:val="en-US"/>
              </w:rPr>
            </w:pPr>
            <w:r>
              <w:rPr>
                <w:lang w:val="en-US"/>
              </w:rPr>
              <w:t>&gt;-</w:t>
            </w:r>
            <w:r w:rsidRPr="00A66C72">
              <w:rPr>
                <w:color w:val="000000" w:themeColor="text1"/>
                <w:lang w:val="en-US"/>
              </w:rPr>
              <w:t>11</w:t>
            </w:r>
            <w:r>
              <w:rPr>
                <w:color w:val="000000" w:themeColor="text1"/>
                <w:lang w:val="en-US"/>
              </w:rPr>
              <w:t>3</w:t>
            </w:r>
          </w:p>
        </w:tc>
      </w:tr>
    </w:tbl>
    <w:p w:rsidR="00A11509" w:rsidRDefault="00A11509" w:rsidP="00A11509">
      <w:pPr>
        <w:rPr>
          <w:szCs w:val="24"/>
          <w:lang w:val="en-US"/>
        </w:rPr>
      </w:pPr>
    </w:p>
    <w:p w:rsidR="00A11509" w:rsidRDefault="00A11509" w:rsidP="00A11509">
      <w:pPr>
        <w:rPr>
          <w:szCs w:val="24"/>
          <w:lang w:val="en-US"/>
        </w:rPr>
      </w:pPr>
      <w:r>
        <w:rPr>
          <w:szCs w:val="24"/>
          <w:lang w:val="en-US"/>
        </w:rPr>
        <w:t>More precisely, the results show:</w:t>
      </w:r>
    </w:p>
    <w:p w:rsidR="00A11509" w:rsidRPr="00AF4D16" w:rsidRDefault="00A11509" w:rsidP="00A11509">
      <w:pPr>
        <w:pStyle w:val="Heading1"/>
        <w:rPr>
          <w:lang w:val="en-US"/>
        </w:rPr>
      </w:pPr>
      <w:r w:rsidRPr="00AF4D16">
        <w:rPr>
          <w:lang w:val="en-US"/>
        </w:rPr>
        <w:lastRenderedPageBreak/>
        <w:t>For LEBR SADKO-1</w:t>
      </w:r>
    </w:p>
    <w:p w:rsidR="00A11509" w:rsidRPr="0046060C" w:rsidRDefault="00A11509" w:rsidP="00A11509">
      <w:pPr>
        <w:rPr>
          <w:szCs w:val="24"/>
          <w:lang w:val="en-US"/>
        </w:rPr>
      </w:pPr>
      <w:r>
        <w:rPr>
          <w:szCs w:val="24"/>
          <w:lang w:val="en-US"/>
        </w:rPr>
        <w:t>Figure 2 depicts on the left-hand side the service area of the LEBR beam of the SADKO-1 satellite network (</w:t>
      </w:r>
      <w:r w:rsidRPr="0046060C">
        <w:rPr>
          <w:szCs w:val="24"/>
          <w:lang w:val="en-US"/>
        </w:rPr>
        <w:t>bold orange curve</w:t>
      </w:r>
      <w:r>
        <w:rPr>
          <w:szCs w:val="24"/>
          <w:lang w:val="en-US"/>
        </w:rPr>
        <w:t xml:space="preserve">) and on the right-hand side the area where the proposed </w:t>
      </w:r>
      <w:r w:rsidRPr="000B0E05">
        <w:rPr>
          <w:szCs w:val="24"/>
          <w:lang w:val="en-US"/>
        </w:rPr>
        <w:t xml:space="preserve">pfd limit </w:t>
      </w:r>
      <w:r>
        <w:rPr>
          <w:szCs w:val="24"/>
          <w:lang w:val="en-US"/>
        </w:rPr>
        <w:t xml:space="preserve">of </w:t>
      </w:r>
      <w:r>
        <w:rPr>
          <w:szCs w:val="24"/>
          <w:lang w:val="en-US"/>
        </w:rPr>
        <w:noBreakHyphen/>
      </w:r>
      <w:r w:rsidRPr="000B0E05">
        <w:rPr>
          <w:szCs w:val="24"/>
          <w:lang w:val="en-US"/>
        </w:rPr>
        <w:t>113</w:t>
      </w:r>
      <w:r>
        <w:rPr>
          <w:szCs w:val="24"/>
          <w:lang w:val="en-US"/>
        </w:rPr>
        <w:t> </w:t>
      </w:r>
      <w:r w:rsidRPr="000B0E05">
        <w:rPr>
          <w:szCs w:val="24"/>
          <w:lang w:val="en-US"/>
        </w:rPr>
        <w:t>dBW/</w:t>
      </w:r>
      <w:r>
        <w:rPr>
          <w:szCs w:val="24"/>
          <w:lang w:val="en-US"/>
        </w:rPr>
        <w:t>(</w:t>
      </w:r>
      <w:r w:rsidRPr="000B0E05">
        <w:rPr>
          <w:szCs w:val="24"/>
          <w:lang w:val="en-US"/>
        </w:rPr>
        <w:t>m</w:t>
      </w:r>
      <w:r w:rsidRPr="000B0E05">
        <w:rPr>
          <w:szCs w:val="24"/>
          <w:vertAlign w:val="superscript"/>
          <w:lang w:val="en-US"/>
        </w:rPr>
        <w:t>2</w:t>
      </w:r>
      <w:r>
        <w:rPr>
          <w:szCs w:val="24"/>
          <w:lang w:val="en-US"/>
        </w:rPr>
        <w:t>.</w:t>
      </w:r>
      <w:r w:rsidRPr="000B0E05">
        <w:rPr>
          <w:szCs w:val="24"/>
          <w:lang w:val="en-US"/>
        </w:rPr>
        <w:t>MHz)</w:t>
      </w:r>
      <w:r>
        <w:rPr>
          <w:szCs w:val="24"/>
          <w:lang w:val="en-US"/>
        </w:rPr>
        <w:t xml:space="preserve"> is exceeded </w:t>
      </w:r>
      <w:r w:rsidRPr="0046060C">
        <w:rPr>
          <w:szCs w:val="24"/>
          <w:lang w:val="en-US"/>
        </w:rPr>
        <w:t>(bold red curve)</w:t>
      </w:r>
      <w:r>
        <w:rPr>
          <w:szCs w:val="24"/>
          <w:lang w:val="en-US"/>
        </w:rPr>
        <w:t xml:space="preserve">. The coverage area of the SADKO-1 LEBR beam encompasses countries that are outside the service area (see geographic areas southern of the service area on the left-hand side of Figure 2).  </w:t>
      </w:r>
    </w:p>
    <w:p w:rsidR="00A11509" w:rsidRDefault="00A11509" w:rsidP="00A11509">
      <w:pPr>
        <w:pStyle w:val="ListParagraph"/>
        <w:rPr>
          <w:rFonts w:ascii="Times New Roman" w:hAnsi="Times New Roman" w:cs="Times New Roman"/>
          <w:sz w:val="24"/>
          <w:szCs w:val="24"/>
          <w:lang w:val="en-US"/>
        </w:rPr>
      </w:pPr>
    </w:p>
    <w:p w:rsidR="00A11509" w:rsidRPr="00A11509" w:rsidRDefault="00A11509" w:rsidP="00A11509">
      <w:pPr>
        <w:pStyle w:val="FigureNo"/>
        <w:rPr>
          <w:lang w:val="en-US"/>
        </w:rPr>
      </w:pPr>
      <w:r w:rsidRPr="00A11509">
        <w:rPr>
          <w:lang w:val="en-US"/>
        </w:rPr>
        <w:t>Figure 2</w:t>
      </w:r>
    </w:p>
    <w:p w:rsidR="00A11509" w:rsidRPr="001A3450" w:rsidRDefault="00A11509" w:rsidP="001A3450">
      <w:pPr>
        <w:pStyle w:val="Figuretitle"/>
        <w:keepNext/>
        <w:keepLines/>
        <w:spacing w:before="0"/>
        <w:jc w:val="center"/>
        <w:rPr>
          <w:rFonts w:ascii="Times New Roman Bold" w:hAnsi="Times New Roman Bold"/>
          <w:b/>
          <w:sz w:val="20"/>
          <w:lang w:val="en-GB"/>
        </w:rPr>
      </w:pPr>
      <w:r w:rsidRPr="001A3450">
        <w:rPr>
          <w:rFonts w:ascii="Times New Roman Bold" w:hAnsi="Times New Roman Bold"/>
          <w:b/>
          <w:sz w:val="20"/>
          <w:lang w:val="en-GB"/>
        </w:rPr>
        <w:t>Coverage area and constant pfd area of the LEBR beam of the SADKO-1 satellite network</w:t>
      </w:r>
    </w:p>
    <w:p w:rsidR="00A11509" w:rsidRDefault="00A11509" w:rsidP="00A11509">
      <w:pPr>
        <w:pStyle w:val="Figure"/>
        <w:rPr>
          <w:lang w:val="en-US"/>
        </w:rPr>
      </w:pPr>
      <w:r w:rsidRPr="00AF4D16">
        <w:rPr>
          <w:noProof/>
          <w:lang w:val="en-US" w:eastAsia="zh-CN"/>
        </w:rPr>
        <w:drawing>
          <wp:inline distT="0" distB="0" distL="0" distR="0" wp14:anchorId="43990AA7" wp14:editId="613A72B2">
            <wp:extent cx="5753735" cy="8801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880110"/>
                    </a:xfrm>
                    <a:prstGeom prst="rect">
                      <a:avLst/>
                    </a:prstGeom>
                    <a:noFill/>
                    <a:ln>
                      <a:noFill/>
                    </a:ln>
                  </pic:spPr>
                </pic:pic>
              </a:graphicData>
            </a:graphic>
          </wp:inline>
        </w:drawing>
      </w:r>
    </w:p>
    <w:p w:rsidR="00A11509" w:rsidRPr="000B0E05" w:rsidRDefault="00A11509" w:rsidP="00A11509">
      <w:pPr>
        <w:rPr>
          <w:lang w:val="en-US"/>
        </w:rPr>
      </w:pPr>
    </w:p>
    <w:p w:rsidR="00A11509" w:rsidRDefault="00A11509" w:rsidP="00A11509">
      <w:pPr>
        <w:rPr>
          <w:szCs w:val="24"/>
          <w:lang w:val="en-US"/>
        </w:rPr>
      </w:pPr>
      <w:r>
        <w:rPr>
          <w:szCs w:val="24"/>
          <w:lang w:val="en-US"/>
        </w:rPr>
        <w:t>The proposed pfd limit is exceeded in some areas outside the territory of the Russian Federation, which constitutes the service area of the SADKO-1 LEBR beam. The result still remains the same if the satellite radiates with its lowest EIRP</w:t>
      </w:r>
      <w:r w:rsidRPr="00480DB5">
        <w:rPr>
          <w:szCs w:val="24"/>
          <w:lang w:val="en-US"/>
        </w:rPr>
        <w:t xml:space="preserve"> </w:t>
      </w:r>
      <w:r>
        <w:rPr>
          <w:szCs w:val="24"/>
          <w:lang w:val="en-US"/>
        </w:rPr>
        <w:t xml:space="preserve">value (56 dBW), which is only 3 dB below the maximum EIRP, thus showing large areas outside of the service area where the produced pfd exceeds </w:t>
      </w:r>
      <w:r>
        <w:rPr>
          <w:szCs w:val="24"/>
          <w:lang w:val="en-US"/>
        </w:rPr>
        <w:noBreakHyphen/>
        <w:t>113dBW/(m</w:t>
      </w:r>
      <w:r w:rsidRPr="003B44B4">
        <w:rPr>
          <w:szCs w:val="24"/>
          <w:vertAlign w:val="superscript"/>
          <w:lang w:val="en-US"/>
        </w:rPr>
        <w:t>2</w:t>
      </w:r>
      <w:r>
        <w:rPr>
          <w:szCs w:val="24"/>
          <w:lang w:val="en-US"/>
        </w:rPr>
        <w:t>.MHz) (see Figure 3 below).</w:t>
      </w:r>
    </w:p>
    <w:p w:rsidR="00A11509" w:rsidRPr="00A11509" w:rsidRDefault="00A11509" w:rsidP="00A11509">
      <w:pPr>
        <w:pStyle w:val="FigureNo"/>
        <w:rPr>
          <w:lang w:val="en-US"/>
        </w:rPr>
      </w:pPr>
      <w:r w:rsidRPr="00A11509">
        <w:rPr>
          <w:lang w:val="en-US"/>
        </w:rPr>
        <w:t>Figure 3</w:t>
      </w:r>
    </w:p>
    <w:p w:rsidR="00A11509" w:rsidRPr="00A11509" w:rsidRDefault="00A11509" w:rsidP="001A3450">
      <w:pPr>
        <w:pStyle w:val="Figuretitle"/>
        <w:keepNext/>
        <w:keepLines/>
        <w:spacing w:before="0"/>
        <w:jc w:val="center"/>
        <w:rPr>
          <w:lang w:val="en-US"/>
        </w:rPr>
      </w:pPr>
      <w:r w:rsidRPr="001A3450">
        <w:rPr>
          <w:rFonts w:ascii="Times New Roman Bold" w:hAnsi="Times New Roman Bold"/>
          <w:b/>
          <w:sz w:val="20"/>
          <w:lang w:val="en-GB"/>
        </w:rPr>
        <w:t xml:space="preserve">Constant pfd area of the LEBR beam of the SADKO-1 satellite network </w:t>
      </w:r>
      <w:r w:rsidRPr="001A3450">
        <w:rPr>
          <w:rFonts w:ascii="Times New Roman Bold" w:hAnsi="Times New Roman Bold"/>
          <w:b/>
          <w:sz w:val="20"/>
          <w:lang w:val="en-GB"/>
        </w:rPr>
        <w:br/>
        <w:t>when emitting with its lowest EIRP level</w:t>
      </w:r>
    </w:p>
    <w:p w:rsidR="00A11509" w:rsidRPr="00F73BA5" w:rsidRDefault="00A11509" w:rsidP="00A11509">
      <w:pPr>
        <w:jc w:val="center"/>
        <w:rPr>
          <w:szCs w:val="24"/>
          <w:lang w:val="en-US"/>
        </w:rPr>
      </w:pPr>
      <w:r>
        <w:rPr>
          <w:noProof/>
          <w:szCs w:val="24"/>
          <w:lang w:val="en-US" w:eastAsia="zh-CN"/>
        </w:rPr>
        <w:drawing>
          <wp:inline distT="0" distB="0" distL="0" distR="0" wp14:anchorId="1A4F0230" wp14:editId="6413B803">
            <wp:extent cx="3579962" cy="1275303"/>
            <wp:effectExtent l="0" t="0" r="1905"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0097" cy="1275351"/>
                    </a:xfrm>
                    <a:prstGeom prst="rect">
                      <a:avLst/>
                    </a:prstGeom>
                    <a:noFill/>
                    <a:ln>
                      <a:noFill/>
                    </a:ln>
                  </pic:spPr>
                </pic:pic>
              </a:graphicData>
            </a:graphic>
          </wp:inline>
        </w:drawing>
      </w:r>
    </w:p>
    <w:p w:rsidR="00A11509" w:rsidRDefault="00A11509" w:rsidP="00A11509">
      <w:pPr>
        <w:rPr>
          <w:szCs w:val="24"/>
          <w:lang w:val="en-US"/>
        </w:rPr>
      </w:pPr>
    </w:p>
    <w:p w:rsidR="00A11509" w:rsidRDefault="00A11509" w:rsidP="00A11509">
      <w:pPr>
        <w:rPr>
          <w:szCs w:val="24"/>
          <w:lang w:val="en-US"/>
        </w:rPr>
      </w:pPr>
    </w:p>
    <w:p w:rsidR="00A11509" w:rsidRDefault="00A11509" w:rsidP="00A11509">
      <w:pPr>
        <w:rPr>
          <w:szCs w:val="24"/>
          <w:lang w:val="en-US"/>
        </w:rPr>
      </w:pPr>
      <w:r>
        <w:rPr>
          <w:szCs w:val="24"/>
          <w:lang w:val="en-US"/>
        </w:rPr>
        <w:t>There are two possibilities for the countries outside the service area but covered by the beam:</w:t>
      </w:r>
    </w:p>
    <w:p w:rsidR="00A11509" w:rsidRPr="00612C8C" w:rsidRDefault="00A11509" w:rsidP="00A11509">
      <w:pPr>
        <w:pStyle w:val="ListParagraph"/>
        <w:numPr>
          <w:ilvl w:val="0"/>
          <w:numId w:val="18"/>
        </w:numPr>
        <w:rPr>
          <w:rFonts w:ascii="Times New Roman" w:hAnsi="Times New Roman" w:cs="Times New Roman"/>
          <w:sz w:val="24"/>
          <w:szCs w:val="24"/>
          <w:lang w:val="en-US"/>
        </w:rPr>
      </w:pPr>
      <w:r w:rsidRPr="00612C8C">
        <w:rPr>
          <w:rFonts w:ascii="Times New Roman" w:hAnsi="Times New Roman" w:cs="Times New Roman"/>
          <w:sz w:val="24"/>
          <w:szCs w:val="24"/>
          <w:lang w:val="en-US"/>
        </w:rPr>
        <w:t>They wish to be part of the service area. Then the</w:t>
      </w:r>
      <w:r>
        <w:rPr>
          <w:rFonts w:ascii="Times New Roman" w:hAnsi="Times New Roman" w:cs="Times New Roman"/>
          <w:sz w:val="24"/>
          <w:szCs w:val="24"/>
          <w:lang w:val="en-US"/>
        </w:rPr>
        <w:t xml:space="preserve">y may accept that the pfd limit of </w:t>
      </w:r>
      <w:r>
        <w:rPr>
          <w:rFonts w:ascii="Times New Roman" w:hAnsi="Times New Roman" w:cs="Times New Roman"/>
          <w:sz w:val="24"/>
          <w:szCs w:val="24"/>
          <w:lang w:val="en-US"/>
        </w:rPr>
        <w:noBreakHyphen/>
        <w:t>113 </w:t>
      </w:r>
      <w:r w:rsidRPr="00612C8C">
        <w:rPr>
          <w:rFonts w:ascii="Times New Roman" w:hAnsi="Times New Roman" w:cs="Times New Roman"/>
          <w:sz w:val="24"/>
          <w:szCs w:val="24"/>
          <w:lang w:val="en-US"/>
        </w:rPr>
        <w:t>dBW/</w:t>
      </w:r>
      <w:r>
        <w:rPr>
          <w:rFonts w:ascii="Times New Roman" w:hAnsi="Times New Roman" w:cs="Times New Roman"/>
          <w:sz w:val="24"/>
          <w:szCs w:val="24"/>
          <w:lang w:val="en-US"/>
        </w:rPr>
        <w:t>(</w:t>
      </w:r>
      <w:r w:rsidRPr="00612C8C">
        <w:rPr>
          <w:rFonts w:ascii="Times New Roman" w:hAnsi="Times New Roman" w:cs="Times New Roman"/>
          <w:sz w:val="24"/>
          <w:szCs w:val="24"/>
          <w:lang w:val="en-US"/>
        </w:rPr>
        <w:t>m²</w:t>
      </w:r>
      <w:r>
        <w:rPr>
          <w:rFonts w:ascii="Times New Roman" w:hAnsi="Times New Roman" w:cs="Times New Roman"/>
          <w:sz w:val="24"/>
          <w:szCs w:val="24"/>
          <w:lang w:val="en-US"/>
        </w:rPr>
        <w:t>.</w:t>
      </w:r>
      <w:r w:rsidRPr="00612C8C">
        <w:rPr>
          <w:rFonts w:ascii="Times New Roman" w:hAnsi="Times New Roman" w:cs="Times New Roman"/>
          <w:sz w:val="24"/>
          <w:szCs w:val="24"/>
          <w:lang w:val="en-US"/>
        </w:rPr>
        <w:t>MHz</w:t>
      </w:r>
      <w:r>
        <w:rPr>
          <w:rFonts w:ascii="Times New Roman" w:hAnsi="Times New Roman" w:cs="Times New Roman"/>
          <w:sz w:val="24"/>
          <w:szCs w:val="24"/>
          <w:lang w:val="en-US"/>
        </w:rPr>
        <w:t>)</w:t>
      </w:r>
      <w:r w:rsidRPr="00612C8C">
        <w:rPr>
          <w:rFonts w:ascii="Times New Roman" w:hAnsi="Times New Roman" w:cs="Times New Roman"/>
          <w:sz w:val="24"/>
          <w:szCs w:val="24"/>
          <w:lang w:val="en-US"/>
        </w:rPr>
        <w:t xml:space="preserve"> </w:t>
      </w:r>
      <w:r>
        <w:rPr>
          <w:rFonts w:ascii="Times New Roman" w:hAnsi="Times New Roman" w:cs="Times New Roman"/>
          <w:sz w:val="24"/>
          <w:szCs w:val="24"/>
          <w:lang w:val="en-US"/>
        </w:rPr>
        <w:t>does not apply over their territories</w:t>
      </w:r>
      <w:r w:rsidRPr="00612C8C">
        <w:rPr>
          <w:rFonts w:ascii="Times New Roman" w:hAnsi="Times New Roman" w:cs="Times New Roman"/>
          <w:sz w:val="24"/>
          <w:szCs w:val="24"/>
          <w:lang w:val="en-US"/>
        </w:rPr>
        <w:t>.</w:t>
      </w:r>
    </w:p>
    <w:p w:rsidR="00A11509" w:rsidRPr="00612C8C" w:rsidRDefault="00A11509" w:rsidP="00A11509">
      <w:pPr>
        <w:pStyle w:val="ListParagraph"/>
        <w:numPr>
          <w:ilvl w:val="0"/>
          <w:numId w:val="18"/>
        </w:numPr>
        <w:rPr>
          <w:rFonts w:ascii="Times New Roman" w:hAnsi="Times New Roman" w:cs="Times New Roman"/>
          <w:sz w:val="24"/>
          <w:szCs w:val="24"/>
          <w:lang w:val="en-US"/>
        </w:rPr>
      </w:pPr>
      <w:r w:rsidRPr="00612C8C">
        <w:rPr>
          <w:rFonts w:ascii="Times New Roman" w:hAnsi="Times New Roman" w:cs="Times New Roman"/>
          <w:sz w:val="24"/>
          <w:szCs w:val="24"/>
          <w:lang w:val="en-US"/>
        </w:rPr>
        <w:t>They do no</w:t>
      </w:r>
      <w:r>
        <w:rPr>
          <w:rFonts w:ascii="Times New Roman" w:hAnsi="Times New Roman" w:cs="Times New Roman"/>
          <w:sz w:val="24"/>
          <w:szCs w:val="24"/>
          <w:lang w:val="en-US"/>
        </w:rPr>
        <w:t>t</w:t>
      </w:r>
      <w:r w:rsidRPr="00612C8C">
        <w:rPr>
          <w:rFonts w:ascii="Times New Roman" w:hAnsi="Times New Roman" w:cs="Times New Roman"/>
          <w:sz w:val="24"/>
          <w:szCs w:val="24"/>
          <w:lang w:val="en-US"/>
        </w:rPr>
        <w:t xml:space="preserve"> wish to be part of the service area. Then </w:t>
      </w:r>
      <w:r>
        <w:rPr>
          <w:rFonts w:ascii="Times New Roman" w:hAnsi="Times New Roman" w:cs="Times New Roman"/>
          <w:sz w:val="24"/>
          <w:szCs w:val="24"/>
          <w:lang w:val="en-US"/>
        </w:rPr>
        <w:t>the beam on the satellite should be designed in a manner that avoids full coverage of these countries</w:t>
      </w:r>
      <w:r w:rsidRPr="00612C8C">
        <w:rPr>
          <w:rFonts w:ascii="Times New Roman" w:hAnsi="Times New Roman" w:cs="Times New Roman"/>
          <w:sz w:val="24"/>
          <w:szCs w:val="24"/>
          <w:lang w:val="en-US"/>
        </w:rPr>
        <w:t xml:space="preserve">. </w:t>
      </w:r>
    </w:p>
    <w:p w:rsidR="00A11509" w:rsidRDefault="00A11509" w:rsidP="00A11509">
      <w:pPr>
        <w:rPr>
          <w:szCs w:val="24"/>
          <w:lang w:val="en-US"/>
        </w:rPr>
      </w:pPr>
      <w:r>
        <w:rPr>
          <w:szCs w:val="24"/>
          <w:lang w:val="en-US"/>
        </w:rPr>
        <w:lastRenderedPageBreak/>
        <w:t xml:space="preserve">In both cases, the pfd limit of -113 dBW/(m².MHz) is exceeded only over territories within a limited distance (ranging from 30 km to 190 km for case a) and up to 70 km for case b)) from the border of the service area. </w:t>
      </w:r>
    </w:p>
    <w:p w:rsidR="00A11509" w:rsidRDefault="00A11509" w:rsidP="00A11509">
      <w:pPr>
        <w:rPr>
          <w:szCs w:val="24"/>
          <w:lang w:val="en-US"/>
        </w:rPr>
      </w:pPr>
      <w:r>
        <w:rPr>
          <w:szCs w:val="24"/>
          <w:lang w:val="en-US"/>
        </w:rPr>
        <w:t>This could enable the notifying administration of the SADKO-1 satellite network:</w:t>
      </w:r>
    </w:p>
    <w:p w:rsidR="00A11509" w:rsidRDefault="00A11509" w:rsidP="00A1150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 xml:space="preserve">to adapt the technical characteristics of this BSS satellite network to ensure that it will not affect terrestrial services such as IMT by complying with the proposed pfd limit of </w:t>
      </w:r>
      <w:r>
        <w:rPr>
          <w:rFonts w:ascii="Times New Roman" w:hAnsi="Times New Roman" w:cs="Times New Roman"/>
          <w:sz w:val="24"/>
          <w:szCs w:val="24"/>
          <w:lang w:val="en-US"/>
        </w:rPr>
        <w:noBreakHyphen/>
        <w:t xml:space="preserve">113 dBW/(m².MHz), </w:t>
      </w:r>
    </w:p>
    <w:p w:rsidR="00A11509" w:rsidRPr="00712AE5" w:rsidRDefault="00A11509" w:rsidP="00A11509">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in case where the impact is accepted by an administration</w:t>
      </w:r>
      <w:r w:rsidRPr="009A005C">
        <w:rPr>
          <w:rFonts w:ascii="Times New Roman" w:hAnsi="Times New Roman" w:cs="Times New Roman"/>
          <w:sz w:val="24"/>
          <w:szCs w:val="24"/>
          <w:lang w:val="en-US"/>
        </w:rPr>
        <w:t xml:space="preserve"> </w:t>
      </w:r>
      <w:r>
        <w:rPr>
          <w:rFonts w:ascii="Times New Roman" w:hAnsi="Times New Roman" w:cs="Times New Roman"/>
          <w:sz w:val="24"/>
          <w:szCs w:val="24"/>
          <w:lang w:val="en-US"/>
        </w:rPr>
        <w:t>neighbouring the service area, to reach agreement with it for such a pfd excess.</w:t>
      </w:r>
    </w:p>
    <w:p w:rsidR="00A11509" w:rsidRDefault="00A11509" w:rsidP="00A11509">
      <w:pPr>
        <w:rPr>
          <w:szCs w:val="24"/>
          <w:lang w:val="en-US"/>
        </w:rPr>
      </w:pPr>
      <w:r w:rsidRPr="000B0E05">
        <w:rPr>
          <w:szCs w:val="24"/>
          <w:lang w:val="en-US"/>
        </w:rPr>
        <w:t xml:space="preserve">As an example </w:t>
      </w:r>
      <w:r>
        <w:rPr>
          <w:szCs w:val="24"/>
          <w:lang w:val="en-US"/>
        </w:rPr>
        <w:t xml:space="preserve">of </w:t>
      </w:r>
      <w:r w:rsidRPr="000B0E05">
        <w:rPr>
          <w:szCs w:val="24"/>
          <w:lang w:val="en-US"/>
        </w:rPr>
        <w:t xml:space="preserve">a </w:t>
      </w:r>
      <w:r>
        <w:rPr>
          <w:szCs w:val="24"/>
          <w:lang w:val="en-US"/>
        </w:rPr>
        <w:t xml:space="preserve">possible </w:t>
      </w:r>
      <w:r w:rsidRPr="000B0E05">
        <w:rPr>
          <w:szCs w:val="24"/>
          <w:lang w:val="en-US"/>
        </w:rPr>
        <w:t xml:space="preserve">technical adaptation, if the </w:t>
      </w:r>
      <w:r>
        <w:rPr>
          <w:szCs w:val="24"/>
          <w:lang w:val="en-US"/>
        </w:rPr>
        <w:t xml:space="preserve">satellite </w:t>
      </w:r>
      <w:r w:rsidRPr="000B0E05">
        <w:rPr>
          <w:szCs w:val="24"/>
          <w:lang w:val="en-US"/>
        </w:rPr>
        <w:t>EIRP is limited to 52</w:t>
      </w:r>
      <w:r>
        <w:rPr>
          <w:szCs w:val="24"/>
          <w:lang w:val="en-US"/>
        </w:rPr>
        <w:t xml:space="preserve"> </w:t>
      </w:r>
      <w:r w:rsidRPr="000B0E05">
        <w:rPr>
          <w:szCs w:val="24"/>
          <w:lang w:val="en-US"/>
        </w:rPr>
        <w:t>dBW (</w:t>
      </w:r>
      <w:r>
        <w:rPr>
          <w:szCs w:val="24"/>
          <w:lang w:val="en-US"/>
        </w:rPr>
        <w:t>i.e. 4 </w:t>
      </w:r>
      <w:r w:rsidRPr="000B0E05">
        <w:rPr>
          <w:szCs w:val="24"/>
          <w:lang w:val="en-US"/>
        </w:rPr>
        <w:t xml:space="preserve">dB below the </w:t>
      </w:r>
      <w:r>
        <w:rPr>
          <w:szCs w:val="24"/>
          <w:lang w:val="en-US"/>
        </w:rPr>
        <w:t xml:space="preserve">submitted minimum </w:t>
      </w:r>
      <w:r w:rsidRPr="000B0E05">
        <w:rPr>
          <w:szCs w:val="24"/>
          <w:lang w:val="en-US"/>
        </w:rPr>
        <w:t xml:space="preserve">EIRP), then the proposed pfd limit is nearly met outside </w:t>
      </w:r>
      <w:r>
        <w:rPr>
          <w:szCs w:val="24"/>
          <w:lang w:val="en-US"/>
        </w:rPr>
        <w:t xml:space="preserve">the service </w:t>
      </w:r>
      <w:r w:rsidRPr="000B0E05">
        <w:rPr>
          <w:szCs w:val="24"/>
          <w:lang w:val="en-US"/>
        </w:rPr>
        <w:t>area</w:t>
      </w:r>
      <w:r>
        <w:rPr>
          <w:szCs w:val="24"/>
          <w:lang w:val="en-US"/>
        </w:rPr>
        <w:t xml:space="preserve"> (see Figure 4).</w:t>
      </w:r>
      <w:r w:rsidRPr="000B0E05">
        <w:rPr>
          <w:szCs w:val="24"/>
          <w:lang w:val="en-US"/>
        </w:rPr>
        <w:t xml:space="preserve"> </w:t>
      </w:r>
      <w:r>
        <w:rPr>
          <w:szCs w:val="24"/>
          <w:lang w:val="en-US"/>
        </w:rPr>
        <w:t>T</w:t>
      </w:r>
      <w:r w:rsidRPr="000B0E05">
        <w:rPr>
          <w:szCs w:val="24"/>
          <w:lang w:val="en-US"/>
        </w:rPr>
        <w:t xml:space="preserve">his EIRP </w:t>
      </w:r>
      <w:r>
        <w:rPr>
          <w:szCs w:val="24"/>
          <w:lang w:val="en-US"/>
        </w:rPr>
        <w:t xml:space="preserve">level </w:t>
      </w:r>
      <w:r w:rsidRPr="000B0E05">
        <w:rPr>
          <w:szCs w:val="24"/>
          <w:lang w:val="en-US"/>
        </w:rPr>
        <w:t xml:space="preserve">may reduce the BSS link margin within the </w:t>
      </w:r>
      <w:r>
        <w:rPr>
          <w:szCs w:val="24"/>
          <w:lang w:val="en-US"/>
        </w:rPr>
        <w:t xml:space="preserve">service area </w:t>
      </w:r>
      <w:r w:rsidRPr="000B0E05">
        <w:rPr>
          <w:szCs w:val="24"/>
          <w:lang w:val="en-US"/>
        </w:rPr>
        <w:t>and some other technical solutions (</w:t>
      </w:r>
      <w:r>
        <w:rPr>
          <w:szCs w:val="24"/>
          <w:lang w:val="en-US"/>
        </w:rPr>
        <w:t xml:space="preserve">e.g. </w:t>
      </w:r>
      <w:r w:rsidRPr="000B0E05">
        <w:rPr>
          <w:szCs w:val="24"/>
          <w:lang w:val="en-US"/>
        </w:rPr>
        <w:t xml:space="preserve">better beam shaping ) may be more appropriate.  </w:t>
      </w:r>
    </w:p>
    <w:p w:rsidR="00A11509" w:rsidRPr="00A11509" w:rsidRDefault="00A11509" w:rsidP="00A11509">
      <w:pPr>
        <w:pStyle w:val="FigureNo"/>
        <w:rPr>
          <w:lang w:val="en-US"/>
        </w:rPr>
      </w:pPr>
      <w:r w:rsidRPr="00A11509">
        <w:rPr>
          <w:lang w:val="en-US"/>
        </w:rPr>
        <w:t>Figure 4</w:t>
      </w:r>
    </w:p>
    <w:p w:rsidR="00A11509" w:rsidRDefault="00A11509" w:rsidP="001A3450">
      <w:pPr>
        <w:pStyle w:val="Figuretitle"/>
        <w:jc w:val="center"/>
        <w:rPr>
          <w:szCs w:val="24"/>
          <w:lang w:val="en-US"/>
        </w:rPr>
      </w:pPr>
      <w:r w:rsidRPr="001A3450">
        <w:rPr>
          <w:rFonts w:ascii="Times New Roman Bold" w:hAnsi="Times New Roman Bold"/>
          <w:b/>
          <w:sz w:val="20"/>
          <w:lang w:val="en-GB"/>
        </w:rPr>
        <w:t xml:space="preserve">Constant pfd area of the LEBR beam of the SADKO-1 satellite network </w:t>
      </w:r>
      <w:r w:rsidRPr="001A3450">
        <w:rPr>
          <w:rFonts w:ascii="Times New Roman Bold" w:hAnsi="Times New Roman Bold"/>
          <w:b/>
          <w:sz w:val="20"/>
          <w:lang w:val="en-GB"/>
        </w:rPr>
        <w:br/>
        <w:t>when emitting with a reduced EIRP level</w:t>
      </w:r>
      <w:r>
        <w:rPr>
          <w:noProof/>
          <w:szCs w:val="24"/>
          <w:lang w:val="en-US" w:eastAsia="zh-CN"/>
        </w:rPr>
        <w:drawing>
          <wp:inline distT="0" distB="0" distL="0" distR="0" wp14:anchorId="63873D5B" wp14:editId="5649A5F9">
            <wp:extent cx="5753735" cy="543560"/>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735" cy="543560"/>
                    </a:xfrm>
                    <a:prstGeom prst="rect">
                      <a:avLst/>
                    </a:prstGeom>
                    <a:noFill/>
                    <a:ln>
                      <a:noFill/>
                    </a:ln>
                  </pic:spPr>
                </pic:pic>
              </a:graphicData>
            </a:graphic>
          </wp:inline>
        </w:drawing>
      </w:r>
    </w:p>
    <w:p w:rsidR="00A11509" w:rsidRDefault="00A11509" w:rsidP="00A11509">
      <w:pPr>
        <w:pStyle w:val="Heading1"/>
        <w:rPr>
          <w:lang w:val="en-US"/>
        </w:rPr>
      </w:pPr>
    </w:p>
    <w:p w:rsidR="00A11509" w:rsidRPr="00712AE5" w:rsidRDefault="00A11509" w:rsidP="00A11509">
      <w:pPr>
        <w:pStyle w:val="Heading1"/>
        <w:rPr>
          <w:lang w:val="en-US"/>
        </w:rPr>
      </w:pPr>
      <w:r w:rsidRPr="00712AE5">
        <w:rPr>
          <w:lang w:val="en-US"/>
        </w:rPr>
        <w:t>For CHINASAT</w:t>
      </w:r>
      <w:r>
        <w:rPr>
          <w:lang w:val="en-US"/>
        </w:rPr>
        <w:t xml:space="preserve"> satellite networks</w:t>
      </w:r>
    </w:p>
    <w:p w:rsidR="00A11509" w:rsidRDefault="00A11509" w:rsidP="00A11509">
      <w:pPr>
        <w:rPr>
          <w:szCs w:val="24"/>
          <w:lang w:val="en-US"/>
        </w:rPr>
      </w:pPr>
      <w:r w:rsidRPr="00712AE5">
        <w:rPr>
          <w:szCs w:val="24"/>
          <w:lang w:val="en-US"/>
        </w:rPr>
        <w:t xml:space="preserve">Among those files available in </w:t>
      </w:r>
      <w:r>
        <w:rPr>
          <w:szCs w:val="24"/>
          <w:lang w:val="en-US"/>
        </w:rPr>
        <w:t>the Space Radiocommunications Stations (SRS) reference database</w:t>
      </w:r>
      <w:r w:rsidRPr="00712AE5">
        <w:rPr>
          <w:szCs w:val="24"/>
          <w:lang w:val="en-US"/>
        </w:rPr>
        <w:t xml:space="preserve">, there are coordination </w:t>
      </w:r>
      <w:r>
        <w:rPr>
          <w:szCs w:val="24"/>
          <w:lang w:val="en-US"/>
        </w:rPr>
        <w:t xml:space="preserve">requests for which the associated BSS </w:t>
      </w:r>
      <w:r w:rsidRPr="00712AE5">
        <w:rPr>
          <w:szCs w:val="24"/>
          <w:lang w:val="en-US"/>
        </w:rPr>
        <w:t xml:space="preserve">service </w:t>
      </w:r>
      <w:r>
        <w:rPr>
          <w:szCs w:val="24"/>
          <w:lang w:val="en-US"/>
        </w:rPr>
        <w:t xml:space="preserve">area </w:t>
      </w:r>
      <w:r w:rsidRPr="00712AE5">
        <w:rPr>
          <w:szCs w:val="24"/>
          <w:lang w:val="en-US"/>
        </w:rPr>
        <w:t>is</w:t>
      </w:r>
      <w:r>
        <w:rPr>
          <w:szCs w:val="24"/>
          <w:lang w:val="en-US"/>
        </w:rPr>
        <w:t xml:space="preserve"> large (see Figure 5 below). </w:t>
      </w:r>
    </w:p>
    <w:p w:rsidR="00A11509" w:rsidRPr="00A11509" w:rsidRDefault="00A11509" w:rsidP="00A11509">
      <w:pPr>
        <w:pStyle w:val="FigureNo"/>
        <w:rPr>
          <w:lang w:val="en-US"/>
        </w:rPr>
      </w:pPr>
      <w:r w:rsidRPr="00A11509">
        <w:rPr>
          <w:lang w:val="en-US"/>
        </w:rPr>
        <w:t>Figure 5</w:t>
      </w:r>
    </w:p>
    <w:p w:rsidR="00A11509" w:rsidRPr="001A3450" w:rsidRDefault="00A11509" w:rsidP="001A3450">
      <w:pPr>
        <w:pStyle w:val="Figuretitle"/>
        <w:jc w:val="center"/>
        <w:rPr>
          <w:rFonts w:ascii="Times New Roman Bold" w:hAnsi="Times New Roman Bold"/>
          <w:b/>
          <w:sz w:val="20"/>
          <w:lang w:val="en-GB"/>
        </w:rPr>
      </w:pPr>
      <w:r w:rsidRPr="001A3450">
        <w:rPr>
          <w:rFonts w:ascii="Times New Roman Bold" w:hAnsi="Times New Roman Bold"/>
          <w:b/>
          <w:sz w:val="20"/>
          <w:lang w:val="en-GB"/>
        </w:rPr>
        <w:t xml:space="preserve">Constant pfd area of the LEBR beam of the SADKO-1 satellite network </w:t>
      </w:r>
      <w:r w:rsidRPr="001A3450">
        <w:rPr>
          <w:rFonts w:ascii="Times New Roman Bold" w:hAnsi="Times New Roman Bold"/>
          <w:b/>
          <w:sz w:val="20"/>
          <w:lang w:val="en-GB"/>
        </w:rPr>
        <w:br/>
        <w:t>when emitting with a reduced EIRP level</w:t>
      </w:r>
    </w:p>
    <w:p w:rsidR="00A11509" w:rsidRDefault="00A11509" w:rsidP="00A11509">
      <w:pPr>
        <w:pStyle w:val="Figure"/>
        <w:rPr>
          <w:szCs w:val="24"/>
          <w:lang w:val="en-US"/>
        </w:rPr>
      </w:pPr>
      <w:r>
        <w:rPr>
          <w:noProof/>
          <w:lang w:val="en-US" w:eastAsia="zh-CN"/>
        </w:rPr>
        <w:drawing>
          <wp:inline distT="0" distB="0" distL="0" distR="0" wp14:anchorId="62711A18" wp14:editId="2803065A">
            <wp:extent cx="2028825" cy="2018747"/>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0862" cy="2020774"/>
                    </a:xfrm>
                    <a:prstGeom prst="rect">
                      <a:avLst/>
                    </a:prstGeom>
                    <a:noFill/>
                    <a:ln>
                      <a:noFill/>
                    </a:ln>
                  </pic:spPr>
                </pic:pic>
              </a:graphicData>
            </a:graphic>
          </wp:inline>
        </w:drawing>
      </w:r>
    </w:p>
    <w:p w:rsidR="00A11509" w:rsidRPr="000B0E05" w:rsidRDefault="00A11509" w:rsidP="00A11509">
      <w:pPr>
        <w:rPr>
          <w:lang w:val="en-US"/>
        </w:rPr>
      </w:pPr>
    </w:p>
    <w:p w:rsidR="00A11509" w:rsidRPr="00712AE5" w:rsidRDefault="00A11509" w:rsidP="00A11509">
      <w:pPr>
        <w:rPr>
          <w:szCs w:val="24"/>
          <w:lang w:val="en-US"/>
        </w:rPr>
      </w:pPr>
      <w:r>
        <w:rPr>
          <w:szCs w:val="24"/>
          <w:lang w:val="en-US"/>
        </w:rPr>
        <w:lastRenderedPageBreak/>
        <w:t>This situation may be explained by emphasizing that the coverage</w:t>
      </w:r>
      <w:r w:rsidRPr="00806F12">
        <w:rPr>
          <w:szCs w:val="24"/>
          <w:lang w:val="en-US"/>
        </w:rPr>
        <w:t xml:space="preserve"> </w:t>
      </w:r>
      <w:r>
        <w:rPr>
          <w:szCs w:val="24"/>
          <w:lang w:val="en-US"/>
        </w:rPr>
        <w:t>is performed</w:t>
      </w:r>
      <w:r w:rsidRPr="00806F12">
        <w:rPr>
          <w:szCs w:val="24"/>
          <w:lang w:val="en-US"/>
        </w:rPr>
        <w:t xml:space="preserve"> </w:t>
      </w:r>
      <w:r w:rsidRPr="00BE48BF">
        <w:rPr>
          <w:szCs w:val="24"/>
          <w:lang w:val="en-US"/>
        </w:rPr>
        <w:t>through</w:t>
      </w:r>
      <w:r>
        <w:rPr>
          <w:szCs w:val="24"/>
          <w:lang w:val="en-US"/>
        </w:rPr>
        <w:t>:</w:t>
      </w:r>
    </w:p>
    <w:p w:rsidR="00A11509" w:rsidRPr="00712AE5" w:rsidRDefault="00A11509" w:rsidP="00A11509">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t>steerable spot beams</w:t>
      </w:r>
      <w:r w:rsidRPr="00712AE5">
        <w:rPr>
          <w:rFonts w:ascii="Times New Roman" w:hAnsi="Times New Roman" w:cs="Times New Roman"/>
          <w:sz w:val="24"/>
          <w:szCs w:val="24"/>
          <w:lang w:val="en-US"/>
        </w:rPr>
        <w:t>,</w:t>
      </w:r>
    </w:p>
    <w:p w:rsidR="00A11509" w:rsidRPr="00712AE5" w:rsidRDefault="00A11509" w:rsidP="00A11509">
      <w:pPr>
        <w:pStyle w:val="ListParagraph"/>
        <w:numPr>
          <w:ilvl w:val="0"/>
          <w:numId w:val="21"/>
        </w:numPr>
        <w:rPr>
          <w:rFonts w:ascii="Times New Roman" w:hAnsi="Times New Roman" w:cs="Times New Roman"/>
          <w:sz w:val="24"/>
          <w:szCs w:val="24"/>
          <w:lang w:val="en-US"/>
        </w:rPr>
      </w:pPr>
      <w:r w:rsidRPr="00712AE5">
        <w:rPr>
          <w:rFonts w:ascii="Times New Roman" w:hAnsi="Times New Roman" w:cs="Times New Roman"/>
          <w:sz w:val="24"/>
          <w:szCs w:val="24"/>
          <w:lang w:val="en-US"/>
        </w:rPr>
        <w:t xml:space="preserve">multiple spot beams to cover the large area (as depicted in orange circle in the </w:t>
      </w:r>
      <w:r>
        <w:rPr>
          <w:rFonts w:ascii="Times New Roman" w:hAnsi="Times New Roman" w:cs="Times New Roman"/>
          <w:sz w:val="24"/>
          <w:szCs w:val="24"/>
          <w:lang w:val="en-US"/>
        </w:rPr>
        <w:t>above</w:t>
      </w:r>
      <w:r w:rsidRPr="00712AE5">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712AE5">
        <w:rPr>
          <w:rFonts w:ascii="Times New Roman" w:hAnsi="Times New Roman" w:cs="Times New Roman"/>
          <w:sz w:val="24"/>
          <w:szCs w:val="24"/>
          <w:lang w:val="en-US"/>
        </w:rPr>
        <w:t>igure)</w:t>
      </w:r>
      <w:r>
        <w:rPr>
          <w:rFonts w:ascii="Times New Roman" w:hAnsi="Times New Roman" w:cs="Times New Roman"/>
          <w:sz w:val="24"/>
          <w:szCs w:val="24"/>
          <w:lang w:val="en-US"/>
        </w:rPr>
        <w:t xml:space="preserve"> even they are not displayed in the publication.</w:t>
      </w:r>
    </w:p>
    <w:p w:rsidR="00A11509" w:rsidRDefault="00A11509" w:rsidP="00A11509">
      <w:pPr>
        <w:pStyle w:val="ListParagraph"/>
        <w:jc w:val="center"/>
        <w:rPr>
          <w:lang w:val="en-US"/>
        </w:rPr>
      </w:pPr>
    </w:p>
    <w:p w:rsidR="00A11509" w:rsidRPr="00712AE5" w:rsidRDefault="00A11509" w:rsidP="00A11509">
      <w:pPr>
        <w:rPr>
          <w:szCs w:val="24"/>
          <w:lang w:val="en-US"/>
        </w:rPr>
      </w:pPr>
      <w:r w:rsidRPr="00712AE5">
        <w:rPr>
          <w:szCs w:val="24"/>
          <w:lang w:val="en-US"/>
        </w:rPr>
        <w:t xml:space="preserve">Starting from pfd formula: </w:t>
      </w:r>
      <m:oMath>
        <m:r>
          <w:rPr>
            <w:rFonts w:ascii="Cambria Math" w:hAnsi="Cambria Math"/>
            <w:szCs w:val="24"/>
            <w:lang w:val="en-US"/>
          </w:rPr>
          <m:t>pfd=EIRP+10</m:t>
        </m:r>
        <m:sSub>
          <m:sSubPr>
            <m:ctrlPr>
              <w:rPr>
                <w:rFonts w:ascii="Cambria Math" w:hAnsi="Cambria Math"/>
                <w:i/>
                <w:szCs w:val="24"/>
                <w:lang w:val="en-US"/>
              </w:rPr>
            </m:ctrlPr>
          </m:sSubPr>
          <m:e>
            <m:r>
              <w:rPr>
                <w:rFonts w:ascii="Cambria Math" w:hAnsi="Cambria Math"/>
                <w:szCs w:val="24"/>
                <w:lang w:val="en-US"/>
              </w:rPr>
              <m:t>log</m:t>
            </m:r>
          </m:e>
          <m:sub>
            <m:r>
              <w:rPr>
                <w:rFonts w:ascii="Cambria Math" w:hAnsi="Cambria Math"/>
                <w:szCs w:val="24"/>
                <w:lang w:val="en-US"/>
              </w:rPr>
              <m:t>10</m:t>
            </m:r>
          </m:sub>
        </m:sSub>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4π</m:t>
                </m:r>
                <m:sSup>
                  <m:sSupPr>
                    <m:ctrlPr>
                      <w:rPr>
                        <w:rFonts w:ascii="Cambria Math" w:hAnsi="Cambria Math"/>
                        <w:i/>
                        <w:szCs w:val="24"/>
                        <w:lang w:val="en-US"/>
                      </w:rPr>
                    </m:ctrlPr>
                  </m:sSupPr>
                  <m:e>
                    <m:r>
                      <w:rPr>
                        <w:rFonts w:ascii="Cambria Math" w:hAnsi="Cambria Math"/>
                        <w:szCs w:val="24"/>
                        <w:lang w:val="en-US"/>
                      </w:rPr>
                      <m:t>d</m:t>
                    </m:r>
                  </m:e>
                  <m:sup>
                    <m:r>
                      <w:rPr>
                        <w:rFonts w:ascii="Cambria Math" w:hAnsi="Cambria Math"/>
                        <w:szCs w:val="24"/>
                        <w:lang w:val="en-US"/>
                      </w:rPr>
                      <m:t>2</m:t>
                    </m:r>
                  </m:sup>
                </m:sSup>
              </m:den>
            </m:f>
          </m:e>
        </m:d>
      </m:oMath>
      <w:r w:rsidRPr="00712AE5">
        <w:rPr>
          <w:szCs w:val="24"/>
          <w:lang w:val="en-US"/>
        </w:rPr>
        <w:t>,</w:t>
      </w:r>
    </w:p>
    <w:p w:rsidR="00A11509" w:rsidRPr="00712AE5" w:rsidRDefault="00A11509" w:rsidP="00A11509">
      <w:pPr>
        <w:rPr>
          <w:szCs w:val="24"/>
          <w:lang w:val="en-US"/>
        </w:rPr>
      </w:pPr>
      <w:r w:rsidRPr="00712AE5">
        <w:rPr>
          <w:szCs w:val="24"/>
          <w:lang w:val="en-US"/>
        </w:rPr>
        <w:t xml:space="preserve">When </w:t>
      </w:r>
      <m:oMath>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oMath>
      <w:r w:rsidRPr="00712AE5">
        <w:rPr>
          <w:szCs w:val="24"/>
          <w:lang w:val="en-US"/>
        </w:rPr>
        <w:t xml:space="preserve"> and T</w:t>
      </w:r>
      <w:r w:rsidRPr="00712AE5">
        <w:rPr>
          <w:szCs w:val="24"/>
          <w:vertAlign w:val="subscript"/>
          <w:lang w:val="en-US"/>
        </w:rPr>
        <w:t>Rx noise</w:t>
      </w:r>
      <w:r w:rsidRPr="00712AE5">
        <w:rPr>
          <w:szCs w:val="24"/>
          <w:lang w:val="en-US"/>
        </w:rPr>
        <w:t xml:space="preserve"> are available, </w:t>
      </w:r>
      <w:r w:rsidRPr="00712AE5">
        <w:rPr>
          <w:i/>
          <w:szCs w:val="24"/>
          <w:lang w:val="en-US"/>
        </w:rPr>
        <w:t>C</w:t>
      </w:r>
      <w:r w:rsidRPr="00712AE5">
        <w:rPr>
          <w:i/>
          <w:szCs w:val="24"/>
          <w:vertAlign w:val="subscript"/>
          <w:lang w:val="en-US"/>
        </w:rPr>
        <w:t>min</w:t>
      </w:r>
      <w:r w:rsidRPr="00712AE5">
        <w:rPr>
          <w:szCs w:val="24"/>
          <w:lang w:val="en-US"/>
        </w:rPr>
        <w:t xml:space="preserve"> (receiver sensitivity) can be derived:</w:t>
      </w:r>
    </w:p>
    <w:p w:rsidR="00A11509" w:rsidRPr="00EF6B75" w:rsidRDefault="00A11509" w:rsidP="00A11509">
      <w:pPr>
        <w:jc w:val="center"/>
        <w:rPr>
          <w:szCs w:val="24"/>
          <w:lang w:val="fr-FR"/>
        </w:rPr>
      </w:pPr>
      <w:r w:rsidRPr="00EF6B75">
        <w:rPr>
          <w:szCs w:val="24"/>
          <w:lang w:val="fr-FR"/>
        </w:rPr>
        <w:t>C</w:t>
      </w:r>
      <w:r w:rsidRPr="00EF6B75">
        <w:rPr>
          <w:szCs w:val="24"/>
          <w:vertAlign w:val="subscript"/>
          <w:lang w:val="fr-FR"/>
        </w:rPr>
        <w:t xml:space="preserve">min </w:t>
      </w:r>
      <w:r w:rsidRPr="00EF6B75">
        <w:rPr>
          <w:szCs w:val="24"/>
          <w:lang w:val="fr-FR"/>
        </w:rPr>
        <w:t>=</w:t>
      </w:r>
      <m:oMath>
        <m:r>
          <w:rPr>
            <w:rFonts w:ascii="Cambria Math" w:hAnsi="Cambria Math"/>
            <w:szCs w:val="24"/>
            <w:lang w:val="fr-FR"/>
          </w:rPr>
          <m:t xml:space="preserve"> </m:t>
        </m:r>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r>
          <w:rPr>
            <w:rFonts w:ascii="Cambria Math" w:hAnsi="Cambria Math"/>
            <w:szCs w:val="24"/>
            <w:lang w:val="fr-FR"/>
          </w:rPr>
          <m:t>×</m:t>
        </m:r>
        <m:r>
          <w:rPr>
            <w:rFonts w:ascii="Cambria Math" w:hAnsi="Cambria Math"/>
            <w:szCs w:val="24"/>
            <w:lang w:val="en-US"/>
          </w:rPr>
          <m:t>N</m:t>
        </m:r>
        <m:r>
          <w:rPr>
            <w:rFonts w:ascii="Cambria Math" w:hAnsi="Cambria Math"/>
            <w:szCs w:val="24"/>
            <w:lang w:val="fr-FR"/>
          </w:rPr>
          <m:t>=</m:t>
        </m:r>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r>
          <w:rPr>
            <w:rFonts w:ascii="Cambria Math" w:hAnsi="Cambria Math"/>
            <w:szCs w:val="24"/>
            <w:lang w:val="en-US"/>
          </w:rPr>
          <m:t>k</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Rx</m:t>
            </m:r>
            <m:r>
              <w:rPr>
                <w:rFonts w:ascii="Cambria Math" w:hAnsi="Cambria Math"/>
                <w:szCs w:val="24"/>
                <w:lang w:val="fr-FR"/>
              </w:rPr>
              <m:t xml:space="preserve"> </m:t>
            </m:r>
            <m:r>
              <w:rPr>
                <w:rFonts w:ascii="Cambria Math" w:hAnsi="Cambria Math"/>
                <w:szCs w:val="24"/>
                <w:lang w:val="en-US"/>
              </w:rPr>
              <m:t>noise</m:t>
            </m:r>
            <m:r>
              <w:rPr>
                <w:rFonts w:ascii="Cambria Math" w:hAnsi="Cambria Math"/>
                <w:szCs w:val="24"/>
                <w:lang w:val="fr-FR"/>
              </w:rPr>
              <m:t xml:space="preserve"> </m:t>
            </m:r>
          </m:sub>
        </m:sSub>
        <m:r>
          <w:rPr>
            <w:rFonts w:ascii="Cambria Math" w:hAnsi="Cambria Math"/>
            <w:szCs w:val="24"/>
            <w:lang w:val="en-US"/>
          </w:rPr>
          <m:t>B</m:t>
        </m:r>
        <m:r>
          <w:rPr>
            <w:rFonts w:ascii="Cambria Math" w:hAnsi="Cambria Math"/>
            <w:szCs w:val="24"/>
            <w:lang w:val="fr-FR"/>
          </w:rPr>
          <m:t>(</m:t>
        </m:r>
        <m:r>
          <w:rPr>
            <w:rFonts w:ascii="Cambria Math" w:hAnsi="Cambria Math"/>
            <w:szCs w:val="24"/>
            <w:lang w:val="en-US"/>
          </w:rPr>
          <m:t>MHz</m:t>
        </m:r>
        <m:r>
          <w:rPr>
            <w:rFonts w:ascii="Cambria Math" w:hAnsi="Cambria Math"/>
            <w:szCs w:val="24"/>
            <w:lang w:val="fr-FR"/>
          </w:rPr>
          <m:t>)</m:t>
        </m:r>
      </m:oMath>
    </w:p>
    <w:p w:rsidR="00A11509" w:rsidRPr="00712AE5" w:rsidRDefault="00A11509" w:rsidP="00A11509">
      <w:pPr>
        <w:rPr>
          <w:szCs w:val="24"/>
          <w:lang w:val="en-US"/>
        </w:rPr>
      </w:pPr>
      <w:r w:rsidRPr="00712AE5">
        <w:rPr>
          <w:szCs w:val="24"/>
          <w:lang w:val="en-US"/>
        </w:rPr>
        <w:t>Recalling that</w:t>
      </w:r>
      <w:r>
        <w:rPr>
          <w:szCs w:val="24"/>
          <w:lang w:val="en-US"/>
        </w:rPr>
        <w:t>:</w:t>
      </w:r>
      <w:r w:rsidRPr="00712AE5">
        <w:rPr>
          <w:szCs w:val="24"/>
          <w:lang w:val="en-US"/>
        </w:rPr>
        <w:t xml:space="preserve"> </w:t>
      </w:r>
      <w:r w:rsidRPr="00712AE5">
        <w:rPr>
          <w:i/>
          <w:szCs w:val="24"/>
          <w:lang w:val="en-US"/>
        </w:rPr>
        <w:t>P</w:t>
      </w:r>
      <w:r w:rsidRPr="00712AE5">
        <w:rPr>
          <w:i/>
          <w:szCs w:val="24"/>
          <w:vertAlign w:val="subscript"/>
          <w:lang w:val="en-US"/>
        </w:rPr>
        <w:t>e</w:t>
      </w:r>
      <w:r w:rsidRPr="00712AE5">
        <w:rPr>
          <w:i/>
          <w:szCs w:val="24"/>
          <w:lang w:val="en-US"/>
        </w:rPr>
        <w:t>G</w:t>
      </w:r>
      <w:r w:rsidRPr="00712AE5">
        <w:rPr>
          <w:i/>
          <w:szCs w:val="24"/>
          <w:vertAlign w:val="subscript"/>
          <w:lang w:val="en-US"/>
        </w:rPr>
        <w:t>e</w:t>
      </w:r>
      <w:r w:rsidRPr="00712AE5">
        <w:rPr>
          <w:szCs w:val="24"/>
          <w:lang w:val="en-US"/>
        </w:rPr>
        <w:t xml:space="preserve"> </w:t>
      </w:r>
      <m:oMath>
        <m:sSup>
          <m:sSupPr>
            <m:ctrlPr>
              <w:rPr>
                <w:rFonts w:ascii="Cambria Math" w:hAnsi="Cambria Math"/>
                <w:i/>
                <w:szCs w:val="24"/>
                <w:lang w:val="en-US"/>
              </w:rPr>
            </m:ctrlPr>
          </m:sSup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λ</m:t>
                    </m:r>
                  </m:num>
                  <m:den>
                    <m:r>
                      <w:rPr>
                        <w:rFonts w:ascii="Cambria Math" w:hAnsi="Cambria Math"/>
                        <w:szCs w:val="24"/>
                        <w:lang w:val="en-US"/>
                      </w:rPr>
                      <m:t>4πd</m:t>
                    </m:r>
                  </m:den>
                </m:f>
              </m:e>
            </m:d>
          </m:e>
          <m:sup>
            <m:r>
              <w:rPr>
                <w:rFonts w:ascii="Cambria Math" w:hAnsi="Cambria Math"/>
                <w:szCs w:val="24"/>
                <w:lang w:val="en-US"/>
              </w:rPr>
              <m:t>2</m:t>
            </m:r>
          </m:sup>
        </m:sSup>
      </m:oMath>
      <w:r w:rsidRPr="00712AE5">
        <w:rPr>
          <w:szCs w:val="24"/>
          <w:lang w:val="en-US"/>
        </w:rPr>
        <w:t>=</w:t>
      </w:r>
      <m:oMath>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C</m:t>
                </m:r>
              </m:e>
              <m:sub>
                <m:r>
                  <w:rPr>
                    <w:rFonts w:ascii="Cambria Math" w:hAnsi="Cambria Math"/>
                    <w:szCs w:val="24"/>
                    <w:lang w:val="en-US"/>
                  </w:rPr>
                  <m:t>min</m:t>
                </m:r>
              </m:sub>
            </m:sSub>
          </m:num>
          <m:den>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r</m:t>
                </m:r>
              </m:sub>
            </m:sSub>
          </m:den>
        </m:f>
      </m:oMath>
      <w:r w:rsidRPr="00712AE5">
        <w:rPr>
          <w:szCs w:val="24"/>
          <w:lang w:val="en-US"/>
        </w:rPr>
        <w:t xml:space="preserve"> =</w:t>
      </w:r>
      <m:oMath>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f>
          <m:fPr>
            <m:ctrlPr>
              <w:rPr>
                <w:rFonts w:ascii="Cambria Math" w:hAnsi="Cambria Math"/>
                <w:i/>
                <w:szCs w:val="24"/>
                <w:lang w:val="en-US"/>
              </w:rPr>
            </m:ctrlPr>
          </m:fPr>
          <m:num>
            <m:r>
              <w:rPr>
                <w:rFonts w:ascii="Cambria Math" w:hAnsi="Cambria Math"/>
                <w:szCs w:val="24"/>
                <w:lang w:val="en-US"/>
              </w:rPr>
              <m:t>1</m:t>
            </m:r>
          </m:num>
          <m:den>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r</m:t>
                </m:r>
              </m:sub>
            </m:sSub>
          </m:den>
        </m:f>
        <m:r>
          <w:rPr>
            <w:rFonts w:ascii="Cambria Math" w:hAnsi="Cambria Math"/>
            <w:szCs w:val="24"/>
            <w:lang w:val="en-US"/>
          </w:rPr>
          <m:t>k</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 xml:space="preserve">Rx noise </m:t>
            </m:r>
          </m:sub>
        </m:sSub>
        <m:r>
          <w:rPr>
            <w:rFonts w:ascii="Cambria Math" w:hAnsi="Cambria Math"/>
            <w:szCs w:val="24"/>
            <w:lang w:val="en-US"/>
          </w:rPr>
          <m:t>B(MHz)</m:t>
        </m:r>
      </m:oMath>
      <w:r w:rsidRPr="00712AE5">
        <w:rPr>
          <w:szCs w:val="24"/>
          <w:lang w:val="en-US"/>
        </w:rPr>
        <w:t>,</w:t>
      </w:r>
    </w:p>
    <w:p w:rsidR="00A11509" w:rsidRPr="00EF6B75" w:rsidRDefault="00A11509" w:rsidP="00A11509">
      <w:pPr>
        <w:jc w:val="center"/>
        <w:rPr>
          <w:szCs w:val="24"/>
          <w:vertAlign w:val="superscript"/>
          <w:lang w:val="fr-FR"/>
        </w:rPr>
      </w:pPr>
      <w:r w:rsidRPr="00EF6B75">
        <w:rPr>
          <w:i/>
          <w:szCs w:val="24"/>
          <w:lang w:val="fr-FR"/>
        </w:rPr>
        <w:t>pfd</w:t>
      </w:r>
      <w:r w:rsidRPr="00EF6B75">
        <w:rPr>
          <w:i/>
          <w:szCs w:val="24"/>
          <w:vertAlign w:val="subscript"/>
          <w:lang w:val="fr-FR"/>
        </w:rPr>
        <w:t>min</w:t>
      </w:r>
      <w:r w:rsidRPr="00EF6B75">
        <w:rPr>
          <w:szCs w:val="24"/>
          <w:lang w:val="fr-FR"/>
        </w:rPr>
        <w:t xml:space="preserve">= </w:t>
      </w:r>
      <m:oMath>
        <m:d>
          <m:dPr>
            <m:ctrlPr>
              <w:rPr>
                <w:rFonts w:ascii="Cambria Math" w:hAnsi="Cambria Math"/>
                <w:i/>
                <w:szCs w:val="24"/>
                <w:lang w:val="en-US"/>
              </w:rPr>
            </m:ctrlPr>
          </m:dPr>
          <m:e>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e</m:t>
                    </m:r>
                  </m:sub>
                </m:sSub>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e</m:t>
                    </m:r>
                  </m:sub>
                </m:sSub>
              </m:num>
              <m:den>
                <m:r>
                  <w:rPr>
                    <w:rFonts w:ascii="Cambria Math" w:hAnsi="Cambria Math"/>
                    <w:szCs w:val="24"/>
                    <w:lang w:val="fr-FR"/>
                  </w:rPr>
                  <m:t>4</m:t>
                </m:r>
                <m:r>
                  <w:rPr>
                    <w:rFonts w:ascii="Cambria Math" w:hAnsi="Cambria Math"/>
                    <w:szCs w:val="24"/>
                    <w:lang w:val="en-US"/>
                  </w:rPr>
                  <m:t>π</m:t>
                </m:r>
                <m:sSup>
                  <m:sSupPr>
                    <m:ctrlPr>
                      <w:rPr>
                        <w:rFonts w:ascii="Cambria Math" w:hAnsi="Cambria Math"/>
                        <w:i/>
                        <w:szCs w:val="24"/>
                        <w:lang w:val="en-US"/>
                      </w:rPr>
                    </m:ctrlPr>
                  </m:sSupPr>
                  <m:e>
                    <m:r>
                      <w:rPr>
                        <w:rFonts w:ascii="Cambria Math" w:hAnsi="Cambria Math"/>
                        <w:szCs w:val="24"/>
                        <w:lang w:val="en-US"/>
                      </w:rPr>
                      <m:t>d</m:t>
                    </m:r>
                  </m:e>
                  <m:sup>
                    <m:r>
                      <w:rPr>
                        <w:rFonts w:ascii="Cambria Math" w:hAnsi="Cambria Math"/>
                        <w:szCs w:val="24"/>
                        <w:lang w:val="fr-FR"/>
                      </w:rPr>
                      <m:t>2</m:t>
                    </m:r>
                  </m:sup>
                </m:sSup>
              </m:den>
            </m:f>
          </m:e>
        </m:d>
      </m:oMath>
      <w:r w:rsidRPr="00EF6B75">
        <w:rPr>
          <w:szCs w:val="24"/>
          <w:lang w:val="fr-FR"/>
        </w:rPr>
        <w:t>=</w:t>
      </w:r>
      <m:oMath>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e</m:t>
            </m:r>
          </m:sub>
        </m:sSub>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e</m:t>
            </m:r>
          </m:sub>
        </m:sSub>
        <m:sSup>
          <m:sSupPr>
            <m:ctrlPr>
              <w:rPr>
                <w:rFonts w:ascii="Cambria Math" w:hAnsi="Cambria Math"/>
                <w:i/>
                <w:szCs w:val="24"/>
                <w:lang w:val="en-US"/>
              </w:rPr>
            </m:ctrlPr>
          </m:sSup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λ</m:t>
                    </m:r>
                  </m:num>
                  <m:den>
                    <m:r>
                      <w:rPr>
                        <w:rFonts w:ascii="Cambria Math" w:hAnsi="Cambria Math"/>
                        <w:szCs w:val="24"/>
                        <w:lang w:val="fr-FR"/>
                      </w:rPr>
                      <m:t>4</m:t>
                    </m:r>
                    <m:r>
                      <w:rPr>
                        <w:rFonts w:ascii="Cambria Math" w:hAnsi="Cambria Math"/>
                        <w:szCs w:val="24"/>
                        <w:lang w:val="en-US"/>
                      </w:rPr>
                      <m:t>πd</m:t>
                    </m:r>
                  </m:den>
                </m:f>
              </m:e>
            </m:d>
          </m:e>
          <m:sup>
            <m:r>
              <w:rPr>
                <w:rFonts w:ascii="Cambria Math" w:hAnsi="Cambria Math"/>
                <w:szCs w:val="24"/>
                <w:lang w:val="fr-FR"/>
              </w:rPr>
              <m:t>2</m:t>
            </m:r>
          </m:sup>
        </m:sSup>
        <m:f>
          <m:fPr>
            <m:ctrlPr>
              <w:rPr>
                <w:rFonts w:ascii="Cambria Math" w:hAnsi="Cambria Math"/>
                <w:i/>
                <w:szCs w:val="24"/>
                <w:lang w:val="en-US"/>
              </w:rPr>
            </m:ctrlPr>
          </m:fPr>
          <m:num>
            <m:r>
              <w:rPr>
                <w:rFonts w:ascii="Cambria Math" w:hAnsi="Cambria Math"/>
                <w:szCs w:val="24"/>
                <w:lang w:val="fr-FR"/>
              </w:rPr>
              <m:t>4</m:t>
            </m:r>
            <m:r>
              <w:rPr>
                <w:rFonts w:ascii="Cambria Math" w:hAnsi="Cambria Math"/>
                <w:szCs w:val="24"/>
                <w:lang w:val="en-US"/>
              </w:rPr>
              <m:t>π</m:t>
            </m:r>
          </m:num>
          <m:den>
            <m:sSup>
              <m:sSupPr>
                <m:ctrlPr>
                  <w:rPr>
                    <w:rFonts w:ascii="Cambria Math" w:hAnsi="Cambria Math"/>
                    <w:i/>
                    <w:szCs w:val="24"/>
                    <w:lang w:val="en-US"/>
                  </w:rPr>
                </m:ctrlPr>
              </m:sSupPr>
              <m:e>
                <m:r>
                  <w:rPr>
                    <w:rFonts w:ascii="Cambria Math" w:hAnsi="Cambria Math"/>
                    <w:szCs w:val="24"/>
                    <w:lang w:val="en-US"/>
                  </w:rPr>
                  <m:t>λ</m:t>
                </m:r>
              </m:e>
              <m:sup>
                <m:r>
                  <w:rPr>
                    <w:rFonts w:ascii="Cambria Math" w:hAnsi="Cambria Math"/>
                    <w:szCs w:val="24"/>
                    <w:lang w:val="fr-FR"/>
                  </w:rPr>
                  <m:t>2</m:t>
                </m:r>
              </m:sup>
            </m:sSup>
          </m:den>
        </m:f>
      </m:oMath>
      <w:r w:rsidRPr="00EF6B75">
        <w:rPr>
          <w:szCs w:val="24"/>
          <w:lang w:val="fr-FR"/>
        </w:rPr>
        <w:t xml:space="preserve"> =</w:t>
      </w:r>
      <m:oMath>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f>
          <m:fPr>
            <m:ctrlPr>
              <w:rPr>
                <w:rFonts w:ascii="Cambria Math" w:hAnsi="Cambria Math"/>
                <w:i/>
                <w:szCs w:val="24"/>
                <w:lang w:val="en-US"/>
              </w:rPr>
            </m:ctrlPr>
          </m:fPr>
          <m:num>
            <m:r>
              <w:rPr>
                <w:rFonts w:ascii="Cambria Math" w:hAnsi="Cambria Math"/>
                <w:szCs w:val="24"/>
                <w:lang w:val="fr-FR"/>
              </w:rPr>
              <m:t>4</m:t>
            </m:r>
            <m:r>
              <w:rPr>
                <w:rFonts w:ascii="Cambria Math" w:hAnsi="Cambria Math"/>
                <w:szCs w:val="24"/>
                <w:lang w:val="en-US"/>
              </w:rPr>
              <m:t>π</m:t>
            </m:r>
          </m:num>
          <m:den>
            <m:sSub>
              <m:sSubPr>
                <m:ctrlPr>
                  <w:rPr>
                    <w:rFonts w:ascii="Cambria Math" w:hAnsi="Cambria Math"/>
                    <w:i/>
                    <w:szCs w:val="24"/>
                    <w:lang w:val="en-US"/>
                  </w:rPr>
                </m:ctrlPr>
              </m:sSubPr>
              <m:e>
                <m:sSup>
                  <m:sSupPr>
                    <m:ctrlPr>
                      <w:rPr>
                        <w:rFonts w:ascii="Cambria Math" w:hAnsi="Cambria Math"/>
                        <w:i/>
                        <w:szCs w:val="24"/>
                        <w:lang w:val="en-US"/>
                      </w:rPr>
                    </m:ctrlPr>
                  </m:sSupPr>
                  <m:e>
                    <m:r>
                      <w:rPr>
                        <w:rFonts w:ascii="Cambria Math" w:hAnsi="Cambria Math"/>
                        <w:szCs w:val="24"/>
                        <w:lang w:val="en-US"/>
                      </w:rPr>
                      <m:t>λ</m:t>
                    </m:r>
                  </m:e>
                  <m:sup>
                    <m:r>
                      <w:rPr>
                        <w:rFonts w:ascii="Cambria Math" w:hAnsi="Cambria Math"/>
                        <w:szCs w:val="24"/>
                        <w:lang w:val="fr-FR"/>
                      </w:rPr>
                      <m:t>2</m:t>
                    </m:r>
                  </m:sup>
                </m:sSup>
                <m:r>
                  <w:rPr>
                    <w:rFonts w:ascii="Cambria Math" w:hAnsi="Cambria Math"/>
                    <w:szCs w:val="24"/>
                    <w:lang w:val="en-US"/>
                  </w:rPr>
                  <m:t>G</m:t>
                </m:r>
              </m:e>
              <m:sub>
                <m:r>
                  <w:rPr>
                    <w:rFonts w:ascii="Cambria Math" w:hAnsi="Cambria Math"/>
                    <w:szCs w:val="24"/>
                    <w:lang w:val="en-US"/>
                  </w:rPr>
                  <m:t>Rx</m:t>
                </m:r>
                <m:r>
                  <w:rPr>
                    <w:rFonts w:ascii="Cambria Math" w:hAnsi="Cambria Math"/>
                    <w:szCs w:val="24"/>
                    <w:lang w:val="fr-FR"/>
                  </w:rPr>
                  <m:t xml:space="preserve"> </m:t>
                </m:r>
                <m:r>
                  <w:rPr>
                    <w:rFonts w:ascii="Cambria Math" w:hAnsi="Cambria Math"/>
                    <w:szCs w:val="24"/>
                    <w:lang w:val="en-US"/>
                  </w:rPr>
                  <m:t>max</m:t>
                </m:r>
              </m:sub>
            </m:sSub>
          </m:den>
        </m:f>
        <m:r>
          <w:rPr>
            <w:rFonts w:ascii="Cambria Math" w:hAnsi="Cambria Math"/>
            <w:szCs w:val="24"/>
            <w:lang w:val="en-US"/>
          </w:rPr>
          <m:t>k</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Rx</m:t>
            </m:r>
            <m:r>
              <w:rPr>
                <w:rFonts w:ascii="Cambria Math" w:hAnsi="Cambria Math"/>
                <w:szCs w:val="24"/>
                <w:lang w:val="fr-FR"/>
              </w:rPr>
              <m:t xml:space="preserve"> </m:t>
            </m:r>
            <m:r>
              <w:rPr>
                <w:rFonts w:ascii="Cambria Math" w:hAnsi="Cambria Math"/>
                <w:szCs w:val="24"/>
                <w:lang w:val="en-US"/>
              </w:rPr>
              <m:t>noise</m:t>
            </m:r>
            <m:r>
              <w:rPr>
                <w:rFonts w:ascii="Cambria Math" w:hAnsi="Cambria Math"/>
                <w:szCs w:val="24"/>
                <w:lang w:val="fr-FR"/>
              </w:rPr>
              <m:t xml:space="preserve"> </m:t>
            </m:r>
          </m:sub>
        </m:sSub>
        <m:r>
          <w:rPr>
            <w:rFonts w:ascii="Cambria Math" w:hAnsi="Cambria Math"/>
            <w:szCs w:val="24"/>
            <w:lang w:val="en-US"/>
          </w:rPr>
          <m:t>B</m:t>
        </m:r>
        <m:r>
          <w:rPr>
            <w:rFonts w:ascii="Cambria Math" w:hAnsi="Cambria Math"/>
            <w:szCs w:val="24"/>
            <w:lang w:val="fr-FR"/>
          </w:rPr>
          <m:t>(</m:t>
        </m:r>
        <m:r>
          <w:rPr>
            <w:rFonts w:ascii="Cambria Math" w:hAnsi="Cambria Math"/>
            <w:szCs w:val="24"/>
            <w:lang w:val="en-US"/>
          </w:rPr>
          <m:t>MHz</m:t>
        </m:r>
        <m:r>
          <w:rPr>
            <w:rFonts w:ascii="Cambria Math" w:hAnsi="Cambria Math"/>
            <w:szCs w:val="24"/>
            <w:lang w:val="fr-FR"/>
          </w:rPr>
          <m:t>)</m:t>
        </m:r>
      </m:oMath>
      <w:r w:rsidRPr="00EF6B75">
        <w:rPr>
          <w:szCs w:val="24"/>
          <w:lang w:val="fr-FR"/>
        </w:rPr>
        <w:t>.</w:t>
      </w:r>
    </w:p>
    <w:p w:rsidR="00A11509" w:rsidRPr="00712AE5" w:rsidRDefault="00A11509" w:rsidP="00A11509">
      <w:pPr>
        <w:rPr>
          <w:szCs w:val="24"/>
          <w:lang w:val="en-US"/>
        </w:rPr>
      </w:pPr>
      <w:r>
        <w:rPr>
          <w:szCs w:val="24"/>
          <w:lang w:val="en-US"/>
        </w:rPr>
        <w:t>F</w:t>
      </w:r>
      <w:r w:rsidRPr="00712AE5">
        <w:rPr>
          <w:szCs w:val="24"/>
          <w:lang w:val="en-US"/>
        </w:rPr>
        <w:t xml:space="preserve">rom the above formula, it is then concluded that the </w:t>
      </w:r>
      <w:r w:rsidRPr="00712AE5">
        <w:rPr>
          <w:i/>
          <w:szCs w:val="24"/>
          <w:lang w:val="en-US"/>
        </w:rPr>
        <w:t>pfd</w:t>
      </w:r>
      <w:r w:rsidRPr="00712AE5">
        <w:rPr>
          <w:i/>
          <w:szCs w:val="24"/>
          <w:vertAlign w:val="subscript"/>
          <w:lang w:val="en-US"/>
        </w:rPr>
        <w:t>min</w:t>
      </w:r>
      <w:r w:rsidRPr="00712AE5">
        <w:rPr>
          <w:szCs w:val="24"/>
          <w:vertAlign w:val="subscript"/>
          <w:lang w:val="en-US"/>
        </w:rPr>
        <w:t xml:space="preserve"> </w:t>
      </w:r>
      <w:r w:rsidRPr="00712AE5">
        <w:rPr>
          <w:szCs w:val="24"/>
          <w:lang w:val="en-US"/>
        </w:rPr>
        <w:t>value could be derived from the following parameters</w:t>
      </w:r>
      <w:r>
        <w:rPr>
          <w:szCs w:val="24"/>
          <w:lang w:val="en-US"/>
        </w:rPr>
        <w:t>:</w:t>
      </w:r>
    </w:p>
    <w:p w:rsidR="00A11509" w:rsidRPr="00712AE5" w:rsidRDefault="00A11509" w:rsidP="00A11509">
      <w:pPr>
        <w:pStyle w:val="ListParagraph"/>
        <w:numPr>
          <w:ilvl w:val="1"/>
          <w:numId w:val="21"/>
        </w:numPr>
        <w:rPr>
          <w:rFonts w:ascii="Times New Roman" w:hAnsi="Times New Roman" w:cs="Times New Roman"/>
          <w:sz w:val="24"/>
          <w:szCs w:val="24"/>
          <w:lang w:val="en-US"/>
        </w:rPr>
      </w:pPr>
      <w:r w:rsidRPr="00712AE5">
        <w:rPr>
          <w:rFonts w:ascii="Times New Roman" w:hAnsi="Times New Roman" w:cs="Times New Roman"/>
          <w:sz w:val="24"/>
          <w:szCs w:val="24"/>
          <w:lang w:val="en-US"/>
        </w:rPr>
        <w:t xml:space="preserve">Radio </w:t>
      </w:r>
      <w:r>
        <w:rPr>
          <w:rFonts w:ascii="Times New Roman" w:hAnsi="Times New Roman" w:cs="Times New Roman"/>
          <w:sz w:val="24"/>
          <w:szCs w:val="24"/>
          <w:lang w:val="en-US"/>
        </w:rPr>
        <w:t>l</w:t>
      </w:r>
      <w:r w:rsidRPr="00712AE5">
        <w:rPr>
          <w:rFonts w:ascii="Times New Roman" w:hAnsi="Times New Roman" w:cs="Times New Roman"/>
          <w:sz w:val="24"/>
          <w:szCs w:val="24"/>
          <w:lang w:val="en-US"/>
        </w:rPr>
        <w:t xml:space="preserve">ink </w:t>
      </w:r>
      <w:r>
        <w:rPr>
          <w:rFonts w:ascii="Times New Roman" w:hAnsi="Times New Roman" w:cs="Times New Roman"/>
          <w:sz w:val="24"/>
          <w:szCs w:val="24"/>
          <w:lang w:val="en-US"/>
        </w:rPr>
        <w:t>b</w:t>
      </w:r>
      <w:r w:rsidRPr="00712AE5">
        <w:rPr>
          <w:rFonts w:ascii="Times New Roman" w:hAnsi="Times New Roman" w:cs="Times New Roman"/>
          <w:sz w:val="24"/>
          <w:szCs w:val="24"/>
          <w:lang w:val="en-US"/>
        </w:rPr>
        <w:t xml:space="preserve">udget: </w:t>
      </w:r>
      <w:r>
        <w:rPr>
          <w:rFonts w:ascii="Times New Roman" w:hAnsi="Times New Roman" w:cs="Times New Roman"/>
          <w:sz w:val="24"/>
          <w:szCs w:val="24"/>
          <w:lang w:val="en-US"/>
        </w:rPr>
        <w:t xml:space="preserve">the </w:t>
      </w:r>
      <w:r w:rsidRPr="00712AE5">
        <w:rPr>
          <w:rFonts w:ascii="Times New Roman" w:hAnsi="Times New Roman" w:cs="Times New Roman"/>
          <w:sz w:val="24"/>
          <w:szCs w:val="24"/>
          <w:lang w:val="en-US"/>
        </w:rPr>
        <w:t xml:space="preserve">C/N </w:t>
      </w:r>
      <w:r>
        <w:rPr>
          <w:rFonts w:ascii="Times New Roman" w:hAnsi="Times New Roman" w:cs="Times New Roman"/>
          <w:sz w:val="24"/>
          <w:szCs w:val="24"/>
          <w:lang w:val="en-US"/>
        </w:rPr>
        <w:t xml:space="preserve">ratio </w:t>
      </w:r>
      <w:r w:rsidRPr="00712AE5">
        <w:rPr>
          <w:rFonts w:ascii="Times New Roman" w:hAnsi="Times New Roman" w:cs="Times New Roman"/>
          <w:sz w:val="24"/>
          <w:szCs w:val="24"/>
          <w:lang w:val="en-US"/>
        </w:rPr>
        <w:t xml:space="preserve">(dB) </w:t>
      </w:r>
      <w:r>
        <w:rPr>
          <w:rFonts w:ascii="Times New Roman" w:hAnsi="Times New Roman" w:cs="Times New Roman"/>
          <w:sz w:val="24"/>
          <w:szCs w:val="24"/>
          <w:lang w:val="en-US"/>
        </w:rPr>
        <w:t xml:space="preserve">is </w:t>
      </w:r>
      <w:r w:rsidRPr="00712AE5">
        <w:rPr>
          <w:rFonts w:ascii="Times New Roman" w:hAnsi="Times New Roman" w:cs="Times New Roman"/>
          <w:sz w:val="24"/>
          <w:szCs w:val="24"/>
          <w:lang w:val="en-US"/>
        </w:rPr>
        <w:t xml:space="preserve">available </w:t>
      </w:r>
      <w:r>
        <w:rPr>
          <w:rFonts w:ascii="Times New Roman" w:hAnsi="Times New Roman" w:cs="Times New Roman"/>
          <w:sz w:val="24"/>
          <w:szCs w:val="24"/>
          <w:lang w:val="en-US"/>
        </w:rPr>
        <w:t xml:space="preserve">in </w:t>
      </w:r>
      <w:r w:rsidRPr="00712AE5">
        <w:rPr>
          <w:rFonts w:ascii="Times New Roman" w:hAnsi="Times New Roman" w:cs="Times New Roman"/>
          <w:sz w:val="24"/>
          <w:szCs w:val="24"/>
          <w:lang w:val="en-US"/>
        </w:rPr>
        <w:t xml:space="preserve">the IFIC </w:t>
      </w:r>
      <w:r>
        <w:rPr>
          <w:rFonts w:ascii="Times New Roman" w:hAnsi="Times New Roman" w:cs="Times New Roman"/>
          <w:sz w:val="24"/>
          <w:szCs w:val="24"/>
          <w:lang w:val="en-US"/>
        </w:rPr>
        <w:t>special section</w:t>
      </w:r>
    </w:p>
    <w:p w:rsidR="00A11509" w:rsidRDefault="00A11509" w:rsidP="00A11509">
      <w:pPr>
        <w:pStyle w:val="ListParagraph"/>
        <w:numPr>
          <w:ilvl w:val="1"/>
          <w:numId w:val="21"/>
        </w:numPr>
        <w:rPr>
          <w:rFonts w:ascii="Times New Roman" w:hAnsi="Times New Roman" w:cs="Times New Roman"/>
          <w:sz w:val="24"/>
          <w:szCs w:val="24"/>
          <w:lang w:val="en-US"/>
        </w:rPr>
      </w:pPr>
      <w:r>
        <w:rPr>
          <w:rFonts w:ascii="Times New Roman" w:hAnsi="Times New Roman" w:cs="Times New Roman"/>
          <w:sz w:val="24"/>
          <w:szCs w:val="24"/>
          <w:lang w:val="en-US"/>
        </w:rPr>
        <w:t>r</w:t>
      </w:r>
      <w:r w:rsidRPr="00712AE5">
        <w:rPr>
          <w:rFonts w:ascii="Times New Roman" w:hAnsi="Times New Roman" w:cs="Times New Roman"/>
          <w:sz w:val="24"/>
          <w:szCs w:val="24"/>
          <w:lang w:val="en-US"/>
        </w:rPr>
        <w:t xml:space="preserve">eceiver capabilities: </w:t>
      </w:r>
      <w:r>
        <w:rPr>
          <w:rFonts w:ascii="Times New Roman" w:hAnsi="Times New Roman" w:cs="Times New Roman"/>
          <w:sz w:val="24"/>
          <w:szCs w:val="24"/>
          <w:lang w:val="en-US"/>
        </w:rPr>
        <w:t xml:space="preserve">the maximum antenna gain value </w:t>
      </w:r>
      <w:r w:rsidRPr="00712AE5">
        <w:rPr>
          <w:rFonts w:ascii="Times New Roman" w:hAnsi="Times New Roman" w:cs="Times New Roman"/>
          <w:i/>
          <w:sz w:val="24"/>
          <w:szCs w:val="24"/>
          <w:lang w:val="en-US"/>
        </w:rPr>
        <w:t>G</w:t>
      </w:r>
      <w:r w:rsidRPr="00712AE5">
        <w:rPr>
          <w:rFonts w:ascii="Times New Roman" w:hAnsi="Times New Roman" w:cs="Times New Roman"/>
          <w:i/>
          <w:sz w:val="24"/>
          <w:szCs w:val="24"/>
          <w:vertAlign w:val="subscript"/>
          <w:lang w:val="en-US"/>
        </w:rPr>
        <w:t>Rxmax</w:t>
      </w:r>
      <w:r>
        <w:rPr>
          <w:rFonts w:ascii="Times New Roman" w:hAnsi="Times New Roman" w:cs="Times New Roman"/>
          <w:sz w:val="24"/>
          <w:szCs w:val="24"/>
          <w:lang w:val="en-US"/>
        </w:rPr>
        <w:t xml:space="preserve"> and noise temperature </w:t>
      </w:r>
      <w:r w:rsidRPr="00712AE5">
        <w:rPr>
          <w:rFonts w:ascii="Times New Roman" w:hAnsi="Times New Roman" w:cs="Times New Roman"/>
          <w:i/>
          <w:sz w:val="24"/>
          <w:szCs w:val="24"/>
          <w:lang w:val="en-US"/>
        </w:rPr>
        <w:t>T</w:t>
      </w:r>
      <w:r w:rsidRPr="00712AE5">
        <w:rPr>
          <w:rFonts w:ascii="Times New Roman" w:hAnsi="Times New Roman" w:cs="Times New Roman"/>
          <w:i/>
          <w:sz w:val="24"/>
          <w:szCs w:val="24"/>
          <w:vertAlign w:val="subscript"/>
          <w:lang w:val="en-US"/>
        </w:rPr>
        <w:t>Rx</w:t>
      </w:r>
      <w:r>
        <w:rPr>
          <w:rFonts w:ascii="Times New Roman" w:hAnsi="Times New Roman" w:cs="Times New Roman"/>
          <w:i/>
          <w:sz w:val="24"/>
          <w:szCs w:val="24"/>
          <w:vertAlign w:val="subscript"/>
          <w:lang w:val="en-US"/>
        </w:rPr>
        <w:t xml:space="preserve"> </w:t>
      </w:r>
      <w:r w:rsidRPr="00712AE5">
        <w:rPr>
          <w:rFonts w:ascii="Times New Roman" w:hAnsi="Times New Roman" w:cs="Times New Roman"/>
          <w:i/>
          <w:sz w:val="24"/>
          <w:szCs w:val="24"/>
          <w:vertAlign w:val="subscript"/>
          <w:lang w:val="en-US"/>
        </w:rPr>
        <w:t xml:space="preserve">noise </w:t>
      </w:r>
      <w:r w:rsidRPr="00AF4D16">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are </w:t>
      </w:r>
      <w:r w:rsidRPr="00712AE5">
        <w:rPr>
          <w:rFonts w:ascii="Times New Roman" w:hAnsi="Times New Roman" w:cs="Times New Roman"/>
          <w:sz w:val="24"/>
          <w:szCs w:val="24"/>
          <w:lang w:val="en-US"/>
        </w:rPr>
        <w:t xml:space="preserve">available </w:t>
      </w:r>
      <w:r>
        <w:rPr>
          <w:rFonts w:ascii="Times New Roman" w:hAnsi="Times New Roman" w:cs="Times New Roman"/>
          <w:sz w:val="24"/>
          <w:szCs w:val="24"/>
          <w:lang w:val="en-US"/>
        </w:rPr>
        <w:t xml:space="preserve">in </w:t>
      </w:r>
      <w:r w:rsidRPr="00712AE5">
        <w:rPr>
          <w:rFonts w:ascii="Times New Roman" w:hAnsi="Times New Roman" w:cs="Times New Roman"/>
          <w:sz w:val="24"/>
          <w:szCs w:val="24"/>
          <w:lang w:val="en-US"/>
        </w:rPr>
        <w:t xml:space="preserve">the IFIC </w:t>
      </w:r>
      <w:r>
        <w:rPr>
          <w:rFonts w:ascii="Times New Roman" w:hAnsi="Times New Roman" w:cs="Times New Roman"/>
          <w:sz w:val="24"/>
          <w:szCs w:val="24"/>
          <w:lang w:val="en-US"/>
        </w:rPr>
        <w:t>special section</w:t>
      </w:r>
    </w:p>
    <w:p w:rsidR="00A11509" w:rsidRDefault="00A11509" w:rsidP="00A11509">
      <w:pPr>
        <w:rPr>
          <w:szCs w:val="24"/>
          <w:lang w:val="en-US"/>
        </w:rPr>
      </w:pPr>
      <w:r w:rsidRPr="00247E46">
        <w:rPr>
          <w:szCs w:val="24"/>
          <w:lang w:val="en-US"/>
        </w:rPr>
        <w:t xml:space="preserve">Data related to </w:t>
      </w:r>
      <w:r>
        <w:rPr>
          <w:szCs w:val="24"/>
          <w:lang w:val="en-US"/>
        </w:rPr>
        <w:t>c</w:t>
      </w:r>
      <w:r w:rsidRPr="00247E46">
        <w:rPr>
          <w:szCs w:val="24"/>
          <w:lang w:val="en-US"/>
        </w:rPr>
        <w:t xml:space="preserve">oordination </w:t>
      </w:r>
      <w:r>
        <w:rPr>
          <w:szCs w:val="24"/>
          <w:lang w:val="en-US"/>
        </w:rPr>
        <w:t>requests</w:t>
      </w:r>
      <w:r w:rsidRPr="00247E46">
        <w:rPr>
          <w:szCs w:val="24"/>
          <w:lang w:val="en-US"/>
        </w:rPr>
        <w:t xml:space="preserve"> </w:t>
      </w:r>
      <w:r>
        <w:rPr>
          <w:szCs w:val="24"/>
          <w:lang w:val="en-US"/>
        </w:rPr>
        <w:t xml:space="preserve">of </w:t>
      </w:r>
      <w:r w:rsidRPr="00247E46">
        <w:rPr>
          <w:szCs w:val="24"/>
          <w:lang w:val="en-US"/>
        </w:rPr>
        <w:t xml:space="preserve">CHINASAT </w:t>
      </w:r>
      <w:r>
        <w:rPr>
          <w:szCs w:val="24"/>
          <w:lang w:val="en-US"/>
        </w:rPr>
        <w:t xml:space="preserve">satellite networks </w:t>
      </w:r>
      <w:r w:rsidRPr="00247E46">
        <w:rPr>
          <w:szCs w:val="24"/>
          <w:lang w:val="en-US"/>
        </w:rPr>
        <w:t xml:space="preserve">are given in the first 5 columns </w:t>
      </w:r>
      <w:r>
        <w:rPr>
          <w:szCs w:val="24"/>
          <w:lang w:val="en-US"/>
        </w:rPr>
        <w:t xml:space="preserve">of Table 5 below </w:t>
      </w:r>
      <w:r w:rsidRPr="00247E46">
        <w:rPr>
          <w:szCs w:val="24"/>
          <w:lang w:val="en-US"/>
        </w:rPr>
        <w:t xml:space="preserve">and the </w:t>
      </w:r>
      <w:r w:rsidRPr="00247E46">
        <w:rPr>
          <w:i/>
          <w:szCs w:val="24"/>
          <w:lang w:val="en-US"/>
        </w:rPr>
        <w:t>pfd</w:t>
      </w:r>
      <w:r w:rsidRPr="00247E46">
        <w:rPr>
          <w:i/>
          <w:szCs w:val="24"/>
          <w:vertAlign w:val="subscript"/>
          <w:lang w:val="en-US"/>
        </w:rPr>
        <w:t>min</w:t>
      </w:r>
      <w:r w:rsidRPr="00247E46">
        <w:rPr>
          <w:szCs w:val="24"/>
          <w:lang w:val="en-US"/>
        </w:rPr>
        <w:t xml:space="preserve"> is </w:t>
      </w:r>
      <w:r>
        <w:rPr>
          <w:szCs w:val="24"/>
          <w:lang w:val="en-US"/>
        </w:rPr>
        <w:t xml:space="preserve">then </w:t>
      </w:r>
      <w:r w:rsidRPr="00247E46">
        <w:rPr>
          <w:szCs w:val="24"/>
          <w:lang w:val="en-US"/>
        </w:rPr>
        <w:t>derived for each scenario. All orbit</w:t>
      </w:r>
      <w:r>
        <w:rPr>
          <w:szCs w:val="24"/>
          <w:lang w:val="en-US"/>
        </w:rPr>
        <w:t>al positions</w:t>
      </w:r>
      <w:r w:rsidRPr="00247E46">
        <w:rPr>
          <w:szCs w:val="24"/>
          <w:lang w:val="en-US"/>
        </w:rPr>
        <w:t xml:space="preserve"> refer to </w:t>
      </w:r>
      <w:r>
        <w:rPr>
          <w:szCs w:val="24"/>
          <w:lang w:val="en-US"/>
        </w:rPr>
        <w:t xml:space="preserve">the </w:t>
      </w:r>
      <w:r w:rsidRPr="00247E46">
        <w:rPr>
          <w:szCs w:val="24"/>
          <w:lang w:val="en-US"/>
        </w:rPr>
        <w:t>common 4 values</w:t>
      </w:r>
      <w:r>
        <w:rPr>
          <w:szCs w:val="24"/>
          <w:lang w:val="en-US"/>
        </w:rPr>
        <w:t xml:space="preserve"> of the </w:t>
      </w:r>
      <w:r w:rsidRPr="00247E46">
        <w:rPr>
          <w:i/>
          <w:szCs w:val="24"/>
          <w:lang w:val="en-US"/>
        </w:rPr>
        <w:t>G</w:t>
      </w:r>
      <w:r w:rsidRPr="00247E46">
        <w:rPr>
          <w:i/>
          <w:szCs w:val="24"/>
          <w:vertAlign w:val="subscript"/>
          <w:lang w:val="en-US"/>
        </w:rPr>
        <w:t>Rxmax</w:t>
      </w:r>
      <w:r w:rsidRPr="00247E46">
        <w:rPr>
          <w:i/>
          <w:szCs w:val="24"/>
          <w:lang w:val="en-US"/>
        </w:rPr>
        <w:t>, T, C/N</w:t>
      </w:r>
      <w:r>
        <w:rPr>
          <w:szCs w:val="24"/>
          <w:lang w:val="en-US"/>
        </w:rPr>
        <w:t xml:space="preserve"> parameters</w:t>
      </w:r>
      <w:r w:rsidRPr="00247E46">
        <w:rPr>
          <w:szCs w:val="24"/>
          <w:lang w:val="en-US"/>
        </w:rPr>
        <w:t>.</w:t>
      </w:r>
    </w:p>
    <w:p w:rsidR="00A11509" w:rsidRDefault="00A11509" w:rsidP="00A11509">
      <w:pPr>
        <w:pStyle w:val="TableNo"/>
        <w:rPr>
          <w:lang w:val="en-US"/>
        </w:rPr>
      </w:pPr>
      <w:r>
        <w:rPr>
          <w:lang w:val="en-US"/>
        </w:rPr>
        <w:t>Table 5</w:t>
      </w:r>
    </w:p>
    <w:p w:rsidR="00A11509" w:rsidRPr="00A40C32" w:rsidRDefault="00A11509" w:rsidP="00A11509">
      <w:pPr>
        <w:pStyle w:val="Tabletitle"/>
        <w:rPr>
          <w:lang w:val="en-US"/>
        </w:rPr>
      </w:pPr>
      <w:r>
        <w:rPr>
          <w:lang w:val="en-US"/>
        </w:rPr>
        <w:t>Required minimum pfd value for various CHINASAT satellite networks</w:t>
      </w:r>
    </w:p>
    <w:p w:rsidR="00A11509" w:rsidRPr="00247E46" w:rsidRDefault="00A11509" w:rsidP="00A11509">
      <w:pPr>
        <w:pStyle w:val="Tablehead"/>
        <w:rPr>
          <w:lang w:val="en-US"/>
        </w:rPr>
      </w:pPr>
    </w:p>
    <w:tbl>
      <w:tblPr>
        <w:tblStyle w:val="TableGrid"/>
        <w:tblW w:w="0" w:type="auto"/>
        <w:jc w:val="center"/>
        <w:tblLook w:val="04A0" w:firstRow="1" w:lastRow="0" w:firstColumn="1" w:lastColumn="0" w:noHBand="0" w:noVBand="1"/>
      </w:tblPr>
      <w:tblGrid>
        <w:gridCol w:w="972"/>
        <w:gridCol w:w="1550"/>
        <w:gridCol w:w="661"/>
        <w:gridCol w:w="673"/>
        <w:gridCol w:w="709"/>
        <w:gridCol w:w="1701"/>
      </w:tblGrid>
      <w:tr w:rsidR="00A11509" w:rsidRPr="00712AE5" w:rsidTr="005A041C">
        <w:trPr>
          <w:jc w:val="center"/>
        </w:trPr>
        <w:tc>
          <w:tcPr>
            <w:tcW w:w="768" w:type="dxa"/>
          </w:tcPr>
          <w:p w:rsidR="00A11509" w:rsidRPr="00405E59" w:rsidRDefault="00A11509" w:rsidP="005A041C">
            <w:pPr>
              <w:pStyle w:val="Tablehead"/>
            </w:pPr>
            <w:r w:rsidRPr="00405E59">
              <w:t>Orbit</w:t>
            </w:r>
            <w:r>
              <w:t>al positions (°E)</w:t>
            </w:r>
          </w:p>
        </w:tc>
        <w:tc>
          <w:tcPr>
            <w:tcW w:w="1550" w:type="dxa"/>
          </w:tcPr>
          <w:p w:rsidR="00A11509" w:rsidRPr="00405E59" w:rsidRDefault="00A11509" w:rsidP="005A041C">
            <w:pPr>
              <w:pStyle w:val="Tablehead"/>
            </w:pPr>
            <w:r>
              <w:t>Beam Names</w:t>
            </w:r>
          </w:p>
        </w:tc>
        <w:tc>
          <w:tcPr>
            <w:tcW w:w="661" w:type="dxa"/>
          </w:tcPr>
          <w:p w:rsidR="00A11509" w:rsidRPr="00405E59" w:rsidRDefault="00A11509" w:rsidP="005A041C">
            <w:pPr>
              <w:pStyle w:val="Tablehead"/>
            </w:pPr>
            <w:r w:rsidRPr="00405E59">
              <w:t>C/N</w:t>
            </w:r>
            <w:r>
              <w:t xml:space="preserve"> (dB)</w:t>
            </w:r>
          </w:p>
        </w:tc>
        <w:tc>
          <w:tcPr>
            <w:tcW w:w="673" w:type="dxa"/>
          </w:tcPr>
          <w:p w:rsidR="00A11509" w:rsidRPr="00405E59" w:rsidRDefault="00A11509" w:rsidP="005A041C">
            <w:pPr>
              <w:pStyle w:val="Tablehead"/>
            </w:pPr>
            <w:r w:rsidRPr="00405E59">
              <w:t>Gr max (dB)</w:t>
            </w:r>
          </w:p>
        </w:tc>
        <w:tc>
          <w:tcPr>
            <w:tcW w:w="709" w:type="dxa"/>
          </w:tcPr>
          <w:p w:rsidR="00A11509" w:rsidRPr="00405E59" w:rsidRDefault="00A11509" w:rsidP="005A041C">
            <w:pPr>
              <w:pStyle w:val="Tablehead"/>
            </w:pPr>
            <w:r w:rsidRPr="00405E59">
              <w:t>T (K)</w:t>
            </w:r>
          </w:p>
        </w:tc>
        <w:tc>
          <w:tcPr>
            <w:tcW w:w="1701" w:type="dxa"/>
          </w:tcPr>
          <w:p w:rsidR="00A11509" w:rsidRPr="0074379D" w:rsidRDefault="00A11509" w:rsidP="005A041C">
            <w:pPr>
              <w:pStyle w:val="Tablehead"/>
            </w:pPr>
            <w:r>
              <w:t>Pfd</w:t>
            </w:r>
            <w:r w:rsidRPr="00AF4D16">
              <w:rPr>
                <w:vertAlign w:val="subscript"/>
              </w:rPr>
              <w:t>min</w:t>
            </w:r>
            <w:r>
              <w:t xml:space="preserve"> (dBW/(m</w:t>
            </w:r>
            <w:r w:rsidRPr="00F8414C">
              <w:rPr>
                <w:vertAlign w:val="superscript"/>
              </w:rPr>
              <w:t>2</w:t>
            </w:r>
            <w:r>
              <w:t>.MHz))</w:t>
            </w:r>
          </w:p>
        </w:tc>
      </w:tr>
      <w:tr w:rsidR="00A11509" w:rsidTr="005A041C">
        <w:trPr>
          <w:jc w:val="center"/>
        </w:trPr>
        <w:tc>
          <w:tcPr>
            <w:tcW w:w="768" w:type="dxa"/>
          </w:tcPr>
          <w:p w:rsidR="00A11509" w:rsidRDefault="00A11509" w:rsidP="005A041C">
            <w:pPr>
              <w:pStyle w:val="Tabletext"/>
            </w:pPr>
            <w:r>
              <w:t>51.5/ 163</w:t>
            </w:r>
          </w:p>
        </w:tc>
        <w:tc>
          <w:tcPr>
            <w:tcW w:w="1550" w:type="dxa"/>
          </w:tcPr>
          <w:p w:rsidR="00A11509" w:rsidRDefault="00A11509" w:rsidP="005A041C">
            <w:pPr>
              <w:pStyle w:val="Tabletext"/>
            </w:pPr>
            <w:r>
              <w:t>LDR</w:t>
            </w:r>
          </w:p>
        </w:tc>
        <w:tc>
          <w:tcPr>
            <w:tcW w:w="661" w:type="dxa"/>
            <w:vMerge w:val="restart"/>
          </w:tcPr>
          <w:p w:rsidR="00A11509" w:rsidRDefault="00A11509" w:rsidP="005A041C">
            <w:pPr>
              <w:pStyle w:val="Tabletext"/>
            </w:pPr>
            <w:r>
              <w:t>13.2</w:t>
            </w:r>
          </w:p>
          <w:p w:rsidR="00A11509" w:rsidRDefault="00A11509" w:rsidP="005A041C">
            <w:pPr>
              <w:pStyle w:val="Tabletext"/>
            </w:pPr>
            <w:r>
              <w:t>13.4</w:t>
            </w:r>
          </w:p>
          <w:p w:rsidR="00A11509" w:rsidRDefault="00A11509" w:rsidP="005A041C">
            <w:pPr>
              <w:pStyle w:val="Tabletext"/>
            </w:pPr>
            <w:r>
              <w:t>13.5</w:t>
            </w:r>
          </w:p>
          <w:p w:rsidR="00A11509" w:rsidRDefault="00A11509" w:rsidP="005A041C">
            <w:pPr>
              <w:pStyle w:val="Tabletext"/>
            </w:pPr>
            <w:r>
              <w:t>13.2</w:t>
            </w:r>
          </w:p>
        </w:tc>
        <w:tc>
          <w:tcPr>
            <w:tcW w:w="673" w:type="dxa"/>
            <w:vMerge w:val="restart"/>
          </w:tcPr>
          <w:p w:rsidR="00A11509" w:rsidRDefault="00A11509" w:rsidP="005A041C">
            <w:pPr>
              <w:pStyle w:val="Tabletext"/>
            </w:pPr>
            <w:r>
              <w:t>5</w:t>
            </w:r>
          </w:p>
          <w:p w:rsidR="00A11509" w:rsidRDefault="00A11509" w:rsidP="005A041C">
            <w:pPr>
              <w:pStyle w:val="Tabletext"/>
            </w:pPr>
            <w:r>
              <w:t>11</w:t>
            </w:r>
          </w:p>
          <w:p w:rsidR="00A11509" w:rsidRDefault="00A11509" w:rsidP="005A041C">
            <w:pPr>
              <w:pStyle w:val="Tabletext"/>
            </w:pPr>
            <w:r>
              <w:t>17</w:t>
            </w:r>
          </w:p>
          <w:p w:rsidR="00A11509" w:rsidRDefault="00A11509" w:rsidP="005A041C">
            <w:pPr>
              <w:pStyle w:val="Tabletext"/>
            </w:pPr>
            <w:r>
              <w:t>2</w:t>
            </w:r>
          </w:p>
        </w:tc>
        <w:tc>
          <w:tcPr>
            <w:tcW w:w="709" w:type="dxa"/>
            <w:vMerge w:val="restart"/>
          </w:tcPr>
          <w:p w:rsidR="00A11509" w:rsidRDefault="00A11509" w:rsidP="005A041C">
            <w:pPr>
              <w:pStyle w:val="Tabletext"/>
            </w:pPr>
            <w:r>
              <w:t>280</w:t>
            </w:r>
          </w:p>
          <w:p w:rsidR="00A11509" w:rsidRDefault="00A11509" w:rsidP="005A041C">
            <w:pPr>
              <w:pStyle w:val="Tabletext"/>
            </w:pPr>
            <w:r>
              <w:t>200</w:t>
            </w:r>
          </w:p>
          <w:p w:rsidR="00A11509" w:rsidRDefault="00A11509" w:rsidP="005A041C">
            <w:pPr>
              <w:pStyle w:val="Tabletext"/>
            </w:pPr>
            <w:r>
              <w:t>150</w:t>
            </w:r>
          </w:p>
          <w:p w:rsidR="00A11509" w:rsidRDefault="00A11509" w:rsidP="005A041C">
            <w:pPr>
              <w:pStyle w:val="Tabletext"/>
            </w:pPr>
            <w:r>
              <w:t>280</w:t>
            </w:r>
          </w:p>
        </w:tc>
        <w:tc>
          <w:tcPr>
            <w:tcW w:w="1701" w:type="dxa"/>
            <w:vMerge w:val="restart"/>
          </w:tcPr>
          <w:p w:rsidR="00A11509" w:rsidRDefault="00A11509" w:rsidP="005A041C">
            <w:pPr>
              <w:pStyle w:val="Tabletext"/>
            </w:pPr>
            <w:r>
              <w:t>-111</w:t>
            </w:r>
          </w:p>
          <w:p w:rsidR="00A11509" w:rsidRDefault="00A11509" w:rsidP="005A041C">
            <w:pPr>
              <w:pStyle w:val="Tabletext"/>
            </w:pPr>
            <w:r>
              <w:t>-118.3</w:t>
            </w:r>
          </w:p>
          <w:p w:rsidR="00A11509" w:rsidRDefault="00A11509" w:rsidP="005A041C">
            <w:pPr>
              <w:pStyle w:val="Tabletext"/>
            </w:pPr>
            <w:r>
              <w:t>-125.4</w:t>
            </w:r>
          </w:p>
          <w:p w:rsidR="00A11509" w:rsidRDefault="00A11509" w:rsidP="005A041C">
            <w:pPr>
              <w:pStyle w:val="Tabletext"/>
            </w:pPr>
            <w:r>
              <w:t>-108</w:t>
            </w:r>
          </w:p>
        </w:tc>
      </w:tr>
      <w:tr w:rsidR="00A11509" w:rsidTr="005A041C">
        <w:trPr>
          <w:jc w:val="center"/>
        </w:trPr>
        <w:tc>
          <w:tcPr>
            <w:tcW w:w="768" w:type="dxa"/>
          </w:tcPr>
          <w:p w:rsidR="00A11509" w:rsidRDefault="00A11509" w:rsidP="005A041C">
            <w:pPr>
              <w:pStyle w:val="Tabletext"/>
            </w:pPr>
            <w:r>
              <w:t>87.5</w:t>
            </w:r>
          </w:p>
        </w:tc>
        <w:tc>
          <w:tcPr>
            <w:tcW w:w="1550" w:type="dxa"/>
          </w:tcPr>
          <w:p w:rsidR="00A11509" w:rsidRDefault="00A11509" w:rsidP="005A041C">
            <w:pPr>
              <w:pStyle w:val="Tabletext"/>
            </w:pPr>
            <w:r>
              <w:t>LD1R, LD2R LD3R, LBDG LBDR</w:t>
            </w:r>
          </w:p>
        </w:tc>
        <w:tc>
          <w:tcPr>
            <w:tcW w:w="661" w:type="dxa"/>
            <w:vMerge/>
          </w:tcPr>
          <w:p w:rsidR="00A11509" w:rsidRDefault="00A11509" w:rsidP="005A041C">
            <w:pPr>
              <w:pStyle w:val="Tabletext"/>
            </w:pPr>
          </w:p>
        </w:tc>
        <w:tc>
          <w:tcPr>
            <w:tcW w:w="673" w:type="dxa"/>
            <w:vMerge/>
          </w:tcPr>
          <w:p w:rsidR="00A11509" w:rsidRDefault="00A11509" w:rsidP="005A041C">
            <w:pPr>
              <w:pStyle w:val="Tabletext"/>
            </w:pPr>
          </w:p>
        </w:tc>
        <w:tc>
          <w:tcPr>
            <w:tcW w:w="709" w:type="dxa"/>
            <w:vMerge/>
          </w:tcPr>
          <w:p w:rsidR="00A11509" w:rsidRDefault="00A11509" w:rsidP="005A041C">
            <w:pPr>
              <w:pStyle w:val="Tabletext"/>
            </w:pPr>
          </w:p>
        </w:tc>
        <w:tc>
          <w:tcPr>
            <w:tcW w:w="1701" w:type="dxa"/>
            <w:vMerge/>
          </w:tcPr>
          <w:p w:rsidR="00A11509" w:rsidRDefault="00A11509" w:rsidP="005A041C">
            <w:pPr>
              <w:pStyle w:val="Tabletext"/>
            </w:pPr>
          </w:p>
        </w:tc>
      </w:tr>
      <w:tr w:rsidR="00A11509" w:rsidTr="005A041C">
        <w:trPr>
          <w:jc w:val="center"/>
        </w:trPr>
        <w:tc>
          <w:tcPr>
            <w:tcW w:w="768" w:type="dxa"/>
          </w:tcPr>
          <w:p w:rsidR="00A11509" w:rsidRDefault="00A11509" w:rsidP="005A041C">
            <w:pPr>
              <w:pStyle w:val="Tabletext"/>
            </w:pPr>
            <w:r>
              <w:t>110.5</w:t>
            </w:r>
          </w:p>
          <w:p w:rsidR="00A11509" w:rsidRDefault="00A11509" w:rsidP="005A041C">
            <w:pPr>
              <w:pStyle w:val="Tabletext"/>
            </w:pPr>
            <w:r>
              <w:t>115.5</w:t>
            </w:r>
          </w:p>
          <w:p w:rsidR="00A11509" w:rsidRDefault="00A11509" w:rsidP="005A041C">
            <w:pPr>
              <w:pStyle w:val="Tabletext"/>
            </w:pPr>
            <w:r>
              <w:t>126</w:t>
            </w:r>
          </w:p>
          <w:p w:rsidR="00A11509" w:rsidRDefault="00A11509" w:rsidP="005A041C">
            <w:pPr>
              <w:pStyle w:val="Tabletext"/>
            </w:pPr>
            <w:r>
              <w:t>136</w:t>
            </w:r>
          </w:p>
        </w:tc>
        <w:tc>
          <w:tcPr>
            <w:tcW w:w="1550" w:type="dxa"/>
          </w:tcPr>
          <w:p w:rsidR="00A11509" w:rsidRDefault="00A11509" w:rsidP="005A041C">
            <w:pPr>
              <w:pStyle w:val="Tabletext"/>
            </w:pPr>
            <w:r>
              <w:t>LBDR</w:t>
            </w:r>
          </w:p>
        </w:tc>
        <w:tc>
          <w:tcPr>
            <w:tcW w:w="661" w:type="dxa"/>
            <w:vMerge/>
          </w:tcPr>
          <w:p w:rsidR="00A11509" w:rsidRDefault="00A11509" w:rsidP="005A041C">
            <w:pPr>
              <w:pStyle w:val="Tabletext"/>
            </w:pPr>
          </w:p>
        </w:tc>
        <w:tc>
          <w:tcPr>
            <w:tcW w:w="673" w:type="dxa"/>
            <w:vMerge/>
          </w:tcPr>
          <w:p w:rsidR="00A11509" w:rsidRDefault="00A11509" w:rsidP="005A041C">
            <w:pPr>
              <w:pStyle w:val="Tabletext"/>
            </w:pPr>
          </w:p>
        </w:tc>
        <w:tc>
          <w:tcPr>
            <w:tcW w:w="709" w:type="dxa"/>
            <w:vMerge/>
          </w:tcPr>
          <w:p w:rsidR="00A11509" w:rsidRDefault="00A11509" w:rsidP="005A041C">
            <w:pPr>
              <w:pStyle w:val="Tabletext"/>
            </w:pPr>
          </w:p>
        </w:tc>
        <w:tc>
          <w:tcPr>
            <w:tcW w:w="1701" w:type="dxa"/>
            <w:vMerge/>
          </w:tcPr>
          <w:p w:rsidR="00A11509" w:rsidRDefault="00A11509" w:rsidP="005A041C">
            <w:pPr>
              <w:pStyle w:val="Tabletext"/>
            </w:pPr>
          </w:p>
        </w:tc>
      </w:tr>
      <w:tr w:rsidR="00A11509" w:rsidTr="005A041C">
        <w:trPr>
          <w:jc w:val="center"/>
        </w:trPr>
        <w:tc>
          <w:tcPr>
            <w:tcW w:w="768" w:type="dxa"/>
          </w:tcPr>
          <w:p w:rsidR="00A11509" w:rsidRDefault="00A11509" w:rsidP="005A041C">
            <w:pPr>
              <w:pStyle w:val="Tabletext"/>
            </w:pPr>
            <w:r>
              <w:t>125 163</w:t>
            </w:r>
          </w:p>
        </w:tc>
        <w:tc>
          <w:tcPr>
            <w:tcW w:w="1550" w:type="dxa"/>
          </w:tcPr>
          <w:p w:rsidR="00A11509" w:rsidRDefault="00A11509" w:rsidP="005A041C">
            <w:pPr>
              <w:pStyle w:val="Tabletext"/>
            </w:pPr>
            <w:r>
              <w:t>LBDG, LBDR</w:t>
            </w:r>
          </w:p>
        </w:tc>
        <w:tc>
          <w:tcPr>
            <w:tcW w:w="661" w:type="dxa"/>
            <w:vMerge/>
          </w:tcPr>
          <w:p w:rsidR="00A11509" w:rsidRDefault="00A11509" w:rsidP="005A041C">
            <w:pPr>
              <w:pStyle w:val="Tabletext"/>
            </w:pPr>
          </w:p>
        </w:tc>
        <w:tc>
          <w:tcPr>
            <w:tcW w:w="673" w:type="dxa"/>
            <w:vMerge/>
          </w:tcPr>
          <w:p w:rsidR="00A11509" w:rsidRDefault="00A11509" w:rsidP="005A041C">
            <w:pPr>
              <w:pStyle w:val="Tabletext"/>
            </w:pPr>
          </w:p>
        </w:tc>
        <w:tc>
          <w:tcPr>
            <w:tcW w:w="709" w:type="dxa"/>
            <w:vMerge/>
          </w:tcPr>
          <w:p w:rsidR="00A11509" w:rsidRDefault="00A11509" w:rsidP="005A041C">
            <w:pPr>
              <w:pStyle w:val="Tabletext"/>
            </w:pPr>
          </w:p>
        </w:tc>
        <w:tc>
          <w:tcPr>
            <w:tcW w:w="1701" w:type="dxa"/>
            <w:vMerge/>
          </w:tcPr>
          <w:p w:rsidR="00A11509" w:rsidRDefault="00A11509" w:rsidP="005A041C">
            <w:pPr>
              <w:pStyle w:val="Tabletext"/>
            </w:pPr>
          </w:p>
        </w:tc>
      </w:tr>
    </w:tbl>
    <w:p w:rsidR="00A11509" w:rsidRDefault="00A11509" w:rsidP="00A11509">
      <w:pPr>
        <w:rPr>
          <w:szCs w:val="24"/>
          <w:lang w:val="en-US"/>
        </w:rPr>
      </w:pPr>
    </w:p>
    <w:p w:rsidR="00A11509" w:rsidRDefault="00A11509" w:rsidP="00A11509">
      <w:pPr>
        <w:rPr>
          <w:szCs w:val="24"/>
          <w:lang w:val="en-US"/>
        </w:rPr>
      </w:pPr>
      <w:r w:rsidRPr="00712AE5">
        <w:rPr>
          <w:szCs w:val="24"/>
          <w:lang w:val="en-US"/>
        </w:rPr>
        <w:t xml:space="preserve">Several cases show </w:t>
      </w:r>
      <w:r>
        <w:rPr>
          <w:szCs w:val="24"/>
          <w:lang w:val="en-US"/>
        </w:rPr>
        <w:t xml:space="preserve">required minimum </w:t>
      </w:r>
      <w:r w:rsidRPr="00712AE5">
        <w:rPr>
          <w:szCs w:val="24"/>
          <w:lang w:val="en-US"/>
        </w:rPr>
        <w:t xml:space="preserve">pfd </w:t>
      </w:r>
      <w:r>
        <w:rPr>
          <w:szCs w:val="24"/>
          <w:lang w:val="en-US"/>
        </w:rPr>
        <w:t xml:space="preserve">levels </w:t>
      </w:r>
      <w:r w:rsidRPr="00712AE5">
        <w:rPr>
          <w:szCs w:val="24"/>
          <w:lang w:val="en-US"/>
        </w:rPr>
        <w:t>higher than the proposed pfd limit</w:t>
      </w:r>
      <w:r>
        <w:rPr>
          <w:szCs w:val="24"/>
          <w:lang w:val="en-US"/>
        </w:rPr>
        <w:t xml:space="preserve"> (i.e. </w:t>
      </w:r>
      <w:r w:rsidRPr="00712AE5">
        <w:rPr>
          <w:szCs w:val="24"/>
          <w:lang w:val="en-US"/>
        </w:rPr>
        <w:t>-111</w:t>
      </w:r>
      <w:r>
        <w:rPr>
          <w:szCs w:val="24"/>
          <w:lang w:val="en-US"/>
        </w:rPr>
        <w:t xml:space="preserve"> and </w:t>
      </w:r>
      <w:r>
        <w:rPr>
          <w:szCs w:val="24"/>
          <w:lang w:val="en-US"/>
        </w:rPr>
        <w:noBreakHyphen/>
      </w:r>
      <w:r w:rsidRPr="00712AE5">
        <w:rPr>
          <w:szCs w:val="24"/>
          <w:lang w:val="en-US"/>
        </w:rPr>
        <w:t>108</w:t>
      </w:r>
      <w:r>
        <w:rPr>
          <w:szCs w:val="24"/>
          <w:lang w:val="en-US"/>
        </w:rPr>
        <w:t xml:space="preserve"> </w:t>
      </w:r>
      <w:r w:rsidRPr="00712AE5">
        <w:rPr>
          <w:szCs w:val="24"/>
          <w:lang w:val="en-US"/>
        </w:rPr>
        <w:t>dBW/</w:t>
      </w:r>
      <w:r>
        <w:rPr>
          <w:szCs w:val="24"/>
          <w:lang w:val="en-US"/>
        </w:rPr>
        <w:t>(</w:t>
      </w:r>
      <w:r w:rsidRPr="00712AE5">
        <w:rPr>
          <w:szCs w:val="24"/>
          <w:lang w:val="en-US"/>
        </w:rPr>
        <w:t>m</w:t>
      </w:r>
      <w:r w:rsidRPr="00712AE5">
        <w:rPr>
          <w:szCs w:val="24"/>
          <w:vertAlign w:val="superscript"/>
          <w:lang w:val="en-US"/>
        </w:rPr>
        <w:t>2</w:t>
      </w:r>
      <w:r>
        <w:rPr>
          <w:szCs w:val="24"/>
          <w:lang w:val="en-US"/>
        </w:rPr>
        <w:t>.</w:t>
      </w:r>
      <w:r w:rsidRPr="00712AE5">
        <w:rPr>
          <w:szCs w:val="24"/>
          <w:lang w:val="en-US"/>
        </w:rPr>
        <w:t>MHz</w:t>
      </w:r>
      <w:r>
        <w:rPr>
          <w:szCs w:val="24"/>
          <w:lang w:val="en-US"/>
        </w:rPr>
        <w:t>))</w:t>
      </w:r>
      <w:r w:rsidRPr="00712AE5">
        <w:rPr>
          <w:szCs w:val="24"/>
          <w:lang w:val="en-US"/>
        </w:rPr>
        <w:t>.</w:t>
      </w:r>
      <w:r>
        <w:rPr>
          <w:szCs w:val="24"/>
          <w:lang w:val="en-US"/>
        </w:rPr>
        <w:t xml:space="preserve"> In order to </w:t>
      </w:r>
      <w:r w:rsidRPr="007F65CD">
        <w:rPr>
          <w:szCs w:val="24"/>
          <w:lang w:val="en-US"/>
        </w:rPr>
        <w:t>assess if the proposed pfd limit (-113</w:t>
      </w:r>
      <w:r>
        <w:rPr>
          <w:szCs w:val="24"/>
          <w:lang w:val="en-US"/>
        </w:rPr>
        <w:t xml:space="preserve"> </w:t>
      </w:r>
      <w:r w:rsidRPr="007F65CD">
        <w:rPr>
          <w:szCs w:val="24"/>
          <w:lang w:val="en-US"/>
        </w:rPr>
        <w:t>dBW/</w:t>
      </w:r>
      <w:r>
        <w:rPr>
          <w:szCs w:val="24"/>
          <w:lang w:val="en-US"/>
        </w:rPr>
        <w:t>(</w:t>
      </w:r>
      <w:r w:rsidRPr="007F65CD">
        <w:rPr>
          <w:szCs w:val="24"/>
          <w:lang w:val="en-US"/>
        </w:rPr>
        <w:t>m</w:t>
      </w:r>
      <w:r w:rsidRPr="00AF4D16">
        <w:rPr>
          <w:szCs w:val="24"/>
          <w:vertAlign w:val="superscript"/>
          <w:lang w:val="en-US"/>
        </w:rPr>
        <w:t>2</w:t>
      </w:r>
      <w:r>
        <w:rPr>
          <w:szCs w:val="24"/>
          <w:lang w:val="en-US"/>
        </w:rPr>
        <w:t>.</w:t>
      </w:r>
      <w:r w:rsidRPr="007F65CD">
        <w:rPr>
          <w:szCs w:val="24"/>
          <w:lang w:val="en-US"/>
        </w:rPr>
        <w:t>MHz</w:t>
      </w:r>
      <w:r>
        <w:rPr>
          <w:szCs w:val="24"/>
          <w:lang w:val="en-US"/>
        </w:rPr>
        <w:t>)</w:t>
      </w:r>
      <w:r w:rsidRPr="007F65CD">
        <w:rPr>
          <w:szCs w:val="24"/>
          <w:lang w:val="en-US"/>
        </w:rPr>
        <w:t xml:space="preserve">) quantitatively affects or not the coverage requirements of the BSS operator within </w:t>
      </w:r>
      <w:r>
        <w:rPr>
          <w:szCs w:val="24"/>
          <w:lang w:val="en-US"/>
        </w:rPr>
        <w:t xml:space="preserve">its (large) </w:t>
      </w:r>
      <w:r w:rsidRPr="007F65CD">
        <w:rPr>
          <w:szCs w:val="24"/>
          <w:lang w:val="en-US"/>
        </w:rPr>
        <w:t>service area</w:t>
      </w:r>
      <w:r>
        <w:rPr>
          <w:szCs w:val="24"/>
          <w:lang w:val="en-US"/>
        </w:rPr>
        <w:t>, modelling the antenna pattern of the BSS transmitting satellite would be</w:t>
      </w:r>
      <w:r w:rsidRPr="007F65CD">
        <w:rPr>
          <w:szCs w:val="24"/>
          <w:lang w:val="en-US"/>
        </w:rPr>
        <w:t xml:space="preserve"> required to </w:t>
      </w:r>
      <w:r>
        <w:rPr>
          <w:szCs w:val="24"/>
          <w:lang w:val="en-US"/>
        </w:rPr>
        <w:t xml:space="preserve">compute </w:t>
      </w:r>
      <w:r>
        <w:rPr>
          <w:szCs w:val="24"/>
          <w:lang w:val="en-US"/>
        </w:rPr>
        <w:lastRenderedPageBreak/>
        <w:t xml:space="preserve">radio link budgets. Since </w:t>
      </w:r>
      <w:r w:rsidRPr="00743B4C">
        <w:rPr>
          <w:szCs w:val="24"/>
          <w:lang w:val="en-US"/>
        </w:rPr>
        <w:t xml:space="preserve">BSS systems </w:t>
      </w:r>
      <w:r>
        <w:rPr>
          <w:szCs w:val="24"/>
          <w:lang w:val="en-US"/>
        </w:rPr>
        <w:t>for this scenario are assumed to use steerable spot beams ,</w:t>
      </w:r>
      <w:r w:rsidRPr="00743B4C">
        <w:rPr>
          <w:szCs w:val="24"/>
          <w:lang w:val="en-US"/>
        </w:rPr>
        <w:t xml:space="preserve"> Rec</w:t>
      </w:r>
      <w:r>
        <w:rPr>
          <w:szCs w:val="24"/>
          <w:lang w:val="en-US"/>
        </w:rPr>
        <w:t xml:space="preserve">ommendation </w:t>
      </w:r>
      <w:r w:rsidRPr="00743B4C">
        <w:rPr>
          <w:szCs w:val="24"/>
          <w:lang w:val="en-US"/>
        </w:rPr>
        <w:t>ITU-R S.672-4</w:t>
      </w:r>
      <w:r>
        <w:rPr>
          <w:szCs w:val="24"/>
          <w:lang w:val="en-US"/>
        </w:rPr>
        <w:t xml:space="preserve"> was used to model the transmitting antenna pattern of these satellites. Based on that information, </w:t>
      </w:r>
      <w:r w:rsidRPr="00712AE5">
        <w:rPr>
          <w:szCs w:val="24"/>
          <w:lang w:val="en-US"/>
        </w:rPr>
        <w:t>the proposed pfd limit (-113</w:t>
      </w:r>
      <w:r>
        <w:rPr>
          <w:szCs w:val="24"/>
          <w:lang w:val="en-US"/>
        </w:rPr>
        <w:t xml:space="preserve"> </w:t>
      </w:r>
      <w:r w:rsidRPr="00712AE5">
        <w:rPr>
          <w:szCs w:val="24"/>
          <w:lang w:val="en-US"/>
        </w:rPr>
        <w:t>dBW/</w:t>
      </w:r>
      <w:r>
        <w:rPr>
          <w:szCs w:val="24"/>
          <w:lang w:val="en-US"/>
        </w:rPr>
        <w:t>(</w:t>
      </w:r>
      <w:r w:rsidRPr="00712AE5">
        <w:rPr>
          <w:szCs w:val="24"/>
          <w:lang w:val="en-US"/>
        </w:rPr>
        <w:t>m</w:t>
      </w:r>
      <w:r w:rsidRPr="0005283F">
        <w:rPr>
          <w:szCs w:val="24"/>
          <w:vertAlign w:val="superscript"/>
          <w:lang w:val="en-US"/>
        </w:rPr>
        <w:t>2</w:t>
      </w:r>
      <w:r>
        <w:rPr>
          <w:szCs w:val="24"/>
          <w:lang w:val="en-US"/>
        </w:rPr>
        <w:t>.</w:t>
      </w:r>
      <w:r w:rsidRPr="00712AE5">
        <w:rPr>
          <w:szCs w:val="24"/>
          <w:lang w:val="en-US"/>
        </w:rPr>
        <w:t>MHz</w:t>
      </w:r>
      <w:r>
        <w:rPr>
          <w:szCs w:val="24"/>
          <w:lang w:val="en-US"/>
        </w:rPr>
        <w:t>)</w:t>
      </w:r>
      <w:r w:rsidRPr="00712AE5">
        <w:rPr>
          <w:szCs w:val="24"/>
          <w:lang w:val="en-US"/>
        </w:rPr>
        <w:t>)</w:t>
      </w:r>
      <w:r>
        <w:rPr>
          <w:szCs w:val="24"/>
          <w:lang w:val="en-US"/>
        </w:rPr>
        <w:t xml:space="preserve"> is then derived and</w:t>
      </w:r>
      <w:r w:rsidRPr="00712AE5">
        <w:rPr>
          <w:szCs w:val="24"/>
          <w:lang w:val="en-US"/>
        </w:rPr>
        <w:t xml:space="preserve"> </w:t>
      </w:r>
      <w:r>
        <w:rPr>
          <w:szCs w:val="24"/>
          <w:lang w:val="en-US"/>
        </w:rPr>
        <w:t>depicted</w:t>
      </w:r>
      <w:r w:rsidRPr="00712AE5">
        <w:rPr>
          <w:szCs w:val="24"/>
          <w:lang w:val="en-US"/>
        </w:rPr>
        <w:t xml:space="preserve"> by the red ellipse</w:t>
      </w:r>
      <w:r>
        <w:rPr>
          <w:szCs w:val="24"/>
          <w:lang w:val="en-US"/>
        </w:rPr>
        <w:t xml:space="preserve"> over the Chinese territory in the following figure. It can be seen that this ellipse </w:t>
      </w:r>
      <w:r w:rsidRPr="00712AE5">
        <w:rPr>
          <w:szCs w:val="24"/>
          <w:lang w:val="en-US"/>
        </w:rPr>
        <w:t xml:space="preserve">is roughly included in the territory of the </w:t>
      </w:r>
      <w:r>
        <w:rPr>
          <w:szCs w:val="24"/>
          <w:lang w:val="en-US"/>
        </w:rPr>
        <w:t xml:space="preserve">Chinese </w:t>
      </w:r>
      <w:r w:rsidRPr="00712AE5">
        <w:rPr>
          <w:szCs w:val="24"/>
          <w:lang w:val="en-US"/>
        </w:rPr>
        <w:t>country (depicted in green)</w:t>
      </w:r>
      <w:r>
        <w:rPr>
          <w:szCs w:val="24"/>
          <w:lang w:val="en-US"/>
        </w:rPr>
        <w:t>.</w:t>
      </w:r>
    </w:p>
    <w:p w:rsidR="00A11509" w:rsidRPr="00A11509" w:rsidRDefault="00A11509" w:rsidP="00A11509">
      <w:pPr>
        <w:pStyle w:val="FigureNo"/>
        <w:rPr>
          <w:lang w:val="en-US"/>
        </w:rPr>
      </w:pPr>
      <w:r w:rsidRPr="00A11509">
        <w:rPr>
          <w:lang w:val="en-US"/>
        </w:rPr>
        <w:t>Figure 6</w:t>
      </w:r>
    </w:p>
    <w:p w:rsidR="00A11509" w:rsidRPr="001A3450" w:rsidRDefault="00A11509" w:rsidP="001A3450">
      <w:pPr>
        <w:pStyle w:val="Figuretitle"/>
        <w:keepNext/>
        <w:keepLines/>
        <w:spacing w:before="0"/>
        <w:jc w:val="center"/>
        <w:rPr>
          <w:rFonts w:ascii="Times New Roman Bold" w:hAnsi="Times New Roman Bold"/>
          <w:b/>
          <w:sz w:val="20"/>
          <w:lang w:val="en-GB"/>
        </w:rPr>
      </w:pPr>
      <w:r w:rsidRPr="001A3450">
        <w:rPr>
          <w:rFonts w:ascii="Times New Roman Bold" w:hAnsi="Times New Roman Bold"/>
          <w:b/>
          <w:sz w:val="20"/>
          <w:lang w:val="en-GB"/>
        </w:rPr>
        <w:t xml:space="preserve">Constant pfd area of a steerable spot beam pointed towards the Chinese territory </w:t>
      </w:r>
      <w:r w:rsidRPr="001A3450">
        <w:rPr>
          <w:rFonts w:ascii="Times New Roman Bold" w:hAnsi="Times New Roman Bold"/>
          <w:b/>
          <w:sz w:val="20"/>
          <w:lang w:val="en-GB"/>
        </w:rPr>
        <w:br/>
        <w:t>as modelled with Recommendation ITU-R S.672-4</w:t>
      </w:r>
    </w:p>
    <w:p w:rsidR="00A11509" w:rsidRDefault="00A11509" w:rsidP="00A11509">
      <w:pPr>
        <w:pStyle w:val="Figure"/>
        <w:rPr>
          <w:lang w:val="en-US"/>
        </w:rPr>
      </w:pPr>
      <w:r>
        <w:rPr>
          <w:noProof/>
          <w:lang w:val="en-US" w:eastAsia="zh-CN"/>
        </w:rPr>
        <w:drawing>
          <wp:inline distT="0" distB="0" distL="0" distR="0" wp14:anchorId="1717794C" wp14:editId="7A9520D6">
            <wp:extent cx="5067088" cy="1961909"/>
            <wp:effectExtent l="0" t="0" r="635" b="635"/>
            <wp:docPr id="17" name="Image 17" descr="cid:image006.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0BD7F.363DA4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84219" cy="1968542"/>
                    </a:xfrm>
                    <a:prstGeom prst="rect">
                      <a:avLst/>
                    </a:prstGeom>
                    <a:noFill/>
                    <a:ln>
                      <a:noFill/>
                    </a:ln>
                  </pic:spPr>
                </pic:pic>
              </a:graphicData>
            </a:graphic>
          </wp:inline>
        </w:drawing>
      </w:r>
    </w:p>
    <w:p w:rsidR="00A11509" w:rsidRDefault="00A11509" w:rsidP="00A11509">
      <w:pPr>
        <w:rPr>
          <w:szCs w:val="24"/>
          <w:lang w:val="en-US"/>
        </w:rPr>
      </w:pPr>
      <w:r w:rsidRPr="00712AE5">
        <w:rPr>
          <w:szCs w:val="24"/>
          <w:lang w:val="en-US"/>
        </w:rPr>
        <w:t xml:space="preserve">One could object that such spot beam does not cover the whole territory (North East &amp; North West of China) and that this red ellipse is </w:t>
      </w:r>
      <w:r>
        <w:rPr>
          <w:szCs w:val="24"/>
          <w:lang w:val="en-US"/>
        </w:rPr>
        <w:t xml:space="preserve">close to </w:t>
      </w:r>
      <w:r w:rsidRPr="00712AE5">
        <w:rPr>
          <w:szCs w:val="24"/>
          <w:lang w:val="en-US"/>
        </w:rPr>
        <w:t>15</w:t>
      </w:r>
      <w:r>
        <w:rPr>
          <w:szCs w:val="24"/>
          <w:lang w:val="en-US"/>
        </w:rPr>
        <w:t xml:space="preserve"> </w:t>
      </w:r>
      <w:r w:rsidRPr="00712AE5">
        <w:rPr>
          <w:szCs w:val="24"/>
          <w:lang w:val="en-US"/>
        </w:rPr>
        <w:t xml:space="preserve">dB antenna gain discrimination isocurve </w:t>
      </w:r>
      <w:r>
        <w:rPr>
          <w:szCs w:val="24"/>
          <w:lang w:val="en-US"/>
        </w:rPr>
        <w:t xml:space="preserve">from the antenna boresight, </w:t>
      </w:r>
      <w:r w:rsidRPr="00712AE5">
        <w:rPr>
          <w:szCs w:val="24"/>
          <w:lang w:val="en-US"/>
        </w:rPr>
        <w:t xml:space="preserve">which is uncommon for antenna discrimination </w:t>
      </w:r>
      <w:r>
        <w:rPr>
          <w:szCs w:val="24"/>
          <w:lang w:val="en-US"/>
        </w:rPr>
        <w:t>at</w:t>
      </w:r>
      <w:r w:rsidRPr="00712AE5">
        <w:rPr>
          <w:szCs w:val="24"/>
          <w:lang w:val="en-US"/>
        </w:rPr>
        <w:t xml:space="preserve"> the coverage edge</w:t>
      </w:r>
      <w:r>
        <w:rPr>
          <w:szCs w:val="24"/>
          <w:lang w:val="en-US"/>
        </w:rPr>
        <w:t xml:space="preserve"> (lower values are expected)</w:t>
      </w:r>
      <w:r w:rsidRPr="00712AE5">
        <w:rPr>
          <w:szCs w:val="24"/>
          <w:lang w:val="en-US"/>
        </w:rPr>
        <w:t xml:space="preserve">. </w:t>
      </w:r>
      <w:r>
        <w:rPr>
          <w:szCs w:val="24"/>
          <w:lang w:val="en-US"/>
        </w:rPr>
        <w:t xml:space="preserve">Moreover, since ITU special sections do not provide any details on the actual coverage of spot beams, </w:t>
      </w:r>
      <w:r w:rsidRPr="00712AE5">
        <w:rPr>
          <w:szCs w:val="24"/>
          <w:lang w:val="en-US"/>
        </w:rPr>
        <w:t xml:space="preserve">the following </w:t>
      </w:r>
      <w:r>
        <w:rPr>
          <w:szCs w:val="24"/>
          <w:lang w:val="en-US"/>
        </w:rPr>
        <w:t xml:space="preserve">figure tries to demonstrate </w:t>
      </w:r>
      <w:r w:rsidRPr="00712AE5">
        <w:rPr>
          <w:szCs w:val="24"/>
          <w:lang w:val="en-US"/>
        </w:rPr>
        <w:t xml:space="preserve">the </w:t>
      </w:r>
      <w:r>
        <w:rPr>
          <w:szCs w:val="24"/>
          <w:lang w:val="en-US"/>
        </w:rPr>
        <w:t xml:space="preserve">feasibility of covering </w:t>
      </w:r>
      <w:r w:rsidRPr="00712AE5">
        <w:rPr>
          <w:szCs w:val="24"/>
          <w:lang w:val="en-US"/>
        </w:rPr>
        <w:t xml:space="preserve">the Chinese territory </w:t>
      </w:r>
      <w:r>
        <w:rPr>
          <w:szCs w:val="24"/>
          <w:lang w:val="en-US"/>
        </w:rPr>
        <w:t xml:space="preserve">by </w:t>
      </w:r>
      <w:r w:rsidRPr="00712AE5">
        <w:rPr>
          <w:szCs w:val="24"/>
          <w:lang w:val="en-US"/>
        </w:rPr>
        <w:t>several spot</w:t>
      </w:r>
      <w:r>
        <w:rPr>
          <w:szCs w:val="24"/>
          <w:lang w:val="en-US"/>
        </w:rPr>
        <w:t xml:space="preserve"> </w:t>
      </w:r>
      <w:r w:rsidRPr="00712AE5">
        <w:rPr>
          <w:szCs w:val="24"/>
          <w:lang w:val="en-US"/>
        </w:rPr>
        <w:t xml:space="preserve">beams (e.g. 2) </w:t>
      </w:r>
      <w:r>
        <w:rPr>
          <w:szCs w:val="24"/>
          <w:lang w:val="en-US"/>
        </w:rPr>
        <w:t xml:space="preserve">for which </w:t>
      </w:r>
      <w:r w:rsidRPr="00712AE5">
        <w:rPr>
          <w:szCs w:val="24"/>
          <w:lang w:val="en-US"/>
        </w:rPr>
        <w:t xml:space="preserve">each red ellipse </w:t>
      </w:r>
      <w:r>
        <w:rPr>
          <w:szCs w:val="24"/>
          <w:lang w:val="en-US"/>
        </w:rPr>
        <w:t xml:space="preserve">depicts </w:t>
      </w:r>
      <w:r w:rsidRPr="00712AE5">
        <w:rPr>
          <w:szCs w:val="24"/>
          <w:lang w:val="en-US"/>
        </w:rPr>
        <w:t xml:space="preserve">the </w:t>
      </w:r>
      <w:r>
        <w:rPr>
          <w:szCs w:val="24"/>
          <w:lang w:val="en-US"/>
        </w:rPr>
        <w:t xml:space="preserve">area outside of which the </w:t>
      </w:r>
      <w:r w:rsidRPr="00712AE5">
        <w:rPr>
          <w:szCs w:val="24"/>
          <w:lang w:val="en-US"/>
        </w:rPr>
        <w:t>proposed pfd limit (-113</w:t>
      </w:r>
      <w:r>
        <w:rPr>
          <w:szCs w:val="24"/>
          <w:lang w:val="en-US"/>
        </w:rPr>
        <w:t xml:space="preserve"> </w:t>
      </w:r>
      <w:r w:rsidRPr="00712AE5">
        <w:rPr>
          <w:szCs w:val="24"/>
          <w:lang w:val="en-US"/>
        </w:rPr>
        <w:t>dBW/</w:t>
      </w:r>
      <w:r>
        <w:rPr>
          <w:szCs w:val="24"/>
          <w:lang w:val="en-US"/>
        </w:rPr>
        <w:t>(</w:t>
      </w:r>
      <w:r w:rsidRPr="00712AE5">
        <w:rPr>
          <w:szCs w:val="24"/>
          <w:lang w:val="en-US"/>
        </w:rPr>
        <w:t>m</w:t>
      </w:r>
      <w:r w:rsidRPr="00712AE5">
        <w:rPr>
          <w:szCs w:val="24"/>
          <w:vertAlign w:val="superscript"/>
          <w:lang w:val="en-US"/>
        </w:rPr>
        <w:t>2</w:t>
      </w:r>
      <w:r>
        <w:rPr>
          <w:szCs w:val="24"/>
          <w:lang w:val="en-US"/>
        </w:rPr>
        <w:t>.</w:t>
      </w:r>
      <w:r w:rsidRPr="00712AE5">
        <w:rPr>
          <w:szCs w:val="24"/>
          <w:lang w:val="en-US"/>
        </w:rPr>
        <w:t>MHz</w:t>
      </w:r>
      <w:r>
        <w:rPr>
          <w:szCs w:val="24"/>
          <w:lang w:val="en-US"/>
        </w:rPr>
        <w:t>)</w:t>
      </w:r>
      <w:r w:rsidRPr="00712AE5">
        <w:rPr>
          <w:szCs w:val="24"/>
          <w:lang w:val="en-US"/>
        </w:rPr>
        <w:t>)</w:t>
      </w:r>
      <w:r>
        <w:rPr>
          <w:szCs w:val="24"/>
          <w:lang w:val="en-US"/>
        </w:rPr>
        <w:t xml:space="preserve"> is met</w:t>
      </w:r>
      <w:r w:rsidRPr="00712AE5">
        <w:rPr>
          <w:szCs w:val="24"/>
          <w:lang w:val="en-US"/>
        </w:rPr>
        <w:t>.</w:t>
      </w:r>
      <w:r w:rsidRPr="00953E23">
        <w:rPr>
          <w:szCs w:val="24"/>
          <w:lang w:val="en-US"/>
        </w:rPr>
        <w:t xml:space="preserve"> </w:t>
      </w:r>
    </w:p>
    <w:p w:rsidR="00A11509" w:rsidRPr="00A11509" w:rsidRDefault="00A11509" w:rsidP="00A11509">
      <w:pPr>
        <w:pStyle w:val="FigureNo"/>
        <w:rPr>
          <w:lang w:val="en-US"/>
        </w:rPr>
      </w:pPr>
      <w:r w:rsidRPr="00A11509">
        <w:rPr>
          <w:lang w:val="en-US"/>
        </w:rPr>
        <w:t>Figure 7</w:t>
      </w:r>
    </w:p>
    <w:p w:rsidR="00A11509" w:rsidRPr="001A3450" w:rsidRDefault="00A11509" w:rsidP="001A3450">
      <w:pPr>
        <w:pStyle w:val="Figuretitle"/>
        <w:keepNext/>
        <w:keepLines/>
        <w:spacing w:before="0"/>
        <w:jc w:val="center"/>
        <w:rPr>
          <w:rFonts w:ascii="Times New Roman Bold" w:hAnsi="Times New Roman Bold"/>
          <w:b/>
          <w:sz w:val="20"/>
          <w:lang w:val="en-GB"/>
        </w:rPr>
      </w:pPr>
      <w:r w:rsidRPr="001A3450">
        <w:rPr>
          <w:rFonts w:ascii="Times New Roman Bold" w:hAnsi="Times New Roman Bold"/>
          <w:b/>
          <w:sz w:val="20"/>
          <w:lang w:val="en-GB"/>
        </w:rPr>
        <w:t xml:space="preserve">Possible coverage of the Chinese territory with two spot beams </w:t>
      </w:r>
      <w:r w:rsidRPr="001A3450">
        <w:rPr>
          <w:rFonts w:ascii="Times New Roman Bold" w:hAnsi="Times New Roman Bold"/>
          <w:b/>
          <w:sz w:val="20"/>
          <w:lang w:val="en-GB"/>
        </w:rPr>
        <w:br/>
        <w:t>modelled with Recommendation ITU-R S.672-4</w:t>
      </w:r>
    </w:p>
    <w:p w:rsidR="00A11509" w:rsidRDefault="00A11509" w:rsidP="00A11509">
      <w:pPr>
        <w:pStyle w:val="Figure"/>
        <w:rPr>
          <w:lang w:val="en-US"/>
        </w:rPr>
      </w:pPr>
      <w:r>
        <w:rPr>
          <w:noProof/>
          <w:lang w:val="en-US" w:eastAsia="zh-CN"/>
        </w:rPr>
        <w:drawing>
          <wp:inline distT="0" distB="0" distL="0" distR="0" wp14:anchorId="4619B5D7" wp14:editId="6361DBEF">
            <wp:extent cx="2943225" cy="1800225"/>
            <wp:effectExtent l="0" t="0" r="9525" b="9525"/>
            <wp:docPr id="18" name="Image 18" descr="cid:image001.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0BD7F.363DA4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943225" cy="1800225"/>
                    </a:xfrm>
                    <a:prstGeom prst="rect">
                      <a:avLst/>
                    </a:prstGeom>
                    <a:noFill/>
                    <a:ln>
                      <a:noFill/>
                    </a:ln>
                  </pic:spPr>
                </pic:pic>
              </a:graphicData>
            </a:graphic>
          </wp:inline>
        </w:drawing>
      </w:r>
    </w:p>
    <w:p w:rsidR="00A11509" w:rsidRDefault="00A11509" w:rsidP="00A11509">
      <w:pPr>
        <w:tabs>
          <w:tab w:val="clear" w:pos="1134"/>
          <w:tab w:val="clear" w:pos="1871"/>
          <w:tab w:val="clear" w:pos="2268"/>
        </w:tabs>
        <w:overflowPunct/>
        <w:autoSpaceDE/>
        <w:autoSpaceDN/>
        <w:adjustRightInd/>
        <w:spacing w:before="0"/>
        <w:textAlignment w:val="auto"/>
        <w:rPr>
          <w:szCs w:val="24"/>
          <w:lang w:val="en-US"/>
        </w:rPr>
      </w:pPr>
      <w:r>
        <w:rPr>
          <w:szCs w:val="24"/>
          <w:lang w:val="en-US"/>
        </w:rPr>
        <w:br w:type="page"/>
      </w:r>
    </w:p>
    <w:p w:rsidR="00A11509" w:rsidRDefault="00A11509" w:rsidP="00A11509">
      <w:pPr>
        <w:rPr>
          <w:szCs w:val="24"/>
          <w:lang w:val="en-US"/>
        </w:rPr>
      </w:pPr>
      <w:r w:rsidRPr="00712AE5">
        <w:rPr>
          <w:szCs w:val="24"/>
          <w:lang w:val="en-US"/>
        </w:rPr>
        <w:lastRenderedPageBreak/>
        <w:t xml:space="preserve">Since these spot beams overlap each other, a proper way to avoid/reduce BSS interference issues in the intersection zone would be to transmit on a different channel  within each spot beam. </w:t>
      </w:r>
      <w:r>
        <w:rPr>
          <w:szCs w:val="24"/>
          <w:lang w:val="en-US"/>
        </w:rPr>
        <w:t>As a matter of comparison, the elliptical curve for the highest pfd</w:t>
      </w:r>
      <w:r w:rsidRPr="00712AE5">
        <w:rPr>
          <w:szCs w:val="24"/>
          <w:vertAlign w:val="subscript"/>
          <w:lang w:val="en-US"/>
        </w:rPr>
        <w:t>min</w:t>
      </w:r>
      <w:r>
        <w:rPr>
          <w:szCs w:val="24"/>
          <w:lang w:val="en-US"/>
        </w:rPr>
        <w:t xml:space="preserve"> value (provided in Table 5 above, i.e. -108 dBW/(m</w:t>
      </w:r>
      <w:r w:rsidRPr="00AF4D16">
        <w:rPr>
          <w:szCs w:val="24"/>
          <w:vertAlign w:val="superscript"/>
          <w:lang w:val="en-US"/>
        </w:rPr>
        <w:t>2</w:t>
      </w:r>
      <w:r>
        <w:rPr>
          <w:szCs w:val="24"/>
          <w:lang w:val="en-US"/>
        </w:rPr>
        <w:t>.MHz)) is shown in blue below. The blue spot beam cannot cover entirely the most western part of the Chinese territory.</w:t>
      </w:r>
    </w:p>
    <w:p w:rsidR="00A11509" w:rsidRPr="00712AE5" w:rsidRDefault="00A11509" w:rsidP="00A11509">
      <w:pPr>
        <w:jc w:val="center"/>
        <w:rPr>
          <w:szCs w:val="24"/>
          <w:lang w:val="en-US"/>
        </w:rPr>
      </w:pPr>
      <w:r>
        <w:rPr>
          <w:rFonts w:ascii="Garamond" w:hAnsi="Garamond"/>
          <w:noProof/>
          <w:color w:val="1F497D"/>
          <w:lang w:val="en-US" w:eastAsia="zh-CN"/>
        </w:rPr>
        <w:drawing>
          <wp:inline distT="0" distB="0" distL="0" distR="0" wp14:anchorId="3C3F5011" wp14:editId="63EF79C2">
            <wp:extent cx="3048000" cy="1819275"/>
            <wp:effectExtent l="0" t="0" r="0" b="9525"/>
            <wp:docPr id="19" name="Image 19" descr="cid:image002.pn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BD7F.363DA4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rsidR="00A11509" w:rsidRPr="00712AE5" w:rsidRDefault="00A11509" w:rsidP="00A11509">
      <w:pPr>
        <w:rPr>
          <w:szCs w:val="24"/>
          <w:lang w:val="en-US"/>
        </w:rPr>
      </w:pPr>
      <w:r w:rsidRPr="00712AE5">
        <w:rPr>
          <w:szCs w:val="24"/>
          <w:lang w:val="en-US"/>
        </w:rPr>
        <w:t xml:space="preserve">This approach leads to conclude that similarly to what was previously studied for </w:t>
      </w:r>
      <w:r>
        <w:rPr>
          <w:szCs w:val="24"/>
          <w:lang w:val="en-US"/>
        </w:rPr>
        <w:t xml:space="preserve">other </w:t>
      </w:r>
      <w:r w:rsidRPr="00712AE5">
        <w:rPr>
          <w:szCs w:val="24"/>
          <w:lang w:val="en-US"/>
        </w:rPr>
        <w:t>BSS systems (</w:t>
      </w:r>
      <w:r>
        <w:rPr>
          <w:szCs w:val="24"/>
          <w:lang w:val="en-US"/>
        </w:rPr>
        <w:t xml:space="preserve">i.e. for </w:t>
      </w:r>
      <w:r w:rsidRPr="00712AE5">
        <w:rPr>
          <w:szCs w:val="24"/>
          <w:lang w:val="en-US"/>
        </w:rPr>
        <w:t xml:space="preserve">satellites </w:t>
      </w:r>
      <w:r>
        <w:rPr>
          <w:szCs w:val="24"/>
          <w:lang w:val="en-US"/>
        </w:rPr>
        <w:t xml:space="preserve">using </w:t>
      </w:r>
      <w:r w:rsidRPr="00712AE5">
        <w:rPr>
          <w:szCs w:val="24"/>
          <w:lang w:val="en-US"/>
        </w:rPr>
        <w:t xml:space="preserve">fixed </w:t>
      </w:r>
      <w:r>
        <w:rPr>
          <w:szCs w:val="24"/>
          <w:lang w:val="en-US"/>
        </w:rPr>
        <w:t>beams</w:t>
      </w:r>
      <w:r w:rsidRPr="00712AE5">
        <w:rPr>
          <w:szCs w:val="24"/>
          <w:lang w:val="en-US"/>
        </w:rPr>
        <w:t xml:space="preserve">), the proposed pfd limit </w:t>
      </w:r>
      <w:r>
        <w:rPr>
          <w:szCs w:val="24"/>
          <w:lang w:val="en-US"/>
        </w:rPr>
        <w:t xml:space="preserve">of </w:t>
      </w:r>
      <w:r w:rsidRPr="00712AE5">
        <w:rPr>
          <w:szCs w:val="24"/>
          <w:lang w:val="en-US"/>
        </w:rPr>
        <w:t>-113</w:t>
      </w:r>
      <w:r>
        <w:rPr>
          <w:szCs w:val="24"/>
          <w:lang w:val="en-US"/>
        </w:rPr>
        <w:t xml:space="preserve"> </w:t>
      </w:r>
      <w:r w:rsidRPr="00712AE5">
        <w:rPr>
          <w:szCs w:val="24"/>
          <w:lang w:val="en-US"/>
        </w:rPr>
        <w:t>dBW/</w:t>
      </w:r>
      <w:r>
        <w:rPr>
          <w:szCs w:val="24"/>
          <w:lang w:val="en-US"/>
        </w:rPr>
        <w:t>(</w:t>
      </w:r>
      <w:r w:rsidRPr="00712AE5">
        <w:rPr>
          <w:szCs w:val="24"/>
          <w:lang w:val="en-US"/>
        </w:rPr>
        <w:t>m</w:t>
      </w:r>
      <w:r w:rsidRPr="00712AE5">
        <w:rPr>
          <w:szCs w:val="24"/>
          <w:vertAlign w:val="superscript"/>
          <w:lang w:val="en-US"/>
        </w:rPr>
        <w:t>2</w:t>
      </w:r>
      <w:r>
        <w:rPr>
          <w:szCs w:val="24"/>
          <w:lang w:val="en-US"/>
        </w:rPr>
        <w:t>.</w:t>
      </w:r>
      <w:r w:rsidRPr="00712AE5">
        <w:rPr>
          <w:szCs w:val="24"/>
          <w:lang w:val="en-US"/>
        </w:rPr>
        <w:t xml:space="preserve">MHz) does not cause additional constraint on the </w:t>
      </w:r>
      <w:r>
        <w:rPr>
          <w:szCs w:val="24"/>
          <w:lang w:val="en-US"/>
        </w:rPr>
        <w:t xml:space="preserve">BSS </w:t>
      </w:r>
      <w:r w:rsidRPr="00712AE5">
        <w:rPr>
          <w:szCs w:val="24"/>
          <w:lang w:val="en-US"/>
        </w:rPr>
        <w:t>operation</w:t>
      </w:r>
      <w:r>
        <w:rPr>
          <w:szCs w:val="24"/>
          <w:lang w:val="en-US"/>
        </w:rPr>
        <w:t>s</w:t>
      </w:r>
      <w:r w:rsidRPr="00712AE5">
        <w:rPr>
          <w:szCs w:val="24"/>
          <w:lang w:val="en-US"/>
        </w:rPr>
        <w:t xml:space="preserve"> for satellites equipped with </w:t>
      </w:r>
      <w:r>
        <w:rPr>
          <w:szCs w:val="24"/>
          <w:lang w:val="en-US"/>
        </w:rPr>
        <w:t>steerable spot beams</w:t>
      </w:r>
      <w:r w:rsidRPr="00712AE5">
        <w:rPr>
          <w:szCs w:val="24"/>
          <w:lang w:val="en-US"/>
        </w:rPr>
        <w:t>.</w:t>
      </w:r>
    </w:p>
    <w:p w:rsidR="00A11509" w:rsidRPr="00D32CED" w:rsidRDefault="00A11509" w:rsidP="00A11509">
      <w:pPr>
        <w:pStyle w:val="Heading1"/>
        <w:rPr>
          <w:lang w:val="en-US"/>
        </w:rPr>
      </w:pPr>
      <w:r>
        <w:rPr>
          <w:lang w:val="en-US"/>
        </w:rPr>
        <w:t>3</w:t>
      </w:r>
      <w:r>
        <w:rPr>
          <w:lang w:val="en-US"/>
        </w:rPr>
        <w:tab/>
      </w:r>
      <w:r w:rsidRPr="00D32CED">
        <w:rPr>
          <w:lang w:val="en-US"/>
        </w:rPr>
        <w:t xml:space="preserve">Conclusions </w:t>
      </w:r>
    </w:p>
    <w:p w:rsidR="00A11509" w:rsidRDefault="00A11509" w:rsidP="00A11509">
      <w:pPr>
        <w:rPr>
          <w:szCs w:val="24"/>
          <w:lang w:val="en-US"/>
        </w:rPr>
      </w:pPr>
      <w:r>
        <w:rPr>
          <w:szCs w:val="24"/>
          <w:lang w:val="en-US"/>
        </w:rPr>
        <w:t xml:space="preserve">This study shows that, based on existing coordination and notification information regarding BSS satellite networks in the frequency band 1 452-1 492 MHz, a proposed pfd limit of </w:t>
      </w:r>
      <w:r>
        <w:rPr>
          <w:szCs w:val="24"/>
          <w:lang w:val="en-US"/>
        </w:rPr>
        <w:noBreakHyphen/>
        <w:t>113 dBW/(m</w:t>
      </w:r>
      <w:r w:rsidRPr="00AF4D16">
        <w:rPr>
          <w:szCs w:val="24"/>
          <w:vertAlign w:val="superscript"/>
          <w:lang w:val="en-US"/>
        </w:rPr>
        <w:t>2</w:t>
      </w:r>
      <w:r>
        <w:rPr>
          <w:szCs w:val="24"/>
          <w:lang w:val="en-US"/>
        </w:rPr>
        <w:t xml:space="preserve">.MHz) will entail very limited </w:t>
      </w:r>
      <w:r w:rsidRPr="003A0A00">
        <w:rPr>
          <w:szCs w:val="24"/>
          <w:lang w:val="en-US"/>
        </w:rPr>
        <w:t>design constrain</w:t>
      </w:r>
      <w:r>
        <w:rPr>
          <w:szCs w:val="24"/>
          <w:lang w:val="en-US"/>
        </w:rPr>
        <w:t>ts for BSS systems</w:t>
      </w:r>
      <w:r w:rsidRPr="003A0A00">
        <w:rPr>
          <w:szCs w:val="24"/>
          <w:lang w:val="en-US"/>
        </w:rPr>
        <w:t xml:space="preserve">. </w:t>
      </w:r>
      <w:r>
        <w:rPr>
          <w:szCs w:val="24"/>
          <w:lang w:val="en-US"/>
        </w:rPr>
        <w:t>This pfd limit enables an appropriate protection of IMT terminal stations within the frequency band 1 452</w:t>
      </w:r>
      <w:r>
        <w:rPr>
          <w:szCs w:val="24"/>
          <w:lang w:val="en-US"/>
        </w:rPr>
        <w:noBreakHyphen/>
        <w:t>1 492 MHz, while enabling coverage of countries willing to be part of a BSS systems and therefore accepting that this pfd limit will be exceeded over their territories.</w:t>
      </w:r>
      <w:r w:rsidRPr="003A0A00">
        <w:rPr>
          <w:szCs w:val="24"/>
          <w:lang w:val="en-US"/>
        </w:rPr>
        <w:t xml:space="preserve"> </w:t>
      </w:r>
    </w:p>
    <w:p w:rsidR="00A11509" w:rsidRPr="00A11509" w:rsidRDefault="00A11509" w:rsidP="00A11509">
      <w:pPr>
        <w:pStyle w:val="Reasons"/>
        <w:rPr>
          <w:lang w:val="en-US"/>
        </w:rPr>
      </w:pPr>
    </w:p>
    <w:p w:rsidR="00A11509" w:rsidRDefault="00A11509" w:rsidP="00A11509">
      <w:pPr>
        <w:jc w:val="center"/>
      </w:pPr>
      <w:r>
        <w:t>______________</w:t>
      </w:r>
    </w:p>
    <w:sectPr w:rsidR="00A11509">
      <w:headerReference w:type="default" r:id="rId24"/>
      <w:footerReference w:type="even" r:id="rId25"/>
      <w:footerReference w:type="default" r:id="rId26"/>
      <w:footerReference w:type="first" r:id="rId2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41C" w:rsidRDefault="005A041C">
      <w:r>
        <w:separator/>
      </w:r>
    </w:p>
  </w:endnote>
  <w:endnote w:type="continuationSeparator" w:id="0">
    <w:p w:rsidR="005A041C" w:rsidRDefault="005A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1C" w:rsidRDefault="005A0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041C" w:rsidRPr="000903D2" w:rsidRDefault="005A041C">
    <w:pPr>
      <w:ind w:right="360"/>
    </w:pPr>
    <w:r>
      <w:fldChar w:fldCharType="begin"/>
    </w:r>
    <w:r w:rsidRPr="000903D2">
      <w:instrText xml:space="preserve"> FILENAME \p  \* MERGEFORMAT </w:instrText>
    </w:r>
    <w:r>
      <w:fldChar w:fldCharType="separate"/>
    </w:r>
    <w:r w:rsidR="000903D2">
      <w:rPr>
        <w:noProof/>
      </w:rPr>
      <w:t>P:\ESP\ITU-R\CONF-R\CMR15\000\072S.docx</w:t>
    </w:r>
    <w:r>
      <w:fldChar w:fldCharType="end"/>
    </w:r>
    <w:r w:rsidRPr="000903D2">
      <w:tab/>
    </w:r>
    <w:r>
      <w:fldChar w:fldCharType="begin"/>
    </w:r>
    <w:r>
      <w:instrText xml:space="preserve"> SAVEDATE \@ DD.MM.YY </w:instrText>
    </w:r>
    <w:r>
      <w:fldChar w:fldCharType="separate"/>
    </w:r>
    <w:r w:rsidR="000903D2">
      <w:rPr>
        <w:noProof/>
      </w:rPr>
      <w:t>28.10.15</w:t>
    </w:r>
    <w:r>
      <w:fldChar w:fldCharType="end"/>
    </w:r>
    <w:r w:rsidRPr="000903D2">
      <w:tab/>
    </w:r>
    <w:r>
      <w:fldChar w:fldCharType="begin"/>
    </w:r>
    <w:r>
      <w:instrText xml:space="preserve"> PRINTDATE \@ DD.MM.YY </w:instrText>
    </w:r>
    <w:r>
      <w:fldChar w:fldCharType="separate"/>
    </w:r>
    <w:r w:rsidR="000903D2">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1C" w:rsidRDefault="005A041C" w:rsidP="007A6557">
    <w:pPr>
      <w:pStyle w:val="Footer"/>
    </w:pPr>
    <w:fldSimple w:instr=" FILENAME \p  \* MERGEFORMAT ">
      <w:r w:rsidR="000903D2">
        <w:t>P:\ESP\ITU-R\CONF-R\CMR15\000\072S.docx</w:t>
      </w:r>
    </w:fldSimple>
    <w:r>
      <w:t xml:space="preserve"> (388472)</w:t>
    </w:r>
    <w:r>
      <w:tab/>
    </w:r>
    <w:r>
      <w:fldChar w:fldCharType="begin"/>
    </w:r>
    <w:r>
      <w:instrText xml:space="preserve"> SAVEDATE \@ DD.MM.YY </w:instrText>
    </w:r>
    <w:r>
      <w:fldChar w:fldCharType="separate"/>
    </w:r>
    <w:r w:rsidR="000903D2">
      <w:t>28.10.15</w:t>
    </w:r>
    <w:r>
      <w:fldChar w:fldCharType="end"/>
    </w:r>
    <w:r>
      <w:tab/>
    </w:r>
    <w:r>
      <w:fldChar w:fldCharType="begin"/>
    </w:r>
    <w:r>
      <w:instrText xml:space="preserve"> PRINTDATE \@ DD.MM.YY </w:instrText>
    </w:r>
    <w:r>
      <w:fldChar w:fldCharType="separate"/>
    </w:r>
    <w:r w:rsidR="000903D2">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1C" w:rsidRDefault="005A041C">
    <w:pPr>
      <w:pStyle w:val="Footer"/>
    </w:pPr>
    <w:fldSimple w:instr=" FILENAME \p  \* MERGEFORMAT ">
      <w:r w:rsidR="000903D2">
        <w:t>P:\ESP\ITU-R\CONF-R\CMR15\000\072S.docx</w:t>
      </w:r>
    </w:fldSimple>
    <w:r>
      <w:t xml:space="preserve"> (388472)</w:t>
    </w:r>
    <w:r>
      <w:tab/>
    </w:r>
    <w:r>
      <w:fldChar w:fldCharType="begin"/>
    </w:r>
    <w:r>
      <w:instrText xml:space="preserve"> SAVEDATE \@ DD.MM.YY </w:instrText>
    </w:r>
    <w:r>
      <w:fldChar w:fldCharType="separate"/>
    </w:r>
    <w:r w:rsidR="000903D2">
      <w:t>28.10.15</w:t>
    </w:r>
    <w:r>
      <w:fldChar w:fldCharType="end"/>
    </w:r>
    <w:r>
      <w:tab/>
    </w:r>
    <w:r>
      <w:fldChar w:fldCharType="begin"/>
    </w:r>
    <w:r>
      <w:instrText xml:space="preserve"> PRINTDATE \@ DD.MM.YY </w:instrText>
    </w:r>
    <w:r>
      <w:fldChar w:fldCharType="separate"/>
    </w:r>
    <w:r w:rsidR="000903D2">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41C" w:rsidRDefault="005A041C">
      <w:r>
        <w:rPr>
          <w:b/>
        </w:rPr>
        <w:t>_______________</w:t>
      </w:r>
    </w:p>
  </w:footnote>
  <w:footnote w:type="continuationSeparator" w:id="0">
    <w:p w:rsidR="005A041C" w:rsidRDefault="005A041C">
      <w:r>
        <w:continuationSeparator/>
      </w:r>
    </w:p>
  </w:footnote>
  <w:footnote w:id="1">
    <w:p w:rsidR="005A041C" w:rsidRPr="00A11509" w:rsidRDefault="005A041C" w:rsidP="00A11509">
      <w:pPr>
        <w:pStyle w:val="FootnoteText"/>
        <w:rPr>
          <w:lang w:val="en-US"/>
        </w:rPr>
      </w:pPr>
      <w:r>
        <w:rPr>
          <w:rStyle w:val="FootnoteReference"/>
        </w:rPr>
        <w:footnoteRef/>
      </w:r>
      <w:r w:rsidRPr="00A11509">
        <w:rPr>
          <w:lang w:val="en-US"/>
        </w:rPr>
        <w:t xml:space="preserve"> N: Notification, C: Coordination Request</w:t>
      </w:r>
    </w:p>
  </w:footnote>
  <w:footnote w:id="2">
    <w:p w:rsidR="005A041C" w:rsidRPr="00C92058" w:rsidRDefault="005A041C" w:rsidP="00A11509">
      <w:pPr>
        <w:pStyle w:val="FootnoteText"/>
        <w:rPr>
          <w:lang w:val="en-US"/>
        </w:rPr>
      </w:pPr>
      <w:r>
        <w:rPr>
          <w:rStyle w:val="FootnoteReference"/>
        </w:rPr>
        <w:footnoteRef/>
      </w:r>
      <w:r w:rsidRPr="00A11509">
        <w:rPr>
          <w:lang w:val="en-US"/>
        </w:rPr>
        <w:t xml:space="preserve"> </w:t>
      </w:r>
      <w:hyperlink r:id="rId1" w:history="1">
        <w:r w:rsidRPr="00A11509">
          <w:rPr>
            <w:rStyle w:val="Hyperlink"/>
            <w:lang w:val="en-US"/>
          </w:rPr>
          <w:t>https://www.itu.int/online/sns</w:t>
        </w:r>
      </w:hyperlink>
      <w:r w:rsidRPr="00A11509">
        <w:rPr>
          <w:lang w:val="en-US"/>
        </w:rPr>
        <w:t xml:space="preserve"> select Query Builder option in the left menu</w:t>
      </w:r>
    </w:p>
  </w:footnote>
  <w:footnote w:id="3">
    <w:p w:rsidR="005A041C" w:rsidRPr="00B315AF" w:rsidRDefault="005A041C" w:rsidP="00A11509">
      <w:pPr>
        <w:pStyle w:val="FootnoteText"/>
        <w:rPr>
          <w:lang w:val="en-US"/>
        </w:rPr>
      </w:pPr>
      <w:r>
        <w:rPr>
          <w:rStyle w:val="FootnoteReference"/>
        </w:rPr>
        <w:footnoteRef/>
      </w:r>
      <w:r w:rsidRPr="00A11509">
        <w:rPr>
          <w:lang w:val="en-US"/>
        </w:rPr>
        <w:t xml:space="preserve"> </w:t>
      </w:r>
      <w:r w:rsidRPr="00B315AF">
        <w:rPr>
          <w:lang w:val="en-US"/>
        </w:rPr>
        <w:t xml:space="preserve">Graphical Interference Management System : </w:t>
      </w:r>
      <w:hyperlink r:id="rId2" w:history="1">
        <w:r w:rsidRPr="00EE7B21">
          <w:rPr>
            <w:rStyle w:val="Hyperlink"/>
            <w:lang w:val="en-US"/>
          </w:rPr>
          <w:t>http://www.itu.int/en/ITU-R/software/Pages/gims.aspx</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1C" w:rsidRDefault="005A041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78C1">
      <w:rPr>
        <w:rStyle w:val="PageNumber"/>
        <w:noProof/>
      </w:rPr>
      <w:t>3</w:t>
    </w:r>
    <w:r>
      <w:rPr>
        <w:rStyle w:val="PageNumber"/>
      </w:rPr>
      <w:fldChar w:fldCharType="end"/>
    </w:r>
  </w:p>
  <w:p w:rsidR="005A041C" w:rsidRDefault="005A041C" w:rsidP="00E54754">
    <w:pPr>
      <w:pStyle w:val="Header"/>
      <w:rPr>
        <w:lang w:val="en-US"/>
      </w:rPr>
    </w:pPr>
    <w:r>
      <w:rPr>
        <w:lang w:val="en-US"/>
      </w:rPr>
      <w:t>CMR15/</w:t>
    </w:r>
    <w:r>
      <w:t>72-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892520"/>
    <w:multiLevelType w:val="hybridMultilevel"/>
    <w:tmpl w:val="D048D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C9268B2"/>
    <w:multiLevelType w:val="hybridMultilevel"/>
    <w:tmpl w:val="9C14556E"/>
    <w:lvl w:ilvl="0" w:tplc="C436FEB8">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1F2A342E"/>
    <w:multiLevelType w:val="hybridMultilevel"/>
    <w:tmpl w:val="9D822A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0F19CD"/>
    <w:multiLevelType w:val="hybridMultilevel"/>
    <w:tmpl w:val="8BA495E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26026444"/>
    <w:multiLevelType w:val="hybridMultilevel"/>
    <w:tmpl w:val="075238D6"/>
    <w:lvl w:ilvl="0" w:tplc="67B88BCE">
      <w:start w:val="3"/>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2D316EFF"/>
    <w:multiLevelType w:val="hybridMultilevel"/>
    <w:tmpl w:val="0F0ECAEA"/>
    <w:lvl w:ilvl="0" w:tplc="72FA3C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FD4039"/>
    <w:multiLevelType w:val="hybridMultilevel"/>
    <w:tmpl w:val="279E2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F77F1A"/>
    <w:multiLevelType w:val="hybridMultilevel"/>
    <w:tmpl w:val="2FD20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646B5A"/>
    <w:multiLevelType w:val="hybridMultilevel"/>
    <w:tmpl w:val="381260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F01B30"/>
    <w:multiLevelType w:val="hybridMultilevel"/>
    <w:tmpl w:val="141604F0"/>
    <w:lvl w:ilvl="0" w:tplc="7D3A980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9A2755"/>
    <w:multiLevelType w:val="hybridMultilevel"/>
    <w:tmpl w:val="9508DDE8"/>
    <w:lvl w:ilvl="0" w:tplc="A74A3DB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1"/>
  </w:num>
  <w:num w:numId="15">
    <w:abstractNumId w:val="18"/>
  </w:num>
  <w:num w:numId="16">
    <w:abstractNumId w:val="12"/>
  </w:num>
  <w:num w:numId="17">
    <w:abstractNumId w:val="17"/>
  </w:num>
  <w:num w:numId="18">
    <w:abstractNumId w:val="1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03D2"/>
    <w:rsid w:val="000A5B9A"/>
    <w:rsid w:val="000E5BF9"/>
    <w:rsid w:val="000F0E6D"/>
    <w:rsid w:val="00121170"/>
    <w:rsid w:val="00123CC5"/>
    <w:rsid w:val="0015142D"/>
    <w:rsid w:val="001616DC"/>
    <w:rsid w:val="00163962"/>
    <w:rsid w:val="00191A97"/>
    <w:rsid w:val="001A083F"/>
    <w:rsid w:val="001A3450"/>
    <w:rsid w:val="001C41FA"/>
    <w:rsid w:val="001D0CD5"/>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A041C"/>
    <w:rsid w:val="005D3459"/>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A6557"/>
    <w:rsid w:val="007C0B95"/>
    <w:rsid w:val="007C2317"/>
    <w:rsid w:val="007D330A"/>
    <w:rsid w:val="00866AE6"/>
    <w:rsid w:val="008750A8"/>
    <w:rsid w:val="008E5AF2"/>
    <w:rsid w:val="0090121B"/>
    <w:rsid w:val="009144C9"/>
    <w:rsid w:val="0094091F"/>
    <w:rsid w:val="00973754"/>
    <w:rsid w:val="009C0BED"/>
    <w:rsid w:val="009D78C1"/>
    <w:rsid w:val="009E11EC"/>
    <w:rsid w:val="00A11509"/>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6A7385-4684-4DCD-B24D-87728C41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ef"/>
    <w:basedOn w:val="DefaultParagraphFont"/>
    <w:qForma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V-FT,DN"/>
    <w:basedOn w:val="Normal"/>
    <w:link w:val="FootnoteTextChar"/>
    <w:qFormat/>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FooterChar">
    <w:name w:val="Footer Char"/>
    <w:basedOn w:val="DefaultParagraphFont"/>
    <w:link w:val="Footer"/>
    <w:uiPriority w:val="99"/>
    <w:rsid w:val="00A11509"/>
    <w:rPr>
      <w:rFonts w:ascii="Times New Roman" w:hAnsi="Times New Roman"/>
      <w:caps/>
      <w:noProof/>
      <w:sz w:val="16"/>
      <w:lang w:val="es-ES_tradnl"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A11509"/>
    <w:rPr>
      <w:rFonts w:ascii="Times New Roman" w:hAnsi="Times New Roman"/>
      <w:sz w:val="24"/>
      <w:lang w:val="es-ES_tradnl" w:eastAsia="en-US"/>
    </w:rPr>
  </w:style>
  <w:style w:type="character" w:customStyle="1" w:styleId="HeaderChar">
    <w:name w:val="Header Char"/>
    <w:basedOn w:val="DefaultParagraphFont"/>
    <w:link w:val="Header"/>
    <w:uiPriority w:val="99"/>
    <w:rsid w:val="00A11509"/>
    <w:rPr>
      <w:rFonts w:ascii="Times New Roman" w:hAnsi="Times New Roman"/>
      <w:sz w:val="18"/>
      <w:lang w:val="es-ES_tradnl" w:eastAsia="en-US"/>
    </w:rPr>
  </w:style>
  <w:style w:type="paragraph" w:styleId="BalloonText">
    <w:name w:val="Balloon Text"/>
    <w:basedOn w:val="Normal"/>
    <w:link w:val="BalloonTextChar"/>
    <w:uiPriority w:val="99"/>
    <w:semiHidden/>
    <w:unhideWhenUsed/>
    <w:rsid w:val="00A11509"/>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A11509"/>
    <w:rPr>
      <w:rFonts w:ascii="Tahoma" w:hAnsi="Tahoma" w:cs="Tahoma"/>
      <w:sz w:val="16"/>
      <w:szCs w:val="16"/>
      <w:lang w:val="en-GB" w:eastAsia="en-US"/>
    </w:rPr>
  </w:style>
  <w:style w:type="character" w:customStyle="1" w:styleId="TableNoChar">
    <w:name w:val="Table_No Char"/>
    <w:link w:val="TableNo"/>
    <w:locked/>
    <w:rsid w:val="00A11509"/>
    <w:rPr>
      <w:rFonts w:ascii="Times New Roman" w:hAnsi="Times New Roman"/>
      <w:caps/>
      <w:lang w:val="es-ES_tradnl" w:eastAsia="en-US"/>
    </w:rPr>
  </w:style>
  <w:style w:type="character" w:customStyle="1" w:styleId="TabletextChar">
    <w:name w:val="Table_text Char"/>
    <w:link w:val="Tabletext"/>
    <w:locked/>
    <w:rsid w:val="00A11509"/>
    <w:rPr>
      <w:rFonts w:ascii="Times New Roman" w:hAnsi="Times New Roman"/>
      <w:lang w:val="es-ES_tradnl" w:eastAsia="en-US"/>
    </w:rPr>
  </w:style>
  <w:style w:type="character" w:customStyle="1" w:styleId="TabletitleChar">
    <w:name w:val="Table_title Char"/>
    <w:link w:val="Tabletitle"/>
    <w:locked/>
    <w:rsid w:val="00A11509"/>
    <w:rPr>
      <w:rFonts w:ascii="Times New Roman Bold" w:hAnsi="Times New Roman Bold"/>
      <w:b/>
      <w:lang w:val="es-ES_tradnl" w:eastAsia="en-US"/>
    </w:rPr>
  </w:style>
  <w:style w:type="character" w:customStyle="1" w:styleId="HeadingbChar">
    <w:name w:val="Heading_b Char"/>
    <w:link w:val="Headingb"/>
    <w:locked/>
    <w:rsid w:val="00A11509"/>
    <w:rPr>
      <w:b/>
      <w:sz w:val="24"/>
      <w:lang w:val="es-ES_tradnl" w:eastAsia="en-US"/>
    </w:rPr>
  </w:style>
  <w:style w:type="paragraph" w:styleId="ListParagraph">
    <w:name w:val="List Paragraph"/>
    <w:basedOn w:val="Normal"/>
    <w:uiPriority w:val="34"/>
    <w:qFormat/>
    <w:rsid w:val="00A11509"/>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fr-FR"/>
    </w:rPr>
  </w:style>
  <w:style w:type="table" w:styleId="TableGrid">
    <w:name w:val="Table Grid"/>
    <w:basedOn w:val="TableNormal"/>
    <w:uiPriority w:val="59"/>
    <w:rsid w:val="00A11509"/>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13392">
      <w:bodyDiv w:val="1"/>
      <w:marLeft w:val="0"/>
      <w:marRight w:val="0"/>
      <w:marTop w:val="0"/>
      <w:marBottom w:val="0"/>
      <w:divBdr>
        <w:top w:val="none" w:sz="0" w:space="0" w:color="auto"/>
        <w:left w:val="none" w:sz="0" w:space="0" w:color="auto"/>
        <w:bottom w:val="none" w:sz="0" w:space="0" w:color="auto"/>
        <w:right w:val="none" w:sz="0" w:space="0" w:color="auto"/>
      </w:divBdr>
    </w:div>
    <w:div w:id="13072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cid:image001.jpg@01D0BD7F.363DA41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cid:image002.png@01D0BD7F.363DA41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cid:image006.jpg@01D0BD7F.363DA4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software/Pages/gims.aspx" TargetMode="External"/><Relationship Id="rId1" Type="http://schemas.openxmlformats.org/officeDocument/2006/relationships/hyperlink" Target="https://www.itu.int/online/s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R15-WRC15-C-0072!!MSW-S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C3B1B4C9-6504-4524-8987-717D4A80F24D}">
  <ds:schemaRef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documentManagement/types"/>
    <ds:schemaRef ds:uri="32a1a8c5-2265-4ebc-b7a0-2071e2c5c9bb"/>
    <ds:schemaRef ds:uri="http://purl.org/dc/terms/"/>
    <ds:schemaRef ds:uri="http://schemas.microsoft.com/office/2006/metadata/properties"/>
  </ds:schemaRefs>
</ds:datastoreItem>
</file>

<file path=customXml/itemProps5.xml><?xml version="1.0" encoding="utf-8"?>
<ds:datastoreItem xmlns:ds="http://schemas.openxmlformats.org/officeDocument/2006/customXml" ds:itemID="{53727014-19A3-492E-A507-A760D73E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2960</Words>
  <Characters>14765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R15-WRC15-C-0072!!MSW-S</vt:lpstr>
    </vt:vector>
  </TitlesOfParts>
  <Manager>Secretaría General - Pool</Manager>
  <Company>Unión Internacional de Telecomunicaciones (UIT)</Company>
  <LinksUpToDate>false</LinksUpToDate>
  <CharactersWithSpaces>17690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R15-WRC15-C-0072!!MSW-S</dc:title>
  <dc:subject>Conferencia Mundial de Radiocomunicaciones - 2015</dc:subject>
  <dc:creator>Documents Proposals Manager (DPM)</dc:creator>
  <cp:keywords>DPM_v5.2015.10.271_prod</cp:keywords>
  <dc:description/>
  <cp:lastModifiedBy>Spanish</cp:lastModifiedBy>
  <cp:revision>5</cp:revision>
  <cp:lastPrinted>2015-10-28T09:52:00Z</cp:lastPrinted>
  <dcterms:created xsi:type="dcterms:W3CDTF">2015-10-28T08:59:00Z</dcterms:created>
  <dcterms:modified xsi:type="dcterms:W3CDTF">2015-10-28T10:00:00Z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