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B165C" w:rsidTr="00985F33">
        <w:trPr>
          <w:cantSplit/>
        </w:trPr>
        <w:tc>
          <w:tcPr>
            <w:tcW w:w="6911" w:type="dxa"/>
          </w:tcPr>
          <w:p w:rsidR="00DB165C" w:rsidRPr="00DF23FC" w:rsidRDefault="00DB165C"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DB165C" w:rsidRDefault="00DB165C" w:rsidP="00DB165C">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B165C" w:rsidRPr="00617BE4" w:rsidTr="00985F33">
        <w:trPr>
          <w:cantSplit/>
        </w:trPr>
        <w:tc>
          <w:tcPr>
            <w:tcW w:w="6911" w:type="dxa"/>
            <w:tcBorders>
              <w:bottom w:val="single" w:sz="12" w:space="0" w:color="auto"/>
            </w:tcBorders>
          </w:tcPr>
          <w:p w:rsidR="00DB165C" w:rsidRPr="00617BE4" w:rsidRDefault="00DB165C" w:rsidP="00DB165C">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DB165C" w:rsidRPr="00617BE4" w:rsidRDefault="00DB165C" w:rsidP="00DB165C">
            <w:pPr>
              <w:spacing w:before="0" w:line="240" w:lineRule="atLeast"/>
              <w:rPr>
                <w:rFonts w:ascii="Verdana" w:hAnsi="Verdana"/>
                <w:szCs w:val="24"/>
              </w:rPr>
            </w:pPr>
          </w:p>
        </w:tc>
      </w:tr>
      <w:tr w:rsidR="00DB165C" w:rsidRPr="00C324A8" w:rsidTr="00985F33">
        <w:trPr>
          <w:cantSplit/>
        </w:trPr>
        <w:tc>
          <w:tcPr>
            <w:tcW w:w="6911" w:type="dxa"/>
            <w:tcBorders>
              <w:top w:val="single" w:sz="12" w:space="0" w:color="auto"/>
            </w:tcBorders>
          </w:tcPr>
          <w:p w:rsidR="00DB165C" w:rsidRPr="00C324A8" w:rsidRDefault="00DB165C" w:rsidP="00DB165C">
            <w:pPr>
              <w:spacing w:before="0" w:after="48" w:line="240" w:lineRule="atLeast"/>
              <w:rPr>
                <w:rFonts w:ascii="Verdana" w:hAnsi="Verdana"/>
                <w:b/>
                <w:smallCaps/>
                <w:sz w:val="20"/>
              </w:rPr>
            </w:pPr>
          </w:p>
        </w:tc>
        <w:tc>
          <w:tcPr>
            <w:tcW w:w="3120" w:type="dxa"/>
            <w:tcBorders>
              <w:top w:val="single" w:sz="12" w:space="0" w:color="auto"/>
            </w:tcBorders>
          </w:tcPr>
          <w:p w:rsidR="00DB165C" w:rsidRPr="00C324A8" w:rsidRDefault="00DB165C" w:rsidP="00DB165C">
            <w:pPr>
              <w:spacing w:before="0" w:line="240" w:lineRule="atLeast"/>
              <w:rPr>
                <w:rFonts w:ascii="Verdana" w:hAnsi="Verdana"/>
                <w:sz w:val="20"/>
              </w:rPr>
            </w:pPr>
          </w:p>
        </w:tc>
      </w:tr>
      <w:tr w:rsidR="00DB165C" w:rsidRPr="00C324A8" w:rsidTr="00985F33">
        <w:trPr>
          <w:cantSplit/>
          <w:trHeight w:val="23"/>
        </w:trPr>
        <w:tc>
          <w:tcPr>
            <w:tcW w:w="6911" w:type="dxa"/>
            <w:vMerge w:val="restart"/>
          </w:tcPr>
          <w:p w:rsidR="00DB165C" w:rsidRPr="00DB165C" w:rsidRDefault="00DB165C" w:rsidP="00DB165C">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DB165C" w:rsidRPr="00DB165C" w:rsidRDefault="00DB165C" w:rsidP="00DB165C">
            <w:pPr>
              <w:tabs>
                <w:tab w:val="left" w:pos="851"/>
              </w:tabs>
              <w:spacing w:before="0" w:line="240" w:lineRule="atLeast"/>
              <w:rPr>
                <w:rFonts w:ascii="Verdana" w:hAnsi="Verdana"/>
                <w:sz w:val="20"/>
              </w:rPr>
            </w:pPr>
            <w:r>
              <w:rPr>
                <w:rFonts w:ascii="Verdana" w:hAnsi="Verdana"/>
                <w:b/>
                <w:sz w:val="20"/>
              </w:rPr>
              <w:t>Document 72-F</w:t>
            </w:r>
          </w:p>
        </w:tc>
      </w:tr>
      <w:tr w:rsidR="00DB165C" w:rsidRPr="00C324A8" w:rsidTr="00985F33">
        <w:trPr>
          <w:cantSplit/>
          <w:trHeight w:val="23"/>
        </w:trPr>
        <w:tc>
          <w:tcPr>
            <w:tcW w:w="6911" w:type="dxa"/>
            <w:vMerge/>
          </w:tcPr>
          <w:p w:rsidR="00DB165C" w:rsidRPr="00C324A8" w:rsidRDefault="00DB165C" w:rsidP="00985F33">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DB165C" w:rsidRPr="00DB165C" w:rsidRDefault="00DB165C" w:rsidP="00DB165C">
            <w:pPr>
              <w:tabs>
                <w:tab w:val="left" w:pos="993"/>
              </w:tabs>
              <w:spacing w:before="0"/>
              <w:rPr>
                <w:rFonts w:ascii="Verdana" w:hAnsi="Verdana"/>
                <w:sz w:val="20"/>
              </w:rPr>
            </w:pPr>
            <w:r>
              <w:rPr>
                <w:rFonts w:ascii="Verdana" w:hAnsi="Verdana"/>
                <w:b/>
                <w:sz w:val="20"/>
              </w:rPr>
              <w:t>16 octobre 2015</w:t>
            </w:r>
          </w:p>
        </w:tc>
      </w:tr>
      <w:tr w:rsidR="00DB165C" w:rsidRPr="00C324A8" w:rsidTr="00985F33">
        <w:trPr>
          <w:cantSplit/>
          <w:trHeight w:val="23"/>
        </w:trPr>
        <w:tc>
          <w:tcPr>
            <w:tcW w:w="6911" w:type="dxa"/>
            <w:vMerge/>
          </w:tcPr>
          <w:p w:rsidR="00DB165C" w:rsidRPr="00C324A8" w:rsidRDefault="00DB165C" w:rsidP="00985F33">
            <w:pPr>
              <w:tabs>
                <w:tab w:val="left" w:pos="851"/>
              </w:tabs>
              <w:spacing w:line="240" w:lineRule="atLeast"/>
              <w:rPr>
                <w:rFonts w:ascii="Verdana" w:hAnsi="Verdana"/>
                <w:b/>
                <w:sz w:val="20"/>
              </w:rPr>
            </w:pPr>
            <w:bookmarkStart w:id="5" w:name="dorlang" w:colFirst="1" w:colLast="1"/>
            <w:bookmarkEnd w:id="4"/>
          </w:p>
        </w:tc>
        <w:tc>
          <w:tcPr>
            <w:tcW w:w="3120" w:type="dxa"/>
          </w:tcPr>
          <w:p w:rsidR="00DB165C" w:rsidRPr="00DB165C" w:rsidRDefault="00DB165C" w:rsidP="00DB165C">
            <w:pPr>
              <w:tabs>
                <w:tab w:val="left" w:pos="993"/>
              </w:tabs>
              <w:spacing w:before="0" w:after="120"/>
              <w:rPr>
                <w:rFonts w:ascii="Verdana" w:hAnsi="Verdana"/>
                <w:sz w:val="20"/>
              </w:rPr>
            </w:pPr>
            <w:r>
              <w:rPr>
                <w:rFonts w:ascii="Verdana" w:hAnsi="Verdana"/>
                <w:b/>
                <w:sz w:val="20"/>
              </w:rPr>
              <w:t>Original: anglais</w:t>
            </w:r>
          </w:p>
        </w:tc>
      </w:tr>
      <w:tr w:rsidR="00DB165C" w:rsidTr="00985F33">
        <w:trPr>
          <w:cantSplit/>
        </w:trPr>
        <w:tc>
          <w:tcPr>
            <w:tcW w:w="10031" w:type="dxa"/>
            <w:gridSpan w:val="2"/>
          </w:tcPr>
          <w:p w:rsidR="00DB165C" w:rsidRDefault="00985F33" w:rsidP="00985F33">
            <w:pPr>
              <w:pStyle w:val="Source"/>
            </w:pPr>
            <w:bookmarkStart w:id="6" w:name="dsource" w:colFirst="0" w:colLast="0"/>
            <w:bookmarkEnd w:id="5"/>
            <w:r>
              <w:t>Allemagne (République fédérale d')</w:t>
            </w:r>
            <w:r w:rsidR="00DB165C">
              <w:t>/France</w:t>
            </w:r>
          </w:p>
        </w:tc>
      </w:tr>
      <w:tr w:rsidR="00DB165C" w:rsidRPr="00765D06" w:rsidTr="00985F33">
        <w:trPr>
          <w:cantSplit/>
        </w:trPr>
        <w:tc>
          <w:tcPr>
            <w:tcW w:w="10031" w:type="dxa"/>
            <w:gridSpan w:val="2"/>
          </w:tcPr>
          <w:p w:rsidR="00DB165C" w:rsidRPr="00765D06" w:rsidRDefault="00765D06" w:rsidP="008C6C7F">
            <w:pPr>
              <w:pStyle w:val="Title1"/>
            </w:pPr>
            <w:bookmarkStart w:id="7" w:name="dtitle1" w:colFirst="0" w:colLast="0"/>
            <w:bookmarkEnd w:id="6"/>
            <w:r w:rsidRPr="00765D06">
              <w:t xml:space="preserve">IMPACT D'UNE LIMITE </w:t>
            </w:r>
            <w:r>
              <w:t xml:space="preserve">DE PUISSANCE SURFACIQUE DE </w:t>
            </w:r>
            <w:r>
              <w:noBreakHyphen/>
              <w:t>113 </w:t>
            </w:r>
            <w:r w:rsidRPr="00765D06">
              <w:t>DBW/(M</w:t>
            </w:r>
            <w:r w:rsidRPr="00765D06">
              <w:rPr>
                <w:vertAlign w:val="superscript"/>
              </w:rPr>
              <w:t>2</w:t>
            </w:r>
            <w:r w:rsidRPr="00765D06">
              <w:t>.MH</w:t>
            </w:r>
            <w:r w:rsidR="008C6C7F" w:rsidRPr="008C6C7F">
              <w:rPr>
                <w:caps w:val="0"/>
              </w:rPr>
              <w:t>z</w:t>
            </w:r>
            <w:r w:rsidRPr="00765D06">
              <w:t xml:space="preserve">) SUR L'EXPLOITATION DES SYSTÈMES </w:t>
            </w:r>
            <w:r w:rsidR="008C6C7F">
              <w:br/>
            </w:r>
            <w:r w:rsidRPr="00765D06">
              <w:t>DU SRS DANS LA BANDE 1 452-1 492 MH</w:t>
            </w:r>
            <w:r w:rsidRPr="008C6C7F">
              <w:rPr>
                <w:caps w:val="0"/>
              </w:rPr>
              <w:t>z</w:t>
            </w:r>
          </w:p>
        </w:tc>
      </w:tr>
      <w:tr w:rsidR="00DB165C" w:rsidRPr="00765D06" w:rsidTr="00985F33">
        <w:trPr>
          <w:cantSplit/>
        </w:trPr>
        <w:tc>
          <w:tcPr>
            <w:tcW w:w="10031" w:type="dxa"/>
            <w:gridSpan w:val="2"/>
          </w:tcPr>
          <w:p w:rsidR="00DB165C" w:rsidRPr="00765D06" w:rsidRDefault="00DB165C" w:rsidP="00985F33">
            <w:pPr>
              <w:pStyle w:val="Title2"/>
            </w:pPr>
            <w:bookmarkStart w:id="8" w:name="dtitle2" w:colFirst="0" w:colLast="0"/>
            <w:bookmarkEnd w:id="7"/>
          </w:p>
        </w:tc>
      </w:tr>
      <w:tr w:rsidR="00DB165C" w:rsidRPr="00263BF8" w:rsidTr="00985F33">
        <w:trPr>
          <w:cantSplit/>
        </w:trPr>
        <w:tc>
          <w:tcPr>
            <w:tcW w:w="10031" w:type="dxa"/>
            <w:gridSpan w:val="2"/>
          </w:tcPr>
          <w:p w:rsidR="00DB165C" w:rsidRPr="00263BF8" w:rsidRDefault="00263BF8" w:rsidP="003E28F5">
            <w:pPr>
              <w:pStyle w:val="Agendaitem"/>
            </w:pPr>
            <w:bookmarkStart w:id="9" w:name="dtitle3" w:colFirst="0" w:colLast="0"/>
            <w:bookmarkEnd w:id="8"/>
            <w:r w:rsidRPr="002C17D1">
              <w:rPr>
                <w:rFonts w:eastAsia="SimSun"/>
              </w:rPr>
              <w:t>Point 1.1 de l'ordre du jour</w:t>
            </w:r>
          </w:p>
        </w:tc>
      </w:tr>
    </w:tbl>
    <w:bookmarkEnd w:id="9"/>
    <w:p w:rsidR="00263BF8" w:rsidRPr="0000257F" w:rsidRDefault="00263BF8" w:rsidP="00263BF8">
      <w:pPr>
        <w:pStyle w:val="Normalaftertitle"/>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64416A" w:rsidRPr="008947FD" w:rsidRDefault="00765D06" w:rsidP="00765D06">
      <w:pPr>
        <w:pStyle w:val="Heading1"/>
      </w:pPr>
      <w:r w:rsidRPr="008947FD">
        <w:t>Vue d'ensemble de l'étude technique</w:t>
      </w:r>
      <w:r w:rsidR="0064416A" w:rsidRPr="008947FD">
        <w:t xml:space="preserve"> </w:t>
      </w:r>
    </w:p>
    <w:p w:rsidR="0064416A" w:rsidRPr="004B4918" w:rsidRDefault="00765D06" w:rsidP="00765D06">
      <w:pPr>
        <w:pStyle w:val="Headingb"/>
        <w:keepNext w:val="0"/>
        <w:rPr>
          <w:rFonts w:ascii="Times New Roman Bold" w:hAnsi="Times New Roman Bold" w:cs="Times New Roman Bold"/>
          <w:b w:val="0"/>
        </w:rPr>
      </w:pPr>
      <w:r w:rsidRPr="004B4918">
        <w:rPr>
          <w:rFonts w:ascii="Times New Roman Bold" w:hAnsi="Times New Roman Bold" w:cs="Times New Roman Bold"/>
          <w:b w:val="0"/>
        </w:rPr>
        <w:t>Dans l'Option C1 du texte de la RPC pour la bande 1</w:t>
      </w:r>
      <w:r w:rsidR="004B4918" w:rsidRPr="004B4918">
        <w:rPr>
          <w:rFonts w:ascii="Times New Roman Bold" w:hAnsi="Times New Roman Bold" w:cs="Times New Roman Bold"/>
          <w:b w:val="0"/>
        </w:rPr>
        <w:t> </w:t>
      </w:r>
      <w:r w:rsidRPr="004B4918">
        <w:rPr>
          <w:rFonts w:ascii="Times New Roman Bold" w:hAnsi="Times New Roman Bold" w:cs="Times New Roman Bold"/>
          <w:b w:val="0"/>
        </w:rPr>
        <w:t>452-1</w:t>
      </w:r>
      <w:r w:rsidR="004B4918">
        <w:rPr>
          <w:rFonts w:ascii="Times New Roman Bold" w:hAnsi="Times New Roman Bold" w:cs="Times New Roman Bold"/>
          <w:b w:val="0"/>
        </w:rPr>
        <w:t> </w:t>
      </w:r>
      <w:r w:rsidRPr="004B4918">
        <w:rPr>
          <w:rFonts w:ascii="Times New Roman Bold" w:hAnsi="Times New Roman Bold" w:cs="Times New Roman Bold"/>
          <w:b w:val="0"/>
        </w:rPr>
        <w:t>492 MHz, il est proposé ce qui suit</w:t>
      </w:r>
      <w:r w:rsidR="0064416A" w:rsidRPr="004B4918">
        <w:rPr>
          <w:rFonts w:ascii="Times New Roman Bold" w:hAnsi="Times New Roman Bold" w:cs="Times New Roman Bold"/>
          <w:b w:val="0"/>
        </w:rPr>
        <w:t>:</w:t>
      </w:r>
    </w:p>
    <w:p w:rsidR="00204C24" w:rsidRPr="00765D06" w:rsidRDefault="00902B16" w:rsidP="00902B16">
      <w:pPr>
        <w:pStyle w:val="Headingb"/>
        <w:keepNext w:val="0"/>
        <w:ind w:left="708"/>
        <w:rPr>
          <w:rFonts w:ascii="Times New Roman Bold" w:hAnsi="Times New Roman Bold" w:cs="Times New Roman Bold"/>
          <w:b w:val="0"/>
          <w:i/>
        </w:rPr>
      </w:pPr>
      <w:r>
        <w:rPr>
          <w:rFonts w:ascii="Times New Roman Bold" w:hAnsi="Times New Roman Bold" w:cs="Times New Roman Bold"/>
          <w:b w:val="0"/>
          <w:i/>
        </w:rPr>
        <w:t>«</w:t>
      </w:r>
      <w:r w:rsidR="00204C24" w:rsidRPr="008947FD">
        <w:rPr>
          <w:rFonts w:ascii="Times New Roman Bold" w:hAnsi="Times New Roman Bold" w:cs="Times New Roman Bold"/>
          <w:b w:val="0"/>
          <w:i/>
        </w:rPr>
        <w:t>Afin de faciliter la coexistence entre les IMT et le SRS dans la bande de fréquences 1 452</w:t>
      </w:r>
      <w:r w:rsidR="00204C24" w:rsidRPr="008947FD">
        <w:rPr>
          <w:rFonts w:ascii="Times New Roman Bold" w:hAnsi="Times New Roman Bold" w:cs="Times New Roman Bold"/>
          <w:b w:val="0"/>
          <w:i/>
        </w:rPr>
        <w:noBreakHyphen/>
        <w:t>1 492 MHz, les procédures réglementaires régissant actuellement la relation entre le SRS et les services de Terre seraient modifiées, moyennant l'adjonction d'une valeur de puissance surfacique de [–113 dBW/m²/MHz] dans l'Article 21 du RR, en vue de créer une situation plus stable (stabilité à long terme) pour les IMT.</w:t>
      </w:r>
      <w:r w:rsidR="00765D06" w:rsidRPr="008947FD">
        <w:rPr>
          <w:rFonts w:ascii="Times New Roman Bold" w:hAnsi="Times New Roman Bold" w:cs="Times New Roman Bold"/>
          <w:b w:val="0"/>
          <w:i/>
        </w:rPr>
        <w:t xml:space="preserve"> </w:t>
      </w:r>
      <w:r w:rsidR="00204C24" w:rsidRPr="008947FD">
        <w:rPr>
          <w:rFonts w:ascii="Times New Roman Bold" w:hAnsi="Times New Roman Bold" w:cs="Times New Roman Bold"/>
          <w:b w:val="0"/>
          <w:i/>
        </w:rPr>
        <w:t>L'Appendice</w:t>
      </w:r>
      <w:r>
        <w:rPr>
          <w:rFonts w:ascii="Times New Roman Bold" w:hAnsi="Times New Roman Bold" w:cs="Times New Roman Bold"/>
          <w:b w:val="0"/>
          <w:i/>
        </w:rPr>
        <w:t> </w:t>
      </w:r>
      <w:r w:rsidR="00204C24" w:rsidRPr="008947FD">
        <w:rPr>
          <w:rFonts w:ascii="Times New Roman Bold" w:hAnsi="Times New Roman Bold" w:cs="Times New Roman Bold"/>
          <w:b w:val="0"/>
          <w:i/>
        </w:rPr>
        <w:t xml:space="preserve">5 du RR serait modifié, afin de permettre aux pays désireux de continuer d'appliquer la procédure de coordination prévue au numéro 9.11 du RR de le faire. </w:t>
      </w:r>
      <w:r w:rsidR="00204C24" w:rsidRPr="00765D06">
        <w:rPr>
          <w:rFonts w:ascii="Times New Roman Bold" w:hAnsi="Times New Roman Bold" w:cs="Times New Roman Bold"/>
          <w:b w:val="0"/>
          <w:i/>
        </w:rPr>
        <w:t>En conséquence, une limite de puissance surfacique s'appliquera au SRS vis-à-vis de tous les services de Terre, exception faite des pays souhaitant continuer d'appliquer le numéro 9.11 du RR, en raison de critères de protection plus stricts (par exemple pour protéger les systèmes de télémesure).</w:t>
      </w:r>
      <w:r>
        <w:rPr>
          <w:rFonts w:ascii="Times New Roman Bold" w:hAnsi="Times New Roman Bold" w:cs="Times New Roman Bold"/>
          <w:b w:val="0"/>
          <w:i/>
        </w:rPr>
        <w:t>»</w:t>
      </w:r>
    </w:p>
    <w:p w:rsidR="0064416A" w:rsidRPr="008947FD" w:rsidRDefault="00AC5C7F" w:rsidP="00381C10">
      <w:pPr>
        <w:pStyle w:val="Headingb"/>
        <w:keepNext w:val="0"/>
        <w:rPr>
          <w:rFonts w:ascii="Times New Roman Bold" w:hAnsi="Times New Roman Bold" w:cs="Times New Roman Bold"/>
          <w:b w:val="0"/>
        </w:rPr>
      </w:pPr>
      <w:r w:rsidRPr="008947FD">
        <w:rPr>
          <w:rFonts w:ascii="Times New Roman Bold" w:hAnsi="Times New Roman Bold" w:cs="Times New Roman Bold"/>
          <w:b w:val="0"/>
        </w:rPr>
        <w:t xml:space="preserve">Le choix de </w:t>
      </w:r>
      <w:r w:rsidR="00902B16">
        <w:rPr>
          <w:rFonts w:ascii="Times New Roman Bold" w:hAnsi="Times New Roman Bold" w:cs="Times New Roman Bold"/>
          <w:b w:val="0"/>
        </w:rPr>
        <w:t>–</w:t>
      </w:r>
      <w:r w:rsidRPr="008947FD">
        <w:rPr>
          <w:rFonts w:ascii="Times New Roman Bold" w:hAnsi="Times New Roman Bold" w:cs="Times New Roman Bold"/>
          <w:b w:val="0"/>
        </w:rPr>
        <w:t>113 dBW/(m</w:t>
      </w:r>
      <w:r w:rsidR="00381C10" w:rsidRPr="00381C10">
        <w:rPr>
          <w:rFonts w:hAnsi="Times New Roman Bold"/>
          <w:b w:val="0"/>
          <w:bCs/>
          <w:vertAlign w:val="superscript"/>
        </w:rPr>
        <w:t>2</w:t>
      </w:r>
      <w:r w:rsidRPr="008947FD">
        <w:rPr>
          <w:rFonts w:ascii="Times New Roman Bold" w:hAnsi="Times New Roman Bold" w:cs="Times New Roman Bold"/>
          <w:b w:val="0"/>
        </w:rPr>
        <w:t xml:space="preserve">.MHz) pour la valeur </w:t>
      </w:r>
      <w:bookmarkStart w:id="10" w:name="_GoBack"/>
      <w:bookmarkEnd w:id="10"/>
      <w:r w:rsidRPr="008947FD">
        <w:rPr>
          <w:rFonts w:ascii="Times New Roman Bold" w:hAnsi="Times New Roman Bold" w:cs="Times New Roman Bold"/>
          <w:b w:val="0"/>
        </w:rPr>
        <w:t>de puissance surfacique est expliqué dans le rapport du GAM 4-5-6-7</w:t>
      </w:r>
      <w:r w:rsidR="0064416A" w:rsidRPr="008947FD">
        <w:rPr>
          <w:rFonts w:ascii="Times New Roman Bold" w:hAnsi="Times New Roman Bold" w:cs="Times New Roman Bold"/>
          <w:b w:val="0"/>
        </w:rPr>
        <w:t xml:space="preserve">. </w:t>
      </w:r>
      <w:r w:rsidRPr="008947FD">
        <w:rPr>
          <w:rFonts w:ascii="Times New Roman Bold" w:hAnsi="Times New Roman Bold" w:cs="Times New Roman Bold"/>
          <w:b w:val="0"/>
        </w:rPr>
        <w:t>Cette valeur assure une protection suffisante des équipements d'utilisateur des IMT et est beaucoup moins contraignante que les valeurs de puissance surfacique applicables aux bandes adjacentes et voisines</w:t>
      </w:r>
      <w:r w:rsidR="0064416A" w:rsidRPr="008947FD">
        <w:rPr>
          <w:rFonts w:ascii="Times New Roman Bold" w:hAnsi="Times New Roman Bold" w:cs="Times New Roman Bold"/>
          <w:b w:val="0"/>
        </w:rPr>
        <w:t xml:space="preserve">. </w:t>
      </w:r>
    </w:p>
    <w:p w:rsidR="0064416A" w:rsidRDefault="00937B93" w:rsidP="003E28F5">
      <w:r w:rsidRPr="003A71FF">
        <w:lastRenderedPageBreak/>
        <w:t xml:space="preserve">Le présent document </w:t>
      </w:r>
      <w:r w:rsidR="003A71FF" w:rsidRPr="003A71FF">
        <w:t>co</w:t>
      </w:r>
      <w:r w:rsidR="003A71FF">
        <w:t>ntient</w:t>
      </w:r>
      <w:r w:rsidRPr="003A71FF">
        <w:t xml:space="preserve"> une analyse complémentaire montr</w:t>
      </w:r>
      <w:r w:rsidR="003A71FF">
        <w:t>ant</w:t>
      </w:r>
      <w:r w:rsidRPr="003A71FF">
        <w:t xml:space="preserve"> que cette valeur de puissance surfacique a un impact limité sur les systèmes du SRS</w:t>
      </w:r>
      <w:r w:rsidR="0064416A" w:rsidRPr="003A71FF">
        <w:t xml:space="preserve">. </w:t>
      </w:r>
      <w:r w:rsidRPr="003A71FF">
        <w:t xml:space="preserve">Il ressort </w:t>
      </w:r>
      <w:r w:rsidR="003A71FF" w:rsidRPr="003A71FF">
        <w:t>d</w:t>
      </w:r>
      <w:r w:rsidR="003A71FF">
        <w:t xml:space="preserve">e cette étude </w:t>
      </w:r>
      <w:r w:rsidRPr="003A71FF">
        <w:t>que, compte tenu des renseignements de coordination et de notification existants en ce qui concerne les réseaux à satellite du SRS fonctionnant dans la bande de fréquence 1</w:t>
      </w:r>
      <w:r w:rsidR="00902B16">
        <w:t> </w:t>
      </w:r>
      <w:r w:rsidRPr="003A71FF">
        <w:t>452-1</w:t>
      </w:r>
      <w:r w:rsidR="00902B16">
        <w:t> </w:t>
      </w:r>
      <w:r w:rsidRPr="003A71FF">
        <w:t>492</w:t>
      </w:r>
      <w:r w:rsidR="00902B16">
        <w:t xml:space="preserve"> MHz, la valeur de </w:t>
      </w:r>
      <w:r w:rsidR="003E28F5">
        <w:br/>
      </w:r>
      <w:r w:rsidR="00902B16">
        <w:t>–</w:t>
      </w:r>
      <w:r w:rsidRPr="003A71FF">
        <w:t>113 dBW/(m</w:t>
      </w:r>
      <w:r w:rsidRPr="003A71FF">
        <w:rPr>
          <w:vertAlign w:val="superscript"/>
        </w:rPr>
        <w:t>2</w:t>
      </w:r>
      <w:r w:rsidRPr="003A71FF">
        <w:t>.MHz) proposée pour la limite de puissance surfacique aura un impact très limité sur la conception des systèmes du SRS en termes de contraintes</w:t>
      </w:r>
      <w:r w:rsidR="0064416A" w:rsidRPr="003A71FF">
        <w:t xml:space="preserve">. </w:t>
      </w:r>
      <w:r w:rsidRPr="008947FD">
        <w:t>Cette limite de puissance surfacique assure une protection suffisante des terminaux des IMT dans la bande de fréquences 1</w:t>
      </w:r>
      <w:r w:rsidR="00902B16">
        <w:t> </w:t>
      </w:r>
      <w:r w:rsidRPr="008947FD">
        <w:t>452</w:t>
      </w:r>
      <w:r w:rsidR="003E28F5">
        <w:noBreakHyphen/>
      </w:r>
      <w:r w:rsidRPr="008947FD">
        <w:t>1</w:t>
      </w:r>
      <w:r w:rsidR="00902B16">
        <w:t> </w:t>
      </w:r>
      <w:r w:rsidRPr="008947FD">
        <w:t>492</w:t>
      </w:r>
      <w:r w:rsidR="00902B16">
        <w:t> </w:t>
      </w:r>
      <w:r w:rsidRPr="008947FD">
        <w:t>MHz tout en permettant aux pays qui souhaitent intégrer un système du SRS et acceptent de ce fait que cette limite soit dépassée sur leur territoire de le faire</w:t>
      </w:r>
      <w:r w:rsidR="0064416A" w:rsidRPr="008947FD">
        <w:t xml:space="preserve">. </w:t>
      </w:r>
    </w:p>
    <w:p w:rsidR="008C6C7F" w:rsidRPr="008947FD" w:rsidRDefault="008C6C7F" w:rsidP="00902B16"/>
    <w:p w:rsidR="004B1046" w:rsidRPr="00937B93" w:rsidRDefault="004B1046" w:rsidP="00CE6A1C">
      <w:r w:rsidRPr="00937B93">
        <w:br w:type="page"/>
      </w:r>
    </w:p>
    <w:p w:rsidR="004B1046" w:rsidRDefault="004B1046" w:rsidP="004B1046">
      <w:pPr>
        <w:pStyle w:val="AnnexNo"/>
        <w:rPr>
          <w:lang w:val="en-US"/>
        </w:rPr>
      </w:pPr>
      <w:r>
        <w:rPr>
          <w:lang w:val="en-US"/>
        </w:rPr>
        <w:lastRenderedPageBreak/>
        <w:t>Annex</w:t>
      </w:r>
    </w:p>
    <w:p w:rsidR="004B1046" w:rsidRPr="003C7190" w:rsidRDefault="004B1046" w:rsidP="004B1046">
      <w:pPr>
        <w:jc w:val="center"/>
        <w:rPr>
          <w:lang w:val="en-US"/>
        </w:rPr>
      </w:pPr>
      <w:r>
        <w:rPr>
          <w:lang w:val="en-US"/>
        </w:rPr>
        <w:t>(English only)</w:t>
      </w:r>
    </w:p>
    <w:p w:rsidR="004B1046" w:rsidRDefault="004B1046" w:rsidP="004B1046">
      <w:pPr>
        <w:pStyle w:val="Annextitle"/>
        <w:rPr>
          <w:szCs w:val="24"/>
          <w:lang w:val="en-US"/>
        </w:rPr>
      </w:pPr>
      <w:r w:rsidRPr="004B1046">
        <w:rPr>
          <w:lang w:val="en-US"/>
        </w:rPr>
        <w:t xml:space="preserve">Impact of a -113 dBW/(m².MHz) pfd limit on BSS operations </w:t>
      </w:r>
      <w:r w:rsidRPr="004B1046">
        <w:rPr>
          <w:lang w:val="en-US"/>
        </w:rPr>
        <w:br/>
        <w:t>in the band 1 452-1 492 MHz</w:t>
      </w:r>
    </w:p>
    <w:p w:rsidR="004B1046" w:rsidRDefault="004B1046" w:rsidP="004B1046">
      <w:pPr>
        <w:pStyle w:val="Heading1"/>
        <w:rPr>
          <w:lang w:val="en-US"/>
        </w:rPr>
      </w:pPr>
      <w:r>
        <w:rPr>
          <w:lang w:val="en-US"/>
        </w:rPr>
        <w:t>1</w:t>
      </w:r>
      <w:r>
        <w:rPr>
          <w:lang w:val="en-US"/>
        </w:rPr>
        <w:tab/>
        <w:t>Introduction</w:t>
      </w:r>
    </w:p>
    <w:p w:rsidR="004B1046" w:rsidRPr="00F064D2" w:rsidRDefault="004B1046" w:rsidP="004B1046">
      <w:pPr>
        <w:pStyle w:val="Headingb"/>
        <w:rPr>
          <w:b w:val="0"/>
          <w:lang w:val="en-US"/>
        </w:rPr>
      </w:pPr>
      <w:r w:rsidRPr="00F064D2">
        <w:rPr>
          <w:b w:val="0"/>
          <w:lang w:val="en-US"/>
        </w:rPr>
        <w:t>Option C1 of the CPM text on WRC-15 agenda item 1.1 for the band 1</w:t>
      </w:r>
      <w:r>
        <w:rPr>
          <w:b w:val="0"/>
          <w:lang w:val="en-US"/>
        </w:rPr>
        <w:t xml:space="preserve"> </w:t>
      </w:r>
      <w:r w:rsidRPr="00F064D2">
        <w:rPr>
          <w:b w:val="0"/>
          <w:lang w:val="en-US"/>
        </w:rPr>
        <w:t>452-1</w:t>
      </w:r>
      <w:r>
        <w:rPr>
          <w:b w:val="0"/>
          <w:lang w:val="en-US"/>
        </w:rPr>
        <w:t xml:space="preserve"> </w:t>
      </w:r>
      <w:r w:rsidRPr="00F064D2">
        <w:rPr>
          <w:b w:val="0"/>
          <w:lang w:val="en-US"/>
        </w:rPr>
        <w:t>492 MHz proposes to set a pfd value of -113 dBW/(m².MHz) in Article 21 of the Radio Regulations. This pfd value provides an appropriate protection of IMT user equipment</w:t>
      </w:r>
      <w:r w:rsidRPr="00EF6B75">
        <w:rPr>
          <w:b w:val="0"/>
          <w:lang w:val="en-US"/>
        </w:rPr>
        <w:t>.</w:t>
      </w:r>
      <w:r>
        <w:rPr>
          <w:b w:val="0"/>
          <w:lang w:val="en-US"/>
        </w:rPr>
        <w:t xml:space="preserve"> </w:t>
      </w:r>
      <w:r w:rsidRPr="00F064D2">
        <w:rPr>
          <w:b w:val="0"/>
          <w:lang w:val="en-US"/>
        </w:rPr>
        <w:t>The study contained in this Annex provides a further analysis showing the limited impact of this pfd value on BSS systems.</w:t>
      </w:r>
    </w:p>
    <w:p w:rsidR="004B1046" w:rsidRDefault="004B1046" w:rsidP="004B1046">
      <w:pPr>
        <w:pStyle w:val="Heading1"/>
        <w:rPr>
          <w:lang w:val="en-US"/>
        </w:rPr>
      </w:pPr>
      <w:r>
        <w:rPr>
          <w:lang w:val="en-US"/>
        </w:rPr>
        <w:t>2</w:t>
      </w:r>
      <w:r>
        <w:rPr>
          <w:lang w:val="en-US"/>
        </w:rPr>
        <w:tab/>
        <w:t>Analysis of the coverage area of different BSS systems</w:t>
      </w:r>
    </w:p>
    <w:p w:rsidR="004B1046" w:rsidRPr="00C033FE" w:rsidRDefault="004B1046" w:rsidP="004B1046">
      <w:pPr>
        <w:pStyle w:val="Heading2"/>
        <w:rPr>
          <w:lang w:val="en-US"/>
        </w:rPr>
      </w:pPr>
      <w:r>
        <w:rPr>
          <w:lang w:val="en-US"/>
        </w:rPr>
        <w:t>2.1</w:t>
      </w:r>
      <w:r>
        <w:rPr>
          <w:lang w:val="en-US"/>
        </w:rPr>
        <w:tab/>
      </w:r>
      <w:r w:rsidRPr="00C033FE">
        <w:rPr>
          <w:lang w:val="en-US"/>
        </w:rPr>
        <w:t>Characteristics of the BSS systems</w:t>
      </w:r>
    </w:p>
    <w:p w:rsidR="004B1046" w:rsidRDefault="004B1046" w:rsidP="004B1046">
      <w:pPr>
        <w:rPr>
          <w:szCs w:val="24"/>
          <w:lang w:val="en-US"/>
        </w:rPr>
      </w:pPr>
      <w:r>
        <w:rPr>
          <w:szCs w:val="24"/>
          <w:lang w:val="en-US"/>
        </w:rPr>
        <w:t>The characteristics of the BSS satellite networks in the band 1 452-1 492 MHz that are studied in this document were taken from special sections published in BR IFIC. When a BSS satellite network uses multi spot beams and covers different areas, the study distinguishes among them the various cases in the following analysis. The following table lists all the cases that are addressed in this document.</w:t>
      </w:r>
    </w:p>
    <w:p w:rsidR="004B1046" w:rsidRDefault="004B1046" w:rsidP="004B1046">
      <w:pPr>
        <w:pStyle w:val="TableNo"/>
        <w:rPr>
          <w:lang w:val="en-US"/>
        </w:rPr>
      </w:pPr>
      <w:r>
        <w:rPr>
          <w:lang w:val="en-US"/>
        </w:rPr>
        <w:t>Table 1</w:t>
      </w:r>
    </w:p>
    <w:p w:rsidR="004B1046" w:rsidRPr="00A40C32" w:rsidRDefault="004B1046" w:rsidP="004B1046">
      <w:pPr>
        <w:pStyle w:val="Tabletitle"/>
        <w:rPr>
          <w:lang w:val="en-US"/>
        </w:rPr>
      </w:pPr>
      <w:r>
        <w:rPr>
          <w:lang w:val="en-US"/>
        </w:rPr>
        <w:t xml:space="preserve">List of studied BSS satellite networks in the band 1452-1492 MHz </w:t>
      </w:r>
    </w:p>
    <w:tbl>
      <w:tblPr>
        <w:tblStyle w:val="TableGrid"/>
        <w:tblW w:w="0" w:type="auto"/>
        <w:jc w:val="center"/>
        <w:tblLook w:val="04A0" w:firstRow="1" w:lastRow="0" w:firstColumn="1" w:lastColumn="0" w:noHBand="0" w:noVBand="1"/>
      </w:tblPr>
      <w:tblGrid>
        <w:gridCol w:w="1506"/>
        <w:gridCol w:w="1095"/>
        <w:gridCol w:w="1850"/>
        <w:gridCol w:w="840"/>
        <w:gridCol w:w="827"/>
        <w:gridCol w:w="799"/>
        <w:gridCol w:w="716"/>
        <w:gridCol w:w="668"/>
        <w:gridCol w:w="664"/>
        <w:gridCol w:w="664"/>
      </w:tblGrid>
      <w:tr w:rsidR="004B1046" w:rsidRPr="003C7190" w:rsidTr="00985F33">
        <w:trPr>
          <w:jc w:val="center"/>
        </w:trPr>
        <w:tc>
          <w:tcPr>
            <w:tcW w:w="1573" w:type="dxa"/>
          </w:tcPr>
          <w:p w:rsidR="004B1046" w:rsidRPr="003C7190" w:rsidRDefault="004B1046" w:rsidP="00985F33">
            <w:pPr>
              <w:pStyle w:val="Tablehead"/>
            </w:pPr>
            <w:r w:rsidRPr="003C7190">
              <w:t>Satellite Name</w:t>
            </w:r>
          </w:p>
        </w:tc>
        <w:tc>
          <w:tcPr>
            <w:tcW w:w="1095" w:type="dxa"/>
          </w:tcPr>
          <w:p w:rsidR="004B1046" w:rsidRPr="003C7190" w:rsidRDefault="004B1046" w:rsidP="00985F33">
            <w:pPr>
              <w:pStyle w:val="Tablehead"/>
            </w:pPr>
            <w:r w:rsidRPr="003C7190">
              <w:t>Longitude</w:t>
            </w:r>
          </w:p>
        </w:tc>
        <w:tc>
          <w:tcPr>
            <w:tcW w:w="2058" w:type="dxa"/>
          </w:tcPr>
          <w:p w:rsidR="004B1046" w:rsidRPr="003C7190" w:rsidRDefault="004B1046" w:rsidP="00985F33">
            <w:pPr>
              <w:pStyle w:val="Tablehead"/>
            </w:pPr>
            <w:r w:rsidRPr="003C7190">
              <w:t>Notifying Administration</w:t>
            </w:r>
          </w:p>
        </w:tc>
        <w:tc>
          <w:tcPr>
            <w:tcW w:w="840" w:type="dxa"/>
          </w:tcPr>
          <w:p w:rsidR="004B1046" w:rsidRPr="003C7190" w:rsidRDefault="004B1046" w:rsidP="00985F33">
            <w:pPr>
              <w:pStyle w:val="Tablehead"/>
            </w:pPr>
            <w:r w:rsidRPr="003C7190">
              <w:t>Status</w:t>
            </w:r>
            <w:r w:rsidRPr="003C7190">
              <w:rPr>
                <w:rStyle w:val="FootnoteReference"/>
              </w:rPr>
              <w:footnoteReference w:id="1"/>
            </w:r>
          </w:p>
        </w:tc>
        <w:tc>
          <w:tcPr>
            <w:tcW w:w="4543" w:type="dxa"/>
            <w:gridSpan w:val="6"/>
            <w:tcBorders>
              <w:bottom w:val="single" w:sz="4" w:space="0" w:color="auto"/>
            </w:tcBorders>
          </w:tcPr>
          <w:p w:rsidR="004B1046" w:rsidRPr="003C7190" w:rsidRDefault="004B1046" w:rsidP="00985F33">
            <w:pPr>
              <w:pStyle w:val="Tablehead"/>
            </w:pPr>
            <w:r w:rsidRPr="003C7190">
              <w:t>Beam Name</w:t>
            </w:r>
          </w:p>
        </w:tc>
      </w:tr>
      <w:tr w:rsidR="004B1046" w:rsidRPr="00A40C32" w:rsidTr="00985F33">
        <w:trPr>
          <w:jc w:val="center"/>
        </w:trPr>
        <w:tc>
          <w:tcPr>
            <w:tcW w:w="1573" w:type="dxa"/>
          </w:tcPr>
          <w:p w:rsidR="004B1046" w:rsidRPr="00083501" w:rsidRDefault="004B1046" w:rsidP="00985F33">
            <w:pPr>
              <w:pStyle w:val="Tabletext"/>
              <w:rPr>
                <w:lang w:val="en-US"/>
              </w:rPr>
            </w:pPr>
            <w:r w:rsidRPr="00083501">
              <w:rPr>
                <w:lang w:val="en-US"/>
              </w:rPr>
              <w:t>AFRIBSS</w:t>
            </w:r>
          </w:p>
        </w:tc>
        <w:tc>
          <w:tcPr>
            <w:tcW w:w="1095" w:type="dxa"/>
          </w:tcPr>
          <w:p w:rsidR="004B1046" w:rsidRPr="00083501" w:rsidRDefault="004B1046" w:rsidP="00985F33">
            <w:pPr>
              <w:pStyle w:val="Tabletext"/>
              <w:rPr>
                <w:lang w:val="en-US"/>
              </w:rPr>
            </w:pPr>
            <w:r>
              <w:rPr>
                <w:lang w:val="en-US"/>
              </w:rPr>
              <w:t>21°E</w:t>
            </w:r>
          </w:p>
        </w:tc>
        <w:tc>
          <w:tcPr>
            <w:tcW w:w="2058" w:type="dxa"/>
          </w:tcPr>
          <w:p w:rsidR="004B1046" w:rsidRPr="00083501" w:rsidRDefault="004B1046" w:rsidP="00985F33">
            <w:pPr>
              <w:pStyle w:val="Tabletext"/>
              <w:rPr>
                <w:lang w:val="en-US"/>
              </w:rPr>
            </w:pPr>
            <w:r>
              <w:rPr>
                <w:lang w:val="en-US"/>
              </w:rPr>
              <w:t>USA</w:t>
            </w:r>
          </w:p>
        </w:tc>
        <w:tc>
          <w:tcPr>
            <w:tcW w:w="840" w:type="dxa"/>
            <w:tcBorders>
              <w:right w:val="single" w:sz="4" w:space="0" w:color="auto"/>
            </w:tcBorders>
          </w:tcPr>
          <w:p w:rsidR="004B1046" w:rsidRPr="00083501" w:rsidRDefault="004B1046" w:rsidP="00985F33">
            <w:pPr>
              <w:pStyle w:val="Tabletext"/>
              <w:rPr>
                <w:lang w:val="en-US"/>
              </w:rPr>
            </w:pPr>
            <w:r>
              <w:rPr>
                <w:lang w:val="en-US"/>
              </w:rPr>
              <w:t>N</w:t>
            </w:r>
          </w:p>
        </w:tc>
        <w:tc>
          <w:tcPr>
            <w:tcW w:w="870" w:type="dxa"/>
            <w:tcBorders>
              <w:top w:val="single" w:sz="4" w:space="0" w:color="auto"/>
              <w:left w:val="single" w:sz="4" w:space="0" w:color="auto"/>
              <w:bottom w:val="single" w:sz="4" w:space="0" w:color="auto"/>
              <w:right w:val="single" w:sz="4" w:space="0" w:color="auto"/>
            </w:tcBorders>
          </w:tcPr>
          <w:p w:rsidR="004B1046" w:rsidRPr="00083501" w:rsidRDefault="004B1046" w:rsidP="00985F33">
            <w:pPr>
              <w:pStyle w:val="Tabletext"/>
              <w:rPr>
                <w:lang w:val="en-US"/>
              </w:rPr>
            </w:pPr>
            <w:r w:rsidRPr="00083501">
              <w:rPr>
                <w:lang w:val="en-US"/>
              </w:rPr>
              <w:t>AD</w:t>
            </w:r>
          </w:p>
        </w:tc>
        <w:tc>
          <w:tcPr>
            <w:tcW w:w="831" w:type="dxa"/>
            <w:tcBorders>
              <w:top w:val="single" w:sz="4" w:space="0" w:color="auto"/>
              <w:left w:val="single" w:sz="4" w:space="0" w:color="auto"/>
              <w:bottom w:val="single" w:sz="4" w:space="0" w:color="auto"/>
              <w:right w:val="single" w:sz="4" w:space="0" w:color="auto"/>
            </w:tcBorders>
          </w:tcPr>
          <w:p w:rsidR="004B1046" w:rsidRPr="00083501" w:rsidRDefault="004B1046" w:rsidP="00985F33">
            <w:pPr>
              <w:pStyle w:val="Tabletext"/>
              <w:rPr>
                <w:lang w:val="en-US"/>
              </w:rPr>
            </w:pPr>
            <w:r w:rsidRPr="00083501">
              <w:rPr>
                <w:lang w:val="en-US"/>
              </w:rPr>
              <w:t>CD</w:t>
            </w:r>
          </w:p>
        </w:tc>
        <w:tc>
          <w:tcPr>
            <w:tcW w:w="716" w:type="dxa"/>
            <w:tcBorders>
              <w:top w:val="single" w:sz="4" w:space="0" w:color="auto"/>
              <w:left w:val="single" w:sz="4" w:space="0" w:color="auto"/>
              <w:bottom w:val="single" w:sz="4" w:space="0" w:color="auto"/>
              <w:right w:val="single" w:sz="4" w:space="0" w:color="auto"/>
            </w:tcBorders>
          </w:tcPr>
          <w:p w:rsidR="004B1046" w:rsidRPr="00083501" w:rsidRDefault="004B1046" w:rsidP="00985F33">
            <w:pPr>
              <w:pStyle w:val="Tabletext"/>
              <w:rPr>
                <w:lang w:val="en-US"/>
              </w:rPr>
            </w:pPr>
            <w:r w:rsidRPr="00083501">
              <w:rPr>
                <w:lang w:val="en-US"/>
              </w:rPr>
              <w:t>BD</w:t>
            </w:r>
          </w:p>
        </w:tc>
        <w:tc>
          <w:tcPr>
            <w:tcW w:w="708" w:type="dxa"/>
            <w:tcBorders>
              <w:top w:val="single" w:sz="4" w:space="0" w:color="auto"/>
              <w:left w:val="single" w:sz="4" w:space="0" w:color="auto"/>
              <w:bottom w:val="single" w:sz="4" w:space="0" w:color="auto"/>
              <w:right w:val="single" w:sz="4" w:space="0" w:color="auto"/>
            </w:tcBorders>
          </w:tcPr>
          <w:p w:rsidR="004B1046" w:rsidRPr="00083501" w:rsidRDefault="004B1046" w:rsidP="00985F33">
            <w:pPr>
              <w:pStyle w:val="Tabletext"/>
              <w:rPr>
                <w:lang w:val="en-US"/>
              </w:rPr>
            </w:pPr>
            <w:r w:rsidRPr="00083501">
              <w:rPr>
                <w:lang w:val="en-US"/>
              </w:rPr>
              <w:t>AD2</w:t>
            </w:r>
          </w:p>
        </w:tc>
        <w:tc>
          <w:tcPr>
            <w:tcW w:w="709" w:type="dxa"/>
            <w:tcBorders>
              <w:top w:val="single" w:sz="4" w:space="0" w:color="auto"/>
              <w:left w:val="single" w:sz="4" w:space="0" w:color="auto"/>
              <w:bottom w:val="single" w:sz="4" w:space="0" w:color="auto"/>
              <w:right w:val="single" w:sz="4" w:space="0" w:color="auto"/>
            </w:tcBorders>
          </w:tcPr>
          <w:p w:rsidR="004B1046" w:rsidRPr="00083501" w:rsidRDefault="004B1046" w:rsidP="00985F33">
            <w:pPr>
              <w:pStyle w:val="Tabletext"/>
              <w:rPr>
                <w:lang w:val="en-US"/>
              </w:rPr>
            </w:pPr>
            <w:r w:rsidRPr="00083501">
              <w:rPr>
                <w:lang w:val="en-US"/>
              </w:rPr>
              <w:t>CD2</w:t>
            </w:r>
          </w:p>
        </w:tc>
        <w:tc>
          <w:tcPr>
            <w:tcW w:w="709" w:type="dxa"/>
            <w:tcBorders>
              <w:top w:val="single" w:sz="4" w:space="0" w:color="auto"/>
              <w:left w:val="single" w:sz="4" w:space="0" w:color="auto"/>
              <w:bottom w:val="single" w:sz="4" w:space="0" w:color="auto"/>
              <w:right w:val="single" w:sz="4" w:space="0" w:color="auto"/>
            </w:tcBorders>
          </w:tcPr>
          <w:p w:rsidR="004B1046" w:rsidRPr="00083501" w:rsidRDefault="004B1046" w:rsidP="00985F33">
            <w:pPr>
              <w:pStyle w:val="Tabletext"/>
              <w:rPr>
                <w:lang w:val="en-US"/>
              </w:rPr>
            </w:pPr>
            <w:r w:rsidRPr="00083501">
              <w:rPr>
                <w:lang w:val="en-US"/>
              </w:rPr>
              <w:t>BD2</w:t>
            </w:r>
          </w:p>
        </w:tc>
      </w:tr>
      <w:tr w:rsidR="004B1046" w:rsidRPr="00A40C32" w:rsidTr="00985F33">
        <w:trPr>
          <w:jc w:val="center"/>
        </w:trPr>
        <w:tc>
          <w:tcPr>
            <w:tcW w:w="1573" w:type="dxa"/>
          </w:tcPr>
          <w:p w:rsidR="004B1046" w:rsidRPr="00083501" w:rsidRDefault="004B1046" w:rsidP="00985F33">
            <w:pPr>
              <w:pStyle w:val="Tabletext"/>
              <w:rPr>
                <w:lang w:val="en-US"/>
              </w:rPr>
            </w:pPr>
            <w:r w:rsidRPr="00083501">
              <w:rPr>
                <w:lang w:val="en-US"/>
              </w:rPr>
              <w:t>ASIABSS</w:t>
            </w:r>
          </w:p>
        </w:tc>
        <w:tc>
          <w:tcPr>
            <w:tcW w:w="1095" w:type="dxa"/>
          </w:tcPr>
          <w:p w:rsidR="004B1046" w:rsidRPr="00083501" w:rsidRDefault="004B1046" w:rsidP="00985F33">
            <w:pPr>
              <w:pStyle w:val="Tabletext"/>
              <w:rPr>
                <w:lang w:val="en-US"/>
              </w:rPr>
            </w:pPr>
            <w:r>
              <w:rPr>
                <w:lang w:val="en-US"/>
              </w:rPr>
              <w:t>105°E</w:t>
            </w:r>
          </w:p>
        </w:tc>
        <w:tc>
          <w:tcPr>
            <w:tcW w:w="2058" w:type="dxa"/>
          </w:tcPr>
          <w:p w:rsidR="004B1046" w:rsidRPr="00083501" w:rsidRDefault="004B1046" w:rsidP="00985F33">
            <w:pPr>
              <w:pStyle w:val="Tabletext"/>
              <w:rPr>
                <w:lang w:val="en-US"/>
              </w:rPr>
            </w:pPr>
            <w:r>
              <w:rPr>
                <w:lang w:val="en-US"/>
              </w:rPr>
              <w:t>Australia</w:t>
            </w:r>
          </w:p>
        </w:tc>
        <w:tc>
          <w:tcPr>
            <w:tcW w:w="840" w:type="dxa"/>
          </w:tcPr>
          <w:p w:rsidR="004B1046" w:rsidRPr="00083501" w:rsidRDefault="004B1046" w:rsidP="00985F33">
            <w:pPr>
              <w:pStyle w:val="Tabletext"/>
              <w:rPr>
                <w:lang w:val="en-US"/>
              </w:rPr>
            </w:pPr>
            <w:r>
              <w:rPr>
                <w:lang w:val="en-US"/>
              </w:rPr>
              <w:t>N</w:t>
            </w:r>
          </w:p>
        </w:tc>
        <w:tc>
          <w:tcPr>
            <w:tcW w:w="870" w:type="dxa"/>
            <w:tcBorders>
              <w:top w:val="single" w:sz="4" w:space="0" w:color="auto"/>
            </w:tcBorders>
          </w:tcPr>
          <w:p w:rsidR="004B1046" w:rsidRPr="00083501" w:rsidRDefault="004B1046" w:rsidP="00985F33">
            <w:pPr>
              <w:pStyle w:val="Tabletext"/>
              <w:rPr>
                <w:lang w:val="en-US"/>
              </w:rPr>
            </w:pPr>
            <w:r w:rsidRPr="00083501">
              <w:rPr>
                <w:lang w:val="en-US"/>
              </w:rPr>
              <w:t>AD</w:t>
            </w:r>
          </w:p>
        </w:tc>
        <w:tc>
          <w:tcPr>
            <w:tcW w:w="831" w:type="dxa"/>
            <w:tcBorders>
              <w:top w:val="single" w:sz="4" w:space="0" w:color="auto"/>
            </w:tcBorders>
          </w:tcPr>
          <w:p w:rsidR="004B1046" w:rsidRPr="00083501" w:rsidRDefault="004B1046" w:rsidP="00985F33">
            <w:pPr>
              <w:pStyle w:val="Tabletext"/>
              <w:rPr>
                <w:lang w:val="en-US"/>
              </w:rPr>
            </w:pPr>
            <w:r w:rsidRPr="00083501">
              <w:rPr>
                <w:lang w:val="en-US"/>
              </w:rPr>
              <w:t>CD</w:t>
            </w:r>
          </w:p>
        </w:tc>
        <w:tc>
          <w:tcPr>
            <w:tcW w:w="716" w:type="dxa"/>
            <w:tcBorders>
              <w:top w:val="single" w:sz="4" w:space="0" w:color="auto"/>
            </w:tcBorders>
          </w:tcPr>
          <w:p w:rsidR="004B1046" w:rsidRPr="00083501" w:rsidRDefault="004B1046" w:rsidP="00985F33">
            <w:pPr>
              <w:pStyle w:val="Tabletext"/>
              <w:rPr>
                <w:lang w:val="en-US"/>
              </w:rPr>
            </w:pPr>
            <w:r w:rsidRPr="00083501">
              <w:rPr>
                <w:lang w:val="en-US"/>
              </w:rPr>
              <w:t>BD</w:t>
            </w:r>
          </w:p>
        </w:tc>
        <w:tc>
          <w:tcPr>
            <w:tcW w:w="708" w:type="dxa"/>
            <w:tcBorders>
              <w:top w:val="single" w:sz="4" w:space="0" w:color="auto"/>
            </w:tcBorders>
          </w:tcPr>
          <w:p w:rsidR="004B1046" w:rsidRPr="00083501" w:rsidRDefault="004B1046" w:rsidP="00985F33">
            <w:pPr>
              <w:pStyle w:val="Tabletext"/>
              <w:rPr>
                <w:lang w:val="en-US"/>
              </w:rPr>
            </w:pPr>
          </w:p>
        </w:tc>
        <w:tc>
          <w:tcPr>
            <w:tcW w:w="709" w:type="dxa"/>
            <w:tcBorders>
              <w:top w:val="single" w:sz="4" w:space="0" w:color="auto"/>
            </w:tcBorders>
          </w:tcPr>
          <w:p w:rsidR="004B1046" w:rsidRPr="00083501" w:rsidRDefault="004B1046" w:rsidP="00985F33">
            <w:pPr>
              <w:pStyle w:val="Tabletext"/>
              <w:rPr>
                <w:lang w:val="en-US"/>
              </w:rPr>
            </w:pPr>
          </w:p>
        </w:tc>
        <w:tc>
          <w:tcPr>
            <w:tcW w:w="709" w:type="dxa"/>
            <w:tcBorders>
              <w:top w:val="single" w:sz="4" w:space="0" w:color="auto"/>
            </w:tcBorders>
          </w:tcPr>
          <w:p w:rsidR="004B1046" w:rsidRPr="00083501" w:rsidRDefault="004B1046" w:rsidP="00985F33">
            <w:pPr>
              <w:pStyle w:val="Tabletext"/>
              <w:rPr>
                <w:lang w:val="en-US"/>
              </w:rPr>
            </w:pPr>
          </w:p>
        </w:tc>
      </w:tr>
      <w:tr w:rsidR="004B1046" w:rsidRPr="00A40C32" w:rsidTr="00985F33">
        <w:trPr>
          <w:trHeight w:val="3020"/>
          <w:jc w:val="center"/>
        </w:trPr>
        <w:tc>
          <w:tcPr>
            <w:tcW w:w="1573" w:type="dxa"/>
            <w:shd w:val="clear" w:color="auto" w:fill="auto"/>
          </w:tcPr>
          <w:p w:rsidR="004B1046" w:rsidRPr="00083501" w:rsidRDefault="004B1046" w:rsidP="00985F33">
            <w:pPr>
              <w:pStyle w:val="Tabletext"/>
              <w:rPr>
                <w:lang w:val="en-US"/>
              </w:rPr>
            </w:pPr>
            <w:r>
              <w:rPr>
                <w:lang w:val="en-US"/>
              </w:rPr>
              <w:t>CHINASAT-xx</w:t>
            </w:r>
          </w:p>
        </w:tc>
        <w:tc>
          <w:tcPr>
            <w:tcW w:w="1095" w:type="dxa"/>
          </w:tcPr>
          <w:p w:rsidR="004B1046" w:rsidRPr="004B1046" w:rsidRDefault="004B1046" w:rsidP="00985F33">
            <w:pPr>
              <w:pStyle w:val="Tabletext"/>
              <w:rPr>
                <w:lang w:val="es-ES"/>
              </w:rPr>
            </w:pPr>
            <w:r w:rsidRPr="004B1046">
              <w:rPr>
                <w:lang w:val="es-ES"/>
              </w:rPr>
              <w:t>92.2°E</w:t>
            </w:r>
          </w:p>
          <w:p w:rsidR="004B1046" w:rsidRPr="004B1046" w:rsidRDefault="004B1046" w:rsidP="00985F33">
            <w:pPr>
              <w:pStyle w:val="Tabletext"/>
              <w:rPr>
                <w:lang w:val="es-ES"/>
              </w:rPr>
            </w:pPr>
            <w:r w:rsidRPr="004B1046">
              <w:rPr>
                <w:lang w:val="es-ES"/>
              </w:rPr>
              <w:t>87.5°E</w:t>
            </w:r>
          </w:p>
          <w:p w:rsidR="004B1046" w:rsidRPr="004B1046" w:rsidRDefault="004B1046" w:rsidP="00985F33">
            <w:pPr>
              <w:pStyle w:val="Tabletext"/>
              <w:rPr>
                <w:lang w:val="es-ES"/>
              </w:rPr>
            </w:pPr>
            <w:r w:rsidRPr="004B1046">
              <w:rPr>
                <w:lang w:val="es-ES"/>
              </w:rPr>
              <w:t>126°E</w:t>
            </w:r>
          </w:p>
          <w:p w:rsidR="004B1046" w:rsidRPr="004B1046" w:rsidRDefault="004B1046" w:rsidP="00985F33">
            <w:pPr>
              <w:pStyle w:val="Tabletext"/>
              <w:rPr>
                <w:lang w:val="es-ES"/>
              </w:rPr>
            </w:pPr>
            <w:r w:rsidRPr="004B1046">
              <w:rPr>
                <w:lang w:val="es-ES"/>
              </w:rPr>
              <w:t>136°E</w:t>
            </w:r>
          </w:p>
          <w:p w:rsidR="004B1046" w:rsidRPr="004B1046" w:rsidRDefault="004B1046" w:rsidP="00985F33">
            <w:pPr>
              <w:pStyle w:val="Tabletext"/>
              <w:rPr>
                <w:lang w:val="es-ES"/>
              </w:rPr>
            </w:pPr>
            <w:r w:rsidRPr="004B1046">
              <w:rPr>
                <w:lang w:val="es-ES"/>
              </w:rPr>
              <w:t>163°E</w:t>
            </w:r>
          </w:p>
          <w:p w:rsidR="004B1046" w:rsidRPr="004B1046" w:rsidRDefault="004B1046" w:rsidP="00985F33">
            <w:pPr>
              <w:pStyle w:val="Tabletext"/>
              <w:rPr>
                <w:lang w:val="es-ES"/>
              </w:rPr>
            </w:pPr>
            <w:r w:rsidRPr="004B1046">
              <w:rPr>
                <w:lang w:val="es-ES"/>
              </w:rPr>
              <w:t>51.5°E</w:t>
            </w:r>
          </w:p>
          <w:p w:rsidR="004B1046" w:rsidRPr="004B1046" w:rsidRDefault="004B1046" w:rsidP="00985F33">
            <w:pPr>
              <w:pStyle w:val="Tabletext"/>
              <w:rPr>
                <w:lang w:val="es-ES"/>
              </w:rPr>
            </w:pPr>
            <w:r w:rsidRPr="004B1046">
              <w:rPr>
                <w:lang w:val="es-ES"/>
              </w:rPr>
              <w:t>110.5°E</w:t>
            </w:r>
          </w:p>
          <w:p w:rsidR="004B1046" w:rsidRPr="004B1046" w:rsidRDefault="004B1046" w:rsidP="00985F33">
            <w:pPr>
              <w:pStyle w:val="Tabletext"/>
              <w:rPr>
                <w:lang w:val="es-ES"/>
              </w:rPr>
            </w:pPr>
            <w:r w:rsidRPr="004B1046">
              <w:rPr>
                <w:lang w:val="es-ES"/>
              </w:rPr>
              <w:t>125°E</w:t>
            </w:r>
          </w:p>
          <w:p w:rsidR="004B1046" w:rsidRPr="004B1046" w:rsidRDefault="004B1046" w:rsidP="00985F33">
            <w:pPr>
              <w:pStyle w:val="Tabletext"/>
              <w:rPr>
                <w:lang w:val="es-ES"/>
              </w:rPr>
            </w:pPr>
            <w:r w:rsidRPr="004B1046">
              <w:rPr>
                <w:lang w:val="es-ES"/>
              </w:rPr>
              <w:t>163°E</w:t>
            </w:r>
          </w:p>
          <w:p w:rsidR="004B1046" w:rsidRPr="004B1046" w:rsidRDefault="004B1046" w:rsidP="00985F33">
            <w:pPr>
              <w:pStyle w:val="Tabletext"/>
              <w:rPr>
                <w:lang w:val="es-ES"/>
              </w:rPr>
            </w:pPr>
            <w:r w:rsidRPr="004B1046">
              <w:rPr>
                <w:lang w:val="es-ES"/>
              </w:rPr>
              <w:t>87.5°E</w:t>
            </w:r>
          </w:p>
          <w:p w:rsidR="004B1046" w:rsidRPr="004B1046" w:rsidRDefault="004B1046" w:rsidP="00985F33">
            <w:pPr>
              <w:pStyle w:val="Tabletext"/>
              <w:rPr>
                <w:lang w:val="es-ES"/>
              </w:rPr>
            </w:pPr>
            <w:r w:rsidRPr="004B1046">
              <w:rPr>
                <w:lang w:val="es-ES"/>
              </w:rPr>
              <w:t>115.5°E</w:t>
            </w:r>
          </w:p>
        </w:tc>
        <w:tc>
          <w:tcPr>
            <w:tcW w:w="2058" w:type="dxa"/>
          </w:tcPr>
          <w:p w:rsidR="004B1046" w:rsidRPr="00083501" w:rsidRDefault="004B1046" w:rsidP="00985F33">
            <w:pPr>
              <w:pStyle w:val="Tabletext"/>
              <w:rPr>
                <w:lang w:val="en-US"/>
              </w:rPr>
            </w:pPr>
            <w:r>
              <w:rPr>
                <w:lang w:val="en-US"/>
              </w:rPr>
              <w:t>China</w:t>
            </w:r>
          </w:p>
        </w:tc>
        <w:tc>
          <w:tcPr>
            <w:tcW w:w="840" w:type="dxa"/>
          </w:tcPr>
          <w:p w:rsidR="004B1046" w:rsidRPr="00765D06" w:rsidRDefault="004B1046" w:rsidP="00985F33">
            <w:pPr>
              <w:pStyle w:val="Tabletext"/>
              <w:rPr>
                <w:lang w:val="de-DE"/>
              </w:rPr>
            </w:pPr>
            <w:r w:rsidRPr="00765D06">
              <w:rPr>
                <w:lang w:val="de-DE"/>
              </w:rPr>
              <w:t>N</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p w:rsidR="004B1046" w:rsidRPr="00765D06" w:rsidRDefault="004B1046" w:rsidP="00985F33">
            <w:pPr>
              <w:pStyle w:val="Tabletext"/>
              <w:rPr>
                <w:lang w:val="de-DE"/>
              </w:rPr>
            </w:pPr>
            <w:r w:rsidRPr="00765D06">
              <w:rPr>
                <w:lang w:val="de-DE"/>
              </w:rPr>
              <w:t>C</w:t>
            </w:r>
          </w:p>
        </w:tc>
        <w:tc>
          <w:tcPr>
            <w:tcW w:w="870" w:type="dxa"/>
          </w:tcPr>
          <w:p w:rsidR="004B1046" w:rsidRPr="00765D06" w:rsidRDefault="004B1046" w:rsidP="00985F33">
            <w:pPr>
              <w:pStyle w:val="Tabletext"/>
              <w:rPr>
                <w:lang w:val="de-DE"/>
              </w:rPr>
            </w:pPr>
            <w:r w:rsidRPr="00765D06">
              <w:rPr>
                <w:lang w:val="de-DE"/>
              </w:rPr>
              <w:t>LDCN</w:t>
            </w:r>
          </w:p>
          <w:p w:rsidR="004B1046" w:rsidRPr="00765D06" w:rsidRDefault="004B1046" w:rsidP="00985F33">
            <w:pPr>
              <w:pStyle w:val="Tabletext"/>
              <w:rPr>
                <w:lang w:val="de-DE"/>
              </w:rPr>
            </w:pPr>
            <w:r w:rsidRPr="00765D06">
              <w:rPr>
                <w:lang w:val="de-DE"/>
              </w:rPr>
              <w:t>LD1R</w:t>
            </w:r>
          </w:p>
          <w:p w:rsidR="004B1046" w:rsidRPr="00765D06" w:rsidRDefault="004B1046" w:rsidP="00985F33">
            <w:pPr>
              <w:pStyle w:val="Tabletext"/>
              <w:rPr>
                <w:lang w:val="de-DE"/>
              </w:rPr>
            </w:pPr>
            <w:r w:rsidRPr="00765D06">
              <w:rPr>
                <w:lang w:val="de-DE"/>
              </w:rPr>
              <w:t>LBDR</w:t>
            </w:r>
          </w:p>
          <w:p w:rsidR="004B1046" w:rsidRPr="00765D06" w:rsidRDefault="004B1046" w:rsidP="00985F33">
            <w:pPr>
              <w:pStyle w:val="Tabletext"/>
              <w:rPr>
                <w:lang w:val="de-DE"/>
              </w:rPr>
            </w:pPr>
            <w:r w:rsidRPr="00765D06">
              <w:rPr>
                <w:lang w:val="de-DE"/>
              </w:rPr>
              <w:t>LBDR</w:t>
            </w:r>
          </w:p>
          <w:p w:rsidR="004B1046" w:rsidRPr="00765D06" w:rsidRDefault="004B1046" w:rsidP="00985F33">
            <w:pPr>
              <w:pStyle w:val="Tabletext"/>
              <w:rPr>
                <w:lang w:val="de-DE"/>
              </w:rPr>
            </w:pPr>
            <w:r w:rsidRPr="00765D06">
              <w:rPr>
                <w:lang w:val="de-DE"/>
              </w:rPr>
              <w:t>LDR</w:t>
            </w:r>
          </w:p>
          <w:p w:rsidR="004B1046" w:rsidRPr="00765D06" w:rsidRDefault="004B1046" w:rsidP="00985F33">
            <w:pPr>
              <w:pStyle w:val="Tabletext"/>
              <w:rPr>
                <w:lang w:val="de-DE"/>
              </w:rPr>
            </w:pPr>
            <w:r w:rsidRPr="00765D06">
              <w:rPr>
                <w:lang w:val="de-DE"/>
              </w:rPr>
              <w:t>LDR</w:t>
            </w:r>
          </w:p>
          <w:p w:rsidR="004B1046" w:rsidRPr="00765D06" w:rsidRDefault="004B1046" w:rsidP="00985F33">
            <w:pPr>
              <w:pStyle w:val="Tabletext"/>
              <w:rPr>
                <w:lang w:val="de-DE"/>
              </w:rPr>
            </w:pPr>
            <w:r w:rsidRPr="00765D06">
              <w:rPr>
                <w:lang w:val="de-DE"/>
              </w:rPr>
              <w:t>LBDG</w:t>
            </w:r>
          </w:p>
          <w:p w:rsidR="004B1046" w:rsidRPr="00765D06" w:rsidRDefault="004B1046" w:rsidP="00985F33">
            <w:pPr>
              <w:pStyle w:val="Tabletext"/>
              <w:rPr>
                <w:lang w:val="de-DE"/>
              </w:rPr>
            </w:pPr>
            <w:r w:rsidRPr="00765D06">
              <w:rPr>
                <w:lang w:val="de-DE"/>
              </w:rPr>
              <w:t>LBDG</w:t>
            </w:r>
          </w:p>
          <w:p w:rsidR="004B1046" w:rsidRPr="00765D06" w:rsidRDefault="004B1046" w:rsidP="00985F33">
            <w:pPr>
              <w:pStyle w:val="Tabletext"/>
              <w:rPr>
                <w:lang w:val="de-DE"/>
              </w:rPr>
            </w:pPr>
            <w:r w:rsidRPr="00765D06">
              <w:rPr>
                <w:lang w:val="de-DE"/>
              </w:rPr>
              <w:t>LBDG</w:t>
            </w:r>
          </w:p>
          <w:p w:rsidR="004B1046" w:rsidRPr="00765D06" w:rsidRDefault="004B1046" w:rsidP="00985F33">
            <w:pPr>
              <w:pStyle w:val="Tabletext"/>
              <w:rPr>
                <w:lang w:val="de-DE"/>
              </w:rPr>
            </w:pPr>
            <w:r w:rsidRPr="00765D06">
              <w:rPr>
                <w:lang w:val="de-DE"/>
              </w:rPr>
              <w:t>LBDG</w:t>
            </w:r>
          </w:p>
          <w:p w:rsidR="004B1046" w:rsidRPr="00765D06" w:rsidRDefault="004B1046" w:rsidP="00985F33">
            <w:pPr>
              <w:pStyle w:val="Tabletext"/>
              <w:rPr>
                <w:lang w:val="de-DE"/>
              </w:rPr>
            </w:pPr>
            <w:r w:rsidRPr="00765D06">
              <w:rPr>
                <w:lang w:val="de-DE"/>
              </w:rPr>
              <w:t>LBDR</w:t>
            </w:r>
          </w:p>
        </w:tc>
        <w:tc>
          <w:tcPr>
            <w:tcW w:w="831" w:type="dxa"/>
          </w:tcPr>
          <w:p w:rsidR="004B1046" w:rsidRPr="00765D06" w:rsidRDefault="004B1046" w:rsidP="00985F33">
            <w:pPr>
              <w:pStyle w:val="Tabletext"/>
              <w:rPr>
                <w:lang w:val="de-DE"/>
              </w:rPr>
            </w:pPr>
          </w:p>
          <w:p w:rsidR="004B1046" w:rsidRPr="00765D06" w:rsidRDefault="004B1046" w:rsidP="00985F33">
            <w:pPr>
              <w:pStyle w:val="Tabletext"/>
              <w:rPr>
                <w:lang w:val="de-DE"/>
              </w:rPr>
            </w:pPr>
            <w:r w:rsidRPr="00765D06">
              <w:rPr>
                <w:lang w:val="de-DE"/>
              </w:rPr>
              <w:t>LD2R</w:t>
            </w:r>
          </w:p>
          <w:p w:rsidR="004B1046" w:rsidRPr="00765D06" w:rsidRDefault="004B1046" w:rsidP="00985F33">
            <w:pPr>
              <w:pStyle w:val="Tabletext"/>
              <w:rPr>
                <w:lang w:val="de-DE"/>
              </w:rPr>
            </w:pPr>
          </w:p>
          <w:p w:rsidR="004B1046" w:rsidRPr="00765D06" w:rsidRDefault="004B1046" w:rsidP="00985F33">
            <w:pPr>
              <w:pStyle w:val="Tabletext"/>
              <w:rPr>
                <w:lang w:val="de-DE"/>
              </w:rPr>
            </w:pPr>
          </w:p>
          <w:p w:rsidR="004B1046" w:rsidRPr="00765D06" w:rsidRDefault="004B1046" w:rsidP="00985F33">
            <w:pPr>
              <w:pStyle w:val="Tabletext"/>
              <w:rPr>
                <w:lang w:val="de-DE"/>
              </w:rPr>
            </w:pPr>
          </w:p>
          <w:p w:rsidR="004B1046" w:rsidRPr="00765D06" w:rsidRDefault="004B1046" w:rsidP="00985F33">
            <w:pPr>
              <w:pStyle w:val="Tabletext"/>
              <w:rPr>
                <w:lang w:val="de-DE"/>
              </w:rPr>
            </w:pPr>
          </w:p>
          <w:p w:rsidR="004B1046" w:rsidRPr="00765D06" w:rsidRDefault="004B1046" w:rsidP="00985F33">
            <w:pPr>
              <w:pStyle w:val="Tabletext"/>
              <w:rPr>
                <w:lang w:val="de-DE"/>
              </w:rPr>
            </w:pPr>
            <w:r w:rsidRPr="00765D06">
              <w:rPr>
                <w:lang w:val="de-DE"/>
              </w:rPr>
              <w:t>LBDR</w:t>
            </w:r>
          </w:p>
          <w:p w:rsidR="004B1046" w:rsidRPr="00765D06" w:rsidRDefault="004B1046" w:rsidP="00985F33">
            <w:pPr>
              <w:pStyle w:val="Tabletext"/>
              <w:rPr>
                <w:lang w:val="de-DE"/>
              </w:rPr>
            </w:pPr>
            <w:r w:rsidRPr="00765D06">
              <w:rPr>
                <w:lang w:val="de-DE"/>
              </w:rPr>
              <w:t>LBDR</w:t>
            </w:r>
          </w:p>
          <w:p w:rsidR="004B1046" w:rsidRPr="00765D06" w:rsidRDefault="004B1046" w:rsidP="00985F33">
            <w:pPr>
              <w:pStyle w:val="Tabletext"/>
              <w:rPr>
                <w:lang w:val="de-DE"/>
              </w:rPr>
            </w:pPr>
            <w:r w:rsidRPr="00765D06">
              <w:rPr>
                <w:lang w:val="de-DE"/>
              </w:rPr>
              <w:t>LBDR</w:t>
            </w:r>
          </w:p>
          <w:p w:rsidR="004B1046" w:rsidRPr="00765D06" w:rsidRDefault="004B1046" w:rsidP="00985F33">
            <w:pPr>
              <w:pStyle w:val="Tabletext"/>
              <w:rPr>
                <w:lang w:val="de-DE"/>
              </w:rPr>
            </w:pPr>
            <w:r w:rsidRPr="00765D06">
              <w:rPr>
                <w:lang w:val="de-DE"/>
              </w:rPr>
              <w:t>LBDR</w:t>
            </w:r>
          </w:p>
        </w:tc>
        <w:tc>
          <w:tcPr>
            <w:tcW w:w="716" w:type="dxa"/>
          </w:tcPr>
          <w:p w:rsidR="004B1046" w:rsidRPr="00765D06" w:rsidRDefault="004B1046" w:rsidP="00985F33">
            <w:pPr>
              <w:pStyle w:val="Tabletext"/>
              <w:rPr>
                <w:lang w:val="de-DE"/>
              </w:rPr>
            </w:pPr>
          </w:p>
          <w:p w:rsidR="004B1046" w:rsidRPr="00083501" w:rsidRDefault="004B1046" w:rsidP="00985F33">
            <w:pPr>
              <w:pStyle w:val="Tabletext"/>
              <w:rPr>
                <w:lang w:val="en-US"/>
              </w:rPr>
            </w:pPr>
            <w:r>
              <w:rPr>
                <w:lang w:val="en-US"/>
              </w:rPr>
              <w:t>LD3R</w:t>
            </w:r>
          </w:p>
        </w:tc>
        <w:tc>
          <w:tcPr>
            <w:tcW w:w="708"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r>
      <w:tr w:rsidR="004B1046" w:rsidRPr="00A40C32" w:rsidTr="00985F33">
        <w:trPr>
          <w:jc w:val="center"/>
        </w:trPr>
        <w:tc>
          <w:tcPr>
            <w:tcW w:w="1573" w:type="dxa"/>
          </w:tcPr>
          <w:p w:rsidR="004B1046" w:rsidRPr="00083501" w:rsidRDefault="004B1046" w:rsidP="00985F33">
            <w:pPr>
              <w:pStyle w:val="Tabletext"/>
              <w:rPr>
                <w:lang w:val="en-US"/>
              </w:rPr>
            </w:pPr>
            <w:r w:rsidRPr="004F1137">
              <w:rPr>
                <w:sz w:val="22"/>
                <w:lang w:val="en-US"/>
              </w:rPr>
              <w:t>DFH</w:t>
            </w:r>
            <w:r w:rsidRPr="00083501">
              <w:rPr>
                <w:lang w:val="en-US"/>
              </w:rPr>
              <w:t>-3-OC M</w:t>
            </w:r>
          </w:p>
        </w:tc>
        <w:tc>
          <w:tcPr>
            <w:tcW w:w="1095" w:type="dxa"/>
          </w:tcPr>
          <w:p w:rsidR="004B1046" w:rsidRPr="00083501" w:rsidRDefault="004B1046" w:rsidP="00985F33">
            <w:pPr>
              <w:pStyle w:val="Tabletext"/>
              <w:rPr>
                <w:lang w:val="en-US"/>
              </w:rPr>
            </w:pPr>
            <w:r>
              <w:rPr>
                <w:lang w:val="en-US"/>
              </w:rPr>
              <w:t>87.5°E</w:t>
            </w:r>
          </w:p>
        </w:tc>
        <w:tc>
          <w:tcPr>
            <w:tcW w:w="2058" w:type="dxa"/>
          </w:tcPr>
          <w:p w:rsidR="004B1046" w:rsidRPr="00083501" w:rsidRDefault="004B1046" w:rsidP="00985F33">
            <w:pPr>
              <w:pStyle w:val="Tabletext"/>
              <w:rPr>
                <w:lang w:val="en-US"/>
              </w:rPr>
            </w:pPr>
            <w:r>
              <w:rPr>
                <w:lang w:val="en-US"/>
              </w:rPr>
              <w:t>China</w:t>
            </w:r>
          </w:p>
        </w:tc>
        <w:tc>
          <w:tcPr>
            <w:tcW w:w="840" w:type="dxa"/>
          </w:tcPr>
          <w:p w:rsidR="004B1046" w:rsidRPr="00083501" w:rsidRDefault="004B1046" w:rsidP="00985F33">
            <w:pPr>
              <w:pStyle w:val="Tabletext"/>
              <w:rPr>
                <w:lang w:val="en-US"/>
              </w:rPr>
            </w:pPr>
            <w:r>
              <w:rPr>
                <w:lang w:val="en-US"/>
              </w:rPr>
              <w:t>N</w:t>
            </w:r>
          </w:p>
        </w:tc>
        <w:tc>
          <w:tcPr>
            <w:tcW w:w="870" w:type="dxa"/>
          </w:tcPr>
          <w:p w:rsidR="004B1046" w:rsidRPr="00083501" w:rsidRDefault="004B1046" w:rsidP="00985F33">
            <w:pPr>
              <w:pStyle w:val="Tabletext"/>
              <w:rPr>
                <w:lang w:val="en-US"/>
              </w:rPr>
            </w:pPr>
            <w:r w:rsidRPr="00083501">
              <w:rPr>
                <w:lang w:val="en-US"/>
              </w:rPr>
              <w:t>EL1</w:t>
            </w:r>
          </w:p>
        </w:tc>
        <w:tc>
          <w:tcPr>
            <w:tcW w:w="831" w:type="dxa"/>
          </w:tcPr>
          <w:p w:rsidR="004B1046" w:rsidRPr="00083501" w:rsidRDefault="004B1046" w:rsidP="00985F33">
            <w:pPr>
              <w:pStyle w:val="Tabletext"/>
              <w:rPr>
                <w:lang w:val="en-US"/>
              </w:rPr>
            </w:pPr>
          </w:p>
        </w:tc>
        <w:tc>
          <w:tcPr>
            <w:tcW w:w="716" w:type="dxa"/>
          </w:tcPr>
          <w:p w:rsidR="004B1046" w:rsidRPr="00083501" w:rsidRDefault="004B1046" w:rsidP="00985F33">
            <w:pPr>
              <w:pStyle w:val="Tabletext"/>
              <w:rPr>
                <w:lang w:val="en-US"/>
              </w:rPr>
            </w:pPr>
          </w:p>
        </w:tc>
        <w:tc>
          <w:tcPr>
            <w:tcW w:w="708"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r>
      <w:tr w:rsidR="004B1046" w:rsidTr="00985F33">
        <w:trPr>
          <w:jc w:val="center"/>
        </w:trPr>
        <w:tc>
          <w:tcPr>
            <w:tcW w:w="1573" w:type="dxa"/>
          </w:tcPr>
          <w:p w:rsidR="004B1046" w:rsidRPr="00083501" w:rsidRDefault="004B1046" w:rsidP="00985F33">
            <w:pPr>
              <w:pStyle w:val="Tabletext"/>
              <w:rPr>
                <w:lang w:val="en-US"/>
              </w:rPr>
            </w:pPr>
            <w:r w:rsidRPr="00083501">
              <w:rPr>
                <w:lang w:val="en-US"/>
              </w:rPr>
              <w:t>SADKO</w:t>
            </w:r>
          </w:p>
        </w:tc>
        <w:tc>
          <w:tcPr>
            <w:tcW w:w="1095" w:type="dxa"/>
          </w:tcPr>
          <w:p w:rsidR="004B1046" w:rsidRPr="00083501" w:rsidRDefault="004B1046" w:rsidP="00985F33">
            <w:pPr>
              <w:pStyle w:val="Tabletext"/>
              <w:rPr>
                <w:lang w:val="en-US"/>
              </w:rPr>
            </w:pPr>
            <w:r>
              <w:rPr>
                <w:lang w:val="en-US"/>
              </w:rPr>
              <w:t>85.4°E</w:t>
            </w:r>
          </w:p>
        </w:tc>
        <w:tc>
          <w:tcPr>
            <w:tcW w:w="2058" w:type="dxa"/>
          </w:tcPr>
          <w:p w:rsidR="004B1046" w:rsidRPr="00083501" w:rsidRDefault="004B1046" w:rsidP="00985F33">
            <w:pPr>
              <w:pStyle w:val="Tabletext"/>
              <w:rPr>
                <w:lang w:val="en-US"/>
              </w:rPr>
            </w:pPr>
            <w:r>
              <w:rPr>
                <w:lang w:val="en-US"/>
              </w:rPr>
              <w:t>Russian Federation</w:t>
            </w:r>
          </w:p>
        </w:tc>
        <w:tc>
          <w:tcPr>
            <w:tcW w:w="840" w:type="dxa"/>
          </w:tcPr>
          <w:p w:rsidR="004B1046" w:rsidRPr="00083501" w:rsidRDefault="004B1046" w:rsidP="00985F33">
            <w:pPr>
              <w:pStyle w:val="Tabletext"/>
              <w:rPr>
                <w:lang w:val="en-US"/>
              </w:rPr>
            </w:pPr>
            <w:r>
              <w:rPr>
                <w:lang w:val="en-US"/>
              </w:rPr>
              <w:t>N</w:t>
            </w:r>
          </w:p>
        </w:tc>
        <w:tc>
          <w:tcPr>
            <w:tcW w:w="870" w:type="dxa"/>
          </w:tcPr>
          <w:p w:rsidR="004B1046" w:rsidRPr="00083501" w:rsidRDefault="004B1046" w:rsidP="00985F33">
            <w:pPr>
              <w:pStyle w:val="Tabletext"/>
              <w:rPr>
                <w:lang w:val="en-US"/>
              </w:rPr>
            </w:pPr>
            <w:r w:rsidRPr="00083501">
              <w:rPr>
                <w:lang w:val="en-US"/>
              </w:rPr>
              <w:t>LEBR</w:t>
            </w:r>
          </w:p>
        </w:tc>
        <w:tc>
          <w:tcPr>
            <w:tcW w:w="831" w:type="dxa"/>
          </w:tcPr>
          <w:p w:rsidR="004B1046" w:rsidRPr="00083501" w:rsidRDefault="004B1046" w:rsidP="00985F33">
            <w:pPr>
              <w:pStyle w:val="Tabletext"/>
              <w:rPr>
                <w:lang w:val="en-US"/>
              </w:rPr>
            </w:pPr>
          </w:p>
        </w:tc>
        <w:tc>
          <w:tcPr>
            <w:tcW w:w="716" w:type="dxa"/>
          </w:tcPr>
          <w:p w:rsidR="004B1046" w:rsidRPr="00083501" w:rsidRDefault="004B1046" w:rsidP="00985F33">
            <w:pPr>
              <w:pStyle w:val="Tabletext"/>
              <w:rPr>
                <w:lang w:val="en-US"/>
              </w:rPr>
            </w:pPr>
          </w:p>
        </w:tc>
        <w:tc>
          <w:tcPr>
            <w:tcW w:w="708"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r>
      <w:tr w:rsidR="004B1046" w:rsidTr="00985F33">
        <w:trPr>
          <w:jc w:val="center"/>
        </w:trPr>
        <w:tc>
          <w:tcPr>
            <w:tcW w:w="1573" w:type="dxa"/>
          </w:tcPr>
          <w:p w:rsidR="004B1046" w:rsidRPr="00DD6827" w:rsidRDefault="004B1046" w:rsidP="00985F33">
            <w:pPr>
              <w:pStyle w:val="Tabletext"/>
              <w:rPr>
                <w:sz w:val="22"/>
                <w:lang w:val="en-US"/>
              </w:rPr>
            </w:pPr>
            <w:r w:rsidRPr="00DD6827">
              <w:rPr>
                <w:sz w:val="22"/>
                <w:lang w:val="en-US"/>
              </w:rPr>
              <w:t>INDOSTAR-1</w:t>
            </w:r>
          </w:p>
          <w:p w:rsidR="004B1046" w:rsidRPr="00DD6827" w:rsidRDefault="004B1046" w:rsidP="00985F33">
            <w:pPr>
              <w:pStyle w:val="Tabletext"/>
              <w:rPr>
                <w:sz w:val="22"/>
                <w:lang w:val="en-US"/>
              </w:rPr>
            </w:pPr>
            <w:r w:rsidRPr="00DD6827">
              <w:rPr>
                <w:sz w:val="22"/>
                <w:lang w:val="en-US"/>
              </w:rPr>
              <w:lastRenderedPageBreak/>
              <w:t>INDOSTAR-2</w:t>
            </w:r>
          </w:p>
          <w:p w:rsidR="004B1046" w:rsidRPr="00712AE5" w:rsidRDefault="004B1046" w:rsidP="00985F33">
            <w:pPr>
              <w:pStyle w:val="Tabletext"/>
              <w:rPr>
                <w:lang w:val="en-US"/>
              </w:rPr>
            </w:pPr>
            <w:r w:rsidRPr="00DD6827">
              <w:rPr>
                <w:sz w:val="22"/>
                <w:lang w:val="en-US"/>
              </w:rPr>
              <w:t>INDOSTAR</w:t>
            </w:r>
            <w:r w:rsidRPr="00712AE5">
              <w:rPr>
                <w:lang w:val="en-US"/>
              </w:rPr>
              <w:t>-3</w:t>
            </w:r>
          </w:p>
          <w:p w:rsidR="004B1046" w:rsidRPr="00083501" w:rsidRDefault="004B1046" w:rsidP="00985F33">
            <w:pPr>
              <w:pStyle w:val="Tabletext"/>
              <w:rPr>
                <w:lang w:val="en-US"/>
              </w:rPr>
            </w:pPr>
            <w:r w:rsidRPr="00DD6827">
              <w:rPr>
                <w:sz w:val="22"/>
                <w:lang w:val="en-US"/>
              </w:rPr>
              <w:t>INDOSTAR</w:t>
            </w:r>
            <w:r w:rsidRPr="00712AE5">
              <w:rPr>
                <w:lang w:val="en-US"/>
              </w:rPr>
              <w:t>-4</w:t>
            </w:r>
          </w:p>
        </w:tc>
        <w:tc>
          <w:tcPr>
            <w:tcW w:w="1095" w:type="dxa"/>
          </w:tcPr>
          <w:p w:rsidR="004B1046" w:rsidRDefault="004B1046" w:rsidP="00985F33">
            <w:pPr>
              <w:pStyle w:val="Tabletext"/>
              <w:rPr>
                <w:lang w:val="en-US"/>
              </w:rPr>
            </w:pPr>
            <w:r>
              <w:rPr>
                <w:lang w:val="en-US"/>
              </w:rPr>
              <w:lastRenderedPageBreak/>
              <w:t>107.7°E</w:t>
            </w:r>
          </w:p>
          <w:p w:rsidR="004B1046" w:rsidRDefault="004B1046" w:rsidP="00985F33">
            <w:pPr>
              <w:pStyle w:val="Tabletext"/>
              <w:rPr>
                <w:lang w:val="en-US"/>
              </w:rPr>
            </w:pPr>
            <w:r>
              <w:rPr>
                <w:lang w:val="en-US"/>
              </w:rPr>
              <w:t>119.1°E</w:t>
            </w:r>
          </w:p>
          <w:p w:rsidR="004B1046" w:rsidRDefault="004B1046" w:rsidP="00985F33">
            <w:pPr>
              <w:pStyle w:val="Tabletext"/>
              <w:rPr>
                <w:lang w:val="en-US"/>
              </w:rPr>
            </w:pPr>
            <w:r>
              <w:rPr>
                <w:lang w:val="en-US"/>
              </w:rPr>
              <w:t>107.5°E</w:t>
            </w:r>
          </w:p>
          <w:p w:rsidR="004B1046" w:rsidRPr="00083501" w:rsidRDefault="004B1046" w:rsidP="00985F33">
            <w:pPr>
              <w:pStyle w:val="Tabletext"/>
              <w:rPr>
                <w:lang w:val="en-US"/>
              </w:rPr>
            </w:pPr>
            <w:r>
              <w:rPr>
                <w:lang w:val="en-US"/>
              </w:rPr>
              <w:lastRenderedPageBreak/>
              <w:t>118.9°E</w:t>
            </w:r>
          </w:p>
        </w:tc>
        <w:tc>
          <w:tcPr>
            <w:tcW w:w="2058" w:type="dxa"/>
          </w:tcPr>
          <w:p w:rsidR="004B1046" w:rsidRPr="00083501" w:rsidRDefault="004B1046" w:rsidP="00985F33">
            <w:pPr>
              <w:pStyle w:val="Tabletext"/>
              <w:rPr>
                <w:lang w:val="en-US"/>
              </w:rPr>
            </w:pPr>
            <w:r>
              <w:rPr>
                <w:lang w:val="en-US"/>
              </w:rPr>
              <w:lastRenderedPageBreak/>
              <w:t>Indonesia</w:t>
            </w:r>
          </w:p>
        </w:tc>
        <w:tc>
          <w:tcPr>
            <w:tcW w:w="840" w:type="dxa"/>
          </w:tcPr>
          <w:p w:rsidR="004B1046" w:rsidRDefault="004B1046" w:rsidP="00985F33">
            <w:pPr>
              <w:pStyle w:val="Tabletext"/>
              <w:rPr>
                <w:lang w:val="en-US"/>
              </w:rPr>
            </w:pPr>
            <w:r>
              <w:rPr>
                <w:lang w:val="en-US"/>
              </w:rPr>
              <w:t>N</w:t>
            </w:r>
          </w:p>
          <w:p w:rsidR="004B1046" w:rsidRDefault="004B1046" w:rsidP="00985F33">
            <w:pPr>
              <w:pStyle w:val="Tabletext"/>
              <w:rPr>
                <w:lang w:val="en-US"/>
              </w:rPr>
            </w:pPr>
            <w:r>
              <w:rPr>
                <w:lang w:val="en-US"/>
              </w:rPr>
              <w:t>N</w:t>
            </w:r>
          </w:p>
          <w:p w:rsidR="004B1046" w:rsidRDefault="004B1046" w:rsidP="00985F33">
            <w:pPr>
              <w:pStyle w:val="Tabletext"/>
              <w:rPr>
                <w:lang w:val="en-US"/>
              </w:rPr>
            </w:pPr>
            <w:r>
              <w:rPr>
                <w:lang w:val="en-US"/>
              </w:rPr>
              <w:t>N</w:t>
            </w:r>
          </w:p>
          <w:p w:rsidR="004B1046" w:rsidRPr="00083501" w:rsidRDefault="004B1046" w:rsidP="00985F33">
            <w:pPr>
              <w:pStyle w:val="Tabletext"/>
              <w:rPr>
                <w:lang w:val="en-US"/>
              </w:rPr>
            </w:pPr>
            <w:r>
              <w:rPr>
                <w:lang w:val="en-US"/>
              </w:rPr>
              <w:lastRenderedPageBreak/>
              <w:t>N</w:t>
            </w:r>
          </w:p>
        </w:tc>
        <w:tc>
          <w:tcPr>
            <w:tcW w:w="870" w:type="dxa"/>
          </w:tcPr>
          <w:p w:rsidR="004B1046" w:rsidRPr="00083501" w:rsidRDefault="004B1046" w:rsidP="00985F33">
            <w:pPr>
              <w:pStyle w:val="Tabletext"/>
              <w:rPr>
                <w:lang w:val="en-US"/>
              </w:rPr>
            </w:pPr>
            <w:r w:rsidRPr="00083501">
              <w:rPr>
                <w:lang w:val="en-US"/>
              </w:rPr>
              <w:lastRenderedPageBreak/>
              <w:t>LBN</w:t>
            </w:r>
          </w:p>
        </w:tc>
        <w:tc>
          <w:tcPr>
            <w:tcW w:w="831" w:type="dxa"/>
          </w:tcPr>
          <w:p w:rsidR="004B1046" w:rsidRPr="00083501" w:rsidRDefault="004B1046" w:rsidP="00985F33">
            <w:pPr>
              <w:pStyle w:val="Tabletext"/>
              <w:rPr>
                <w:lang w:val="en-US"/>
              </w:rPr>
            </w:pPr>
          </w:p>
        </w:tc>
        <w:tc>
          <w:tcPr>
            <w:tcW w:w="716" w:type="dxa"/>
          </w:tcPr>
          <w:p w:rsidR="004B1046" w:rsidRPr="00083501" w:rsidRDefault="004B1046" w:rsidP="00985F33">
            <w:pPr>
              <w:pStyle w:val="Tabletext"/>
              <w:rPr>
                <w:lang w:val="en-US"/>
              </w:rPr>
            </w:pPr>
          </w:p>
        </w:tc>
        <w:tc>
          <w:tcPr>
            <w:tcW w:w="708"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c>
          <w:tcPr>
            <w:tcW w:w="709" w:type="dxa"/>
          </w:tcPr>
          <w:p w:rsidR="004B1046" w:rsidRPr="00083501" w:rsidRDefault="004B1046" w:rsidP="00985F33">
            <w:pPr>
              <w:pStyle w:val="Tabletext"/>
              <w:rPr>
                <w:lang w:val="en-US"/>
              </w:rPr>
            </w:pPr>
          </w:p>
        </w:tc>
      </w:tr>
    </w:tbl>
    <w:p w:rsidR="004B1046" w:rsidRDefault="004B1046" w:rsidP="004B1046">
      <w:pPr>
        <w:rPr>
          <w:szCs w:val="24"/>
          <w:lang w:val="en-US"/>
        </w:rPr>
      </w:pPr>
      <w:r>
        <w:rPr>
          <w:szCs w:val="24"/>
          <w:lang w:val="en-US"/>
        </w:rPr>
        <w:lastRenderedPageBreak/>
        <w:t xml:space="preserve">The purpose of the study is to evaluate </w:t>
      </w:r>
      <w:r w:rsidRPr="005955F1">
        <w:rPr>
          <w:szCs w:val="24"/>
          <w:lang w:val="en-US"/>
        </w:rPr>
        <w:t>if the proposed pfd limit included in the CPM</w:t>
      </w:r>
      <w:r w:rsidRPr="000B0E05">
        <w:rPr>
          <w:szCs w:val="24"/>
          <w:lang w:val="en-US"/>
        </w:rPr>
        <w:t xml:space="preserve"> Report </w:t>
      </w:r>
      <w:r w:rsidRPr="00AF4D16">
        <w:rPr>
          <w:szCs w:val="24"/>
          <w:lang w:val="en-US"/>
        </w:rPr>
        <w:t>on WRC-15 agenda item 1.1 (i.e. -113dBW/(m</w:t>
      </w:r>
      <w:r w:rsidRPr="00AF4D16">
        <w:rPr>
          <w:szCs w:val="24"/>
          <w:vertAlign w:val="superscript"/>
          <w:lang w:val="en-US"/>
        </w:rPr>
        <w:t>2</w:t>
      </w:r>
      <w:r w:rsidRPr="00AF4D16">
        <w:rPr>
          <w:szCs w:val="24"/>
          <w:lang w:val="en-US"/>
        </w:rPr>
        <w:t>.MHz)) has an impact on the coverage requirements of the intended service areas of BSS systems operating within the band 1</w:t>
      </w:r>
      <w:r>
        <w:rPr>
          <w:szCs w:val="24"/>
          <w:lang w:val="en-US"/>
        </w:rPr>
        <w:t xml:space="preserve"> </w:t>
      </w:r>
      <w:r w:rsidRPr="00AF4D16">
        <w:rPr>
          <w:szCs w:val="24"/>
          <w:lang w:val="en-US"/>
        </w:rPr>
        <w:t>452-1</w:t>
      </w:r>
      <w:r>
        <w:rPr>
          <w:szCs w:val="24"/>
          <w:lang w:val="en-US"/>
        </w:rPr>
        <w:t xml:space="preserve"> </w:t>
      </w:r>
      <w:r w:rsidRPr="00AF4D16">
        <w:rPr>
          <w:szCs w:val="24"/>
          <w:lang w:val="en-US"/>
        </w:rPr>
        <w:t>492 MHz</w:t>
      </w:r>
      <w:r>
        <w:rPr>
          <w:szCs w:val="24"/>
          <w:lang w:val="en-US"/>
        </w:rPr>
        <w:t>.</w:t>
      </w:r>
    </w:p>
    <w:p w:rsidR="004B1046" w:rsidRDefault="004B1046" w:rsidP="004B1046">
      <w:pPr>
        <w:rPr>
          <w:szCs w:val="24"/>
          <w:lang w:val="en-US"/>
        </w:rPr>
      </w:pPr>
      <w:r>
        <w:rPr>
          <w:szCs w:val="24"/>
          <w:lang w:val="en-US"/>
        </w:rPr>
        <w:t>Technical characteristics of BSS satellite networks were extracted from the SRS database through the SNS Query Builder software</w:t>
      </w:r>
      <w:r>
        <w:rPr>
          <w:rStyle w:val="FootnoteReference"/>
          <w:szCs w:val="24"/>
          <w:lang w:val="en-US"/>
        </w:rPr>
        <w:footnoteReference w:id="2"/>
      </w:r>
      <w:r>
        <w:rPr>
          <w:szCs w:val="24"/>
          <w:lang w:val="en-US"/>
        </w:rPr>
        <w:t xml:space="preserve"> and are shown in Table 2 below.</w:t>
      </w:r>
    </w:p>
    <w:p w:rsidR="004B1046" w:rsidRDefault="004B1046" w:rsidP="004B1046">
      <w:pPr>
        <w:pStyle w:val="TableNo"/>
        <w:rPr>
          <w:lang w:val="en-US"/>
        </w:rPr>
      </w:pPr>
      <w:r>
        <w:rPr>
          <w:lang w:val="en-US"/>
        </w:rPr>
        <w:t>Table 2</w:t>
      </w:r>
    </w:p>
    <w:p w:rsidR="004B1046" w:rsidRPr="00A40C32" w:rsidRDefault="004B1046" w:rsidP="004B1046">
      <w:pPr>
        <w:pStyle w:val="Tabletitle"/>
        <w:rPr>
          <w:lang w:val="en-US"/>
        </w:rPr>
      </w:pPr>
      <w:r>
        <w:rPr>
          <w:lang w:val="en-US"/>
        </w:rPr>
        <w:t>Characteristics of BSS satellite networks in the band 1452-1492 MHz</w:t>
      </w:r>
    </w:p>
    <w:p w:rsidR="004B1046" w:rsidRPr="00712AE5" w:rsidRDefault="004B1046" w:rsidP="004B1046">
      <w:pPr>
        <w:rPr>
          <w:szCs w:val="24"/>
          <w:lang w:val="en-US"/>
        </w:rPr>
      </w:pPr>
    </w:p>
    <w:tbl>
      <w:tblPr>
        <w:tblStyle w:val="TableGrid"/>
        <w:tblW w:w="9855" w:type="dxa"/>
        <w:jc w:val="center"/>
        <w:tblLook w:val="04A0" w:firstRow="1" w:lastRow="0" w:firstColumn="1" w:lastColumn="0" w:noHBand="0" w:noVBand="1"/>
      </w:tblPr>
      <w:tblGrid>
        <w:gridCol w:w="3226"/>
        <w:gridCol w:w="1139"/>
        <w:gridCol w:w="1196"/>
        <w:gridCol w:w="950"/>
        <w:gridCol w:w="1139"/>
        <w:gridCol w:w="1139"/>
        <w:gridCol w:w="1066"/>
      </w:tblGrid>
      <w:tr w:rsidR="004B1046" w:rsidRPr="00E3143E" w:rsidTr="00985F33">
        <w:trPr>
          <w:trHeight w:val="420"/>
          <w:jc w:val="center"/>
        </w:trPr>
        <w:tc>
          <w:tcPr>
            <w:tcW w:w="3226" w:type="dxa"/>
          </w:tcPr>
          <w:p w:rsidR="004B1046" w:rsidRPr="00A1572A" w:rsidRDefault="004B1046" w:rsidP="00985F33">
            <w:pPr>
              <w:pStyle w:val="Tablehead"/>
              <w:rPr>
                <w:lang w:val="en-US"/>
              </w:rPr>
            </w:pPr>
            <w:r w:rsidRPr="00A1572A">
              <w:rPr>
                <w:lang w:val="en-US"/>
              </w:rPr>
              <w:t>Sat</w:t>
            </w:r>
            <w:r>
              <w:rPr>
                <w:lang w:val="en-US"/>
              </w:rPr>
              <w:t>ellite and</w:t>
            </w:r>
            <w:r w:rsidRPr="00A1572A">
              <w:rPr>
                <w:lang w:val="en-US"/>
              </w:rPr>
              <w:t>/</w:t>
            </w:r>
            <w:r>
              <w:rPr>
                <w:lang w:val="en-US"/>
              </w:rPr>
              <w:t xml:space="preserve">or </w:t>
            </w:r>
            <w:r w:rsidRPr="00A1572A">
              <w:rPr>
                <w:lang w:val="en-US"/>
              </w:rPr>
              <w:t>Beam Name</w:t>
            </w:r>
          </w:p>
        </w:tc>
        <w:tc>
          <w:tcPr>
            <w:tcW w:w="1139" w:type="dxa"/>
          </w:tcPr>
          <w:p w:rsidR="004B1046" w:rsidRPr="00A1572A" w:rsidRDefault="004B1046" w:rsidP="00985F33">
            <w:pPr>
              <w:pStyle w:val="Tablehead"/>
              <w:rPr>
                <w:lang w:val="en-US"/>
              </w:rPr>
            </w:pPr>
            <w:r w:rsidRPr="00A1572A">
              <w:rPr>
                <w:lang w:val="en-US"/>
              </w:rPr>
              <w:t>P</w:t>
            </w:r>
            <w:r w:rsidRPr="00A1572A">
              <w:rPr>
                <w:vertAlign w:val="subscript"/>
                <w:lang w:val="en-US"/>
              </w:rPr>
              <w:t>e max</w:t>
            </w:r>
          </w:p>
        </w:tc>
        <w:tc>
          <w:tcPr>
            <w:tcW w:w="1196" w:type="dxa"/>
          </w:tcPr>
          <w:p w:rsidR="004B1046" w:rsidRPr="00A1572A" w:rsidRDefault="004B1046" w:rsidP="00985F33">
            <w:pPr>
              <w:pStyle w:val="Tablehead"/>
              <w:rPr>
                <w:lang w:val="en-US"/>
              </w:rPr>
            </w:pPr>
            <w:r w:rsidRPr="00A1572A">
              <w:rPr>
                <w:lang w:val="en-US"/>
              </w:rPr>
              <w:t>P</w:t>
            </w:r>
            <w:r w:rsidRPr="00A1572A">
              <w:rPr>
                <w:vertAlign w:val="subscript"/>
                <w:lang w:val="en-US"/>
              </w:rPr>
              <w:t>e min</w:t>
            </w:r>
          </w:p>
        </w:tc>
        <w:tc>
          <w:tcPr>
            <w:tcW w:w="950" w:type="dxa"/>
          </w:tcPr>
          <w:p w:rsidR="004B1046" w:rsidRPr="00A1572A" w:rsidRDefault="004B1046" w:rsidP="00985F33">
            <w:pPr>
              <w:pStyle w:val="Tablehead"/>
              <w:rPr>
                <w:lang w:val="en-US"/>
              </w:rPr>
            </w:pPr>
            <w:r w:rsidRPr="00A1572A">
              <w:rPr>
                <w:lang w:val="en-US"/>
              </w:rPr>
              <w:t>G</w:t>
            </w:r>
            <w:r w:rsidRPr="00A1572A">
              <w:rPr>
                <w:vertAlign w:val="subscript"/>
                <w:lang w:val="en-US"/>
              </w:rPr>
              <w:t>Tx</w:t>
            </w:r>
          </w:p>
        </w:tc>
        <w:tc>
          <w:tcPr>
            <w:tcW w:w="1139" w:type="dxa"/>
          </w:tcPr>
          <w:p w:rsidR="004B1046" w:rsidRPr="00A1572A" w:rsidRDefault="004B1046" w:rsidP="00985F33">
            <w:pPr>
              <w:pStyle w:val="Tablehead"/>
              <w:rPr>
                <w:lang w:val="en-US"/>
              </w:rPr>
            </w:pPr>
            <w:r w:rsidRPr="00A1572A">
              <w:rPr>
                <w:lang w:val="en-US"/>
              </w:rPr>
              <w:t>EIRP</w:t>
            </w:r>
            <w:r w:rsidRPr="00A1572A">
              <w:rPr>
                <w:vertAlign w:val="subscript"/>
                <w:lang w:val="en-US"/>
              </w:rPr>
              <w:t>max</w:t>
            </w:r>
          </w:p>
        </w:tc>
        <w:tc>
          <w:tcPr>
            <w:tcW w:w="1139" w:type="dxa"/>
          </w:tcPr>
          <w:p w:rsidR="004B1046" w:rsidRPr="00A1572A" w:rsidRDefault="004B1046" w:rsidP="00985F33">
            <w:pPr>
              <w:pStyle w:val="Tablehead"/>
              <w:rPr>
                <w:lang w:val="en-US"/>
              </w:rPr>
            </w:pPr>
            <w:r w:rsidRPr="00A1572A">
              <w:rPr>
                <w:lang w:val="en-US"/>
              </w:rPr>
              <w:t>EIRP</w:t>
            </w:r>
            <w:r w:rsidRPr="00A1572A">
              <w:rPr>
                <w:vertAlign w:val="subscript"/>
                <w:lang w:val="en-US"/>
              </w:rPr>
              <w:t>min</w:t>
            </w:r>
          </w:p>
        </w:tc>
        <w:tc>
          <w:tcPr>
            <w:tcW w:w="1066" w:type="dxa"/>
          </w:tcPr>
          <w:p w:rsidR="004B1046" w:rsidRPr="00A1572A" w:rsidRDefault="004B1046" w:rsidP="00985F33">
            <w:pPr>
              <w:pStyle w:val="Tablehead"/>
              <w:rPr>
                <w:lang w:val="en-US"/>
              </w:rPr>
            </w:pPr>
            <w:r w:rsidRPr="00A1572A">
              <w:rPr>
                <w:lang w:val="en-US"/>
              </w:rPr>
              <w:t>B (MHz)</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AD AFRIBSS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10.7</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29</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52.8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39.7</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3</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BD AFRIBSS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10</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29.7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53.5</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39.7</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3</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CD AFRIBSS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10.7</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29</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52.8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39.7</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3</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AD2 AFRIBSS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2.5</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30</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53.8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32.5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BD2 AFRIBSS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9.2</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30.5</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54.3</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39.7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CD2 AFRIBSS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2.5</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30</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53.8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32.5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AD ASIABSS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19.8</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30</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53.8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49.8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BD ASIABSS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19.8</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30.5</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54.3</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50.3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CD ASIABSS</w:t>
            </w:r>
          </w:p>
        </w:tc>
        <w:tc>
          <w:tcPr>
            <w:tcW w:w="1139" w:type="dxa"/>
          </w:tcPr>
          <w:p w:rsidR="004B1046" w:rsidRPr="00A1572A" w:rsidRDefault="004B1046" w:rsidP="00985F33">
            <w:pPr>
              <w:pStyle w:val="Tabletext"/>
              <w:rPr>
                <w:lang w:val="en-US"/>
              </w:rPr>
            </w:pPr>
            <w:r w:rsidRPr="00A1572A">
              <w:rPr>
                <w:lang w:val="en-US"/>
              </w:rPr>
              <w:t>23.8</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19.8</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30</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53.8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49.8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LDCN CHINASAT-92.2E</w:t>
            </w:r>
          </w:p>
        </w:tc>
        <w:tc>
          <w:tcPr>
            <w:tcW w:w="1139" w:type="dxa"/>
          </w:tcPr>
          <w:p w:rsidR="004B1046" w:rsidRPr="00A1572A" w:rsidRDefault="004B1046" w:rsidP="00985F33">
            <w:pPr>
              <w:pStyle w:val="Tabletext"/>
              <w:rPr>
                <w:lang w:val="en-US"/>
              </w:rPr>
            </w:pPr>
            <w:r w:rsidRPr="00A1572A">
              <w:rPr>
                <w:lang w:val="en-US"/>
              </w:rPr>
              <w:t>25</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21</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29</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54</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 xml:space="preserve">50 </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CHINASAT-A5 (87.5) LD1R/LD2R/LD3R</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2.6-17</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CHINASAT-C20 (126)</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CHINASAT-C21 (136)</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CHINASAT-CL11 (163)</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CHINASAT-CL2 (51.5)</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CHINASAT-D-110 (110.5)</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 xml:space="preserve">CHINASAT-125E </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CHINASAT-163E</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CHINASAT-87.5E</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CHINASAT-DL4 (110.5)</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CHINASAT-DL5 (115.5)</w:t>
            </w:r>
          </w:p>
        </w:tc>
        <w:tc>
          <w:tcPr>
            <w:tcW w:w="1139" w:type="dxa"/>
          </w:tcPr>
          <w:p w:rsidR="004B1046" w:rsidRPr="00A1572A" w:rsidRDefault="004B1046" w:rsidP="00985F33">
            <w:pPr>
              <w:pStyle w:val="Tabletext"/>
              <w:rPr>
                <w:lang w:val="en-US"/>
              </w:rPr>
            </w:pPr>
            <w:r w:rsidRPr="00A1572A">
              <w:rPr>
                <w:lang w:val="en-US"/>
              </w:rPr>
              <w:t>31.8</w:t>
            </w:r>
            <w:r>
              <w:rPr>
                <w:lang w:val="en-US"/>
              </w:rPr>
              <w:t xml:space="preserve"> dB</w:t>
            </w:r>
            <w:r w:rsidRPr="00A1572A">
              <w:rPr>
                <w:lang w:val="en-US"/>
              </w:rPr>
              <w:t>W</w:t>
            </w:r>
          </w:p>
        </w:tc>
        <w:tc>
          <w:tcPr>
            <w:tcW w:w="1196" w:type="dxa"/>
          </w:tcPr>
          <w:p w:rsidR="004B1046" w:rsidRPr="00A1572A" w:rsidRDefault="004B1046" w:rsidP="00985F33">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68.8</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39.6</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CHINASAT-DL6 (125)</w:t>
            </w:r>
          </w:p>
        </w:tc>
        <w:tc>
          <w:tcPr>
            <w:tcW w:w="1139" w:type="dxa"/>
          </w:tcPr>
          <w:p w:rsidR="004B1046" w:rsidRPr="00A1572A" w:rsidRDefault="004B1046" w:rsidP="00985F33">
            <w:pPr>
              <w:pStyle w:val="Tabletext"/>
              <w:rPr>
                <w:lang w:val="en-US"/>
              </w:rPr>
            </w:pPr>
            <w:r w:rsidRPr="00A1572A">
              <w:rPr>
                <w:lang w:val="en-US"/>
              </w:rPr>
              <w:t>27.7</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17.7</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37</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64.7</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54.7</w:t>
            </w:r>
            <w:r>
              <w:rPr>
                <w:lang w:val="en-US"/>
              </w:rPr>
              <w:t xml:space="preserve">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5</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 xml:space="preserve">EL1 DFH-3-OC </w:t>
            </w:r>
          </w:p>
        </w:tc>
        <w:tc>
          <w:tcPr>
            <w:tcW w:w="1139" w:type="dxa"/>
          </w:tcPr>
          <w:p w:rsidR="004B1046" w:rsidRPr="00A1572A" w:rsidRDefault="004B1046" w:rsidP="00985F33">
            <w:pPr>
              <w:pStyle w:val="Tabletext"/>
              <w:rPr>
                <w:lang w:val="en-US"/>
              </w:rPr>
            </w:pPr>
            <w:r w:rsidRPr="00A1572A">
              <w:rPr>
                <w:lang w:val="en-US"/>
              </w:rPr>
              <w:t>19.9</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11.9</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39</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58.9</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50.9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2.6</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LEBR SADKO-1</w:t>
            </w:r>
          </w:p>
        </w:tc>
        <w:tc>
          <w:tcPr>
            <w:tcW w:w="1139" w:type="dxa"/>
          </w:tcPr>
          <w:p w:rsidR="004B1046" w:rsidRPr="00A1572A" w:rsidRDefault="004B1046" w:rsidP="00985F33">
            <w:pPr>
              <w:pStyle w:val="Tabletext"/>
              <w:rPr>
                <w:lang w:val="en-US"/>
              </w:rPr>
            </w:pPr>
            <w:r w:rsidRPr="00A1572A">
              <w:rPr>
                <w:lang w:val="en-US"/>
              </w:rPr>
              <w:t>16</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13</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43</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59</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sidRPr="00A1572A">
              <w:rPr>
                <w:lang w:val="en-US"/>
              </w:rPr>
              <w:t xml:space="preserve">56 </w:t>
            </w:r>
            <w:r>
              <w:rPr>
                <w:lang w:val="en-US"/>
              </w:rPr>
              <w:t>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1.35</w:t>
            </w:r>
          </w:p>
        </w:tc>
      </w:tr>
      <w:tr w:rsidR="004B1046" w:rsidTr="00985F33">
        <w:trPr>
          <w:jc w:val="center"/>
        </w:trPr>
        <w:tc>
          <w:tcPr>
            <w:tcW w:w="3226" w:type="dxa"/>
          </w:tcPr>
          <w:p w:rsidR="004B1046" w:rsidRPr="00A1572A" w:rsidRDefault="004B1046" w:rsidP="00985F33">
            <w:pPr>
              <w:pStyle w:val="Tabletext"/>
              <w:rPr>
                <w:lang w:val="en-US"/>
              </w:rPr>
            </w:pPr>
            <w:r w:rsidRPr="00A1572A">
              <w:rPr>
                <w:lang w:val="en-US"/>
              </w:rPr>
              <w:t>LBN INDOSTAR-1,2,3,4</w:t>
            </w:r>
          </w:p>
        </w:tc>
        <w:tc>
          <w:tcPr>
            <w:tcW w:w="1139" w:type="dxa"/>
          </w:tcPr>
          <w:p w:rsidR="004B1046" w:rsidRPr="00A1572A" w:rsidRDefault="004B1046" w:rsidP="00985F33">
            <w:pPr>
              <w:pStyle w:val="Tabletext"/>
              <w:rPr>
                <w:lang w:val="en-US"/>
              </w:rPr>
            </w:pPr>
            <w:r w:rsidRPr="00A1572A">
              <w:rPr>
                <w:lang w:val="en-US"/>
              </w:rPr>
              <w:t>15</w:t>
            </w:r>
            <w:r>
              <w:rPr>
                <w:lang w:val="en-US"/>
              </w:rPr>
              <w:t xml:space="preserve"> dB</w:t>
            </w:r>
            <w:r w:rsidRPr="00A1572A">
              <w:rPr>
                <w:lang w:val="en-US"/>
              </w:rPr>
              <w:t>W</w:t>
            </w:r>
          </w:p>
        </w:tc>
        <w:tc>
          <w:tcPr>
            <w:tcW w:w="1196" w:type="dxa"/>
          </w:tcPr>
          <w:p w:rsidR="004B1046" w:rsidRPr="00A1572A" w:rsidRDefault="004B1046" w:rsidP="00985F33">
            <w:pPr>
              <w:pStyle w:val="Tabletext"/>
              <w:rPr>
                <w:lang w:val="en-US"/>
              </w:rPr>
            </w:pPr>
            <w:r w:rsidRPr="00A1572A">
              <w:rPr>
                <w:lang w:val="en-US"/>
              </w:rPr>
              <w:t>15</w:t>
            </w:r>
            <w:r>
              <w:rPr>
                <w:lang w:val="en-US"/>
              </w:rPr>
              <w:t xml:space="preserve"> dB</w:t>
            </w:r>
            <w:r w:rsidRPr="00A1572A">
              <w:rPr>
                <w:lang w:val="en-US"/>
              </w:rPr>
              <w:t>W</w:t>
            </w:r>
          </w:p>
        </w:tc>
        <w:tc>
          <w:tcPr>
            <w:tcW w:w="950" w:type="dxa"/>
          </w:tcPr>
          <w:p w:rsidR="004B1046" w:rsidRPr="00A1572A" w:rsidRDefault="004B1046" w:rsidP="00985F33">
            <w:pPr>
              <w:pStyle w:val="Tabletext"/>
              <w:rPr>
                <w:lang w:val="en-US"/>
              </w:rPr>
            </w:pPr>
            <w:r w:rsidRPr="00A1572A">
              <w:rPr>
                <w:lang w:val="en-US"/>
              </w:rPr>
              <w:t>28.9</w:t>
            </w:r>
            <w:r>
              <w:rPr>
                <w:lang w:val="en-US"/>
              </w:rPr>
              <w:t xml:space="preserve"> dB</w:t>
            </w:r>
          </w:p>
        </w:tc>
        <w:tc>
          <w:tcPr>
            <w:tcW w:w="1139" w:type="dxa"/>
          </w:tcPr>
          <w:p w:rsidR="004B1046" w:rsidRPr="00A1572A" w:rsidRDefault="004B1046" w:rsidP="00985F33">
            <w:pPr>
              <w:pStyle w:val="Tabletext"/>
              <w:rPr>
                <w:lang w:val="en-US"/>
              </w:rPr>
            </w:pPr>
            <w:r w:rsidRPr="00A1572A">
              <w:rPr>
                <w:lang w:val="en-US"/>
              </w:rPr>
              <w:t>43.9</w:t>
            </w:r>
            <w:r>
              <w:rPr>
                <w:lang w:val="en-US"/>
              </w:rPr>
              <w:t xml:space="preserve"> dB</w:t>
            </w:r>
            <w:r w:rsidRPr="00A1572A">
              <w:rPr>
                <w:lang w:val="en-US"/>
              </w:rPr>
              <w:t>W</w:t>
            </w:r>
          </w:p>
        </w:tc>
        <w:tc>
          <w:tcPr>
            <w:tcW w:w="1139" w:type="dxa"/>
          </w:tcPr>
          <w:p w:rsidR="004B1046" w:rsidRPr="00A1572A" w:rsidRDefault="004B1046" w:rsidP="00985F33">
            <w:pPr>
              <w:pStyle w:val="Tabletext"/>
              <w:rPr>
                <w:lang w:val="en-US"/>
              </w:rPr>
            </w:pPr>
            <w:r>
              <w:rPr>
                <w:lang w:val="en-US"/>
              </w:rPr>
              <w:t>43.9 dB</w:t>
            </w:r>
            <w:r w:rsidRPr="00A1572A">
              <w:rPr>
                <w:lang w:val="en-US"/>
              </w:rPr>
              <w:t>W</w:t>
            </w:r>
          </w:p>
        </w:tc>
        <w:tc>
          <w:tcPr>
            <w:tcW w:w="1066" w:type="dxa"/>
          </w:tcPr>
          <w:p w:rsidR="004B1046" w:rsidRPr="00A1572A" w:rsidRDefault="004B1046" w:rsidP="00985F33">
            <w:pPr>
              <w:pStyle w:val="Tabletext"/>
              <w:rPr>
                <w:lang w:val="en-US"/>
              </w:rPr>
            </w:pPr>
            <w:r w:rsidRPr="00A1572A">
              <w:rPr>
                <w:lang w:val="en-US"/>
              </w:rPr>
              <w:t>0.3</w:t>
            </w:r>
          </w:p>
        </w:tc>
      </w:tr>
    </w:tbl>
    <w:p w:rsidR="004B1046" w:rsidRPr="008F676A" w:rsidRDefault="004B1046" w:rsidP="004B1046">
      <w:pPr>
        <w:pStyle w:val="Heading2"/>
        <w:rPr>
          <w:lang w:val="en-US"/>
        </w:rPr>
      </w:pPr>
      <w:r>
        <w:rPr>
          <w:lang w:val="en-US"/>
        </w:rPr>
        <w:lastRenderedPageBreak/>
        <w:t>2.2</w:t>
      </w:r>
      <w:r>
        <w:rPr>
          <w:lang w:val="en-US"/>
        </w:rPr>
        <w:tab/>
      </w:r>
      <w:r w:rsidRPr="008F676A">
        <w:rPr>
          <w:lang w:val="en-US"/>
        </w:rPr>
        <w:t>Methodology for performing the coverage area of the BSS</w:t>
      </w:r>
    </w:p>
    <w:p w:rsidR="004B1046" w:rsidRPr="00CB5A76" w:rsidRDefault="004B1046" w:rsidP="004B1046">
      <w:pPr>
        <w:rPr>
          <w:szCs w:val="24"/>
          <w:lang w:val="en-US"/>
        </w:rPr>
      </w:pPr>
      <w:r>
        <w:rPr>
          <w:szCs w:val="24"/>
          <w:lang w:val="en-US"/>
        </w:rPr>
        <w:t xml:space="preserve">Based on the technical characteristics of BSS satellite networks that were published in the BR IFIC and using the </w:t>
      </w:r>
      <w:r w:rsidRPr="00CB5A76">
        <w:rPr>
          <w:szCs w:val="24"/>
          <w:lang w:val="en-US"/>
        </w:rPr>
        <w:t>ITU-R Software GIMS</w:t>
      </w:r>
      <w:r>
        <w:rPr>
          <w:rStyle w:val="FootnoteReference"/>
          <w:szCs w:val="24"/>
          <w:lang w:val="en-US"/>
        </w:rPr>
        <w:footnoteReference w:id="3"/>
      </w:r>
      <w:r>
        <w:rPr>
          <w:szCs w:val="24"/>
          <w:lang w:val="en-US"/>
        </w:rPr>
        <w:t xml:space="preserve">, </w:t>
      </w:r>
      <w:r w:rsidRPr="00CB5A76">
        <w:rPr>
          <w:szCs w:val="24"/>
          <w:lang w:val="en-US"/>
        </w:rPr>
        <w:t xml:space="preserve">pfd values over </w:t>
      </w:r>
      <w:r>
        <w:rPr>
          <w:szCs w:val="24"/>
          <w:lang w:val="en-US"/>
        </w:rPr>
        <w:t xml:space="preserve">geographic areas </w:t>
      </w:r>
      <w:r w:rsidRPr="00CB5A76">
        <w:rPr>
          <w:szCs w:val="24"/>
          <w:lang w:val="en-US"/>
        </w:rPr>
        <w:t xml:space="preserve">of the Earth </w:t>
      </w:r>
      <w:r>
        <w:rPr>
          <w:szCs w:val="24"/>
          <w:lang w:val="en-US"/>
        </w:rPr>
        <w:t xml:space="preserve">have been derived </w:t>
      </w:r>
      <w:r w:rsidRPr="00CB5A76">
        <w:rPr>
          <w:szCs w:val="24"/>
          <w:lang w:val="en-US"/>
        </w:rPr>
        <w:t xml:space="preserve">for each satellite </w:t>
      </w:r>
      <w:r>
        <w:rPr>
          <w:szCs w:val="24"/>
          <w:lang w:val="en-US"/>
        </w:rPr>
        <w:t xml:space="preserve">network and </w:t>
      </w:r>
      <w:r w:rsidRPr="00CB5A76">
        <w:rPr>
          <w:szCs w:val="24"/>
          <w:lang w:val="en-US"/>
        </w:rPr>
        <w:t>beam.</w:t>
      </w:r>
    </w:p>
    <w:p w:rsidR="004B1046" w:rsidRDefault="004B1046" w:rsidP="004B1046">
      <w:pPr>
        <w:rPr>
          <w:szCs w:val="24"/>
          <w:lang w:val="en-US"/>
        </w:rPr>
      </w:pPr>
      <w:r w:rsidRPr="00C60181">
        <w:rPr>
          <w:szCs w:val="24"/>
          <w:lang w:val="en-US"/>
        </w:rPr>
        <w:t xml:space="preserve">As an example, the following figure depicts the service area (left-hand side, </w:t>
      </w:r>
      <w:r w:rsidRPr="00AF4D16">
        <w:rPr>
          <w:szCs w:val="24"/>
          <w:lang w:val="en-US"/>
        </w:rPr>
        <w:t>bold orange curve)</w:t>
      </w:r>
      <w:r w:rsidRPr="00C60181">
        <w:rPr>
          <w:szCs w:val="24"/>
          <w:lang w:val="en-US"/>
        </w:rPr>
        <w:t xml:space="preserve"> and the coverage area (left side, </w:t>
      </w:r>
      <w:r w:rsidRPr="00AF4D16">
        <w:rPr>
          <w:szCs w:val="24"/>
          <w:lang w:val="en-US"/>
        </w:rPr>
        <w:t>red curve</w:t>
      </w:r>
      <w:r w:rsidRPr="00C60181">
        <w:rPr>
          <w:szCs w:val="24"/>
          <w:lang w:val="en-US"/>
        </w:rPr>
        <w:t>) of the CHINASAT-</w:t>
      </w:r>
      <w:r w:rsidRPr="00AF4D16">
        <w:rPr>
          <w:szCs w:val="24"/>
          <w:lang w:val="en-US"/>
        </w:rPr>
        <w:t xml:space="preserve">92.2E </w:t>
      </w:r>
      <w:r w:rsidRPr="00C60181">
        <w:rPr>
          <w:szCs w:val="24"/>
          <w:lang w:val="en-US"/>
        </w:rPr>
        <w:t xml:space="preserve">satellite network. </w:t>
      </w:r>
      <w:r>
        <w:rPr>
          <w:szCs w:val="24"/>
          <w:lang w:val="en-US"/>
        </w:rPr>
        <w:t xml:space="preserve">GIMS </w:t>
      </w:r>
      <w:r w:rsidRPr="00CB5A76">
        <w:rPr>
          <w:szCs w:val="24"/>
          <w:lang w:val="en-US"/>
        </w:rPr>
        <w:t>also enables to display the zone corresponding to a constant pfd value (right</w:t>
      </w:r>
      <w:r>
        <w:rPr>
          <w:szCs w:val="24"/>
          <w:lang w:val="en-US"/>
        </w:rPr>
        <w:t>-hand</w:t>
      </w:r>
      <w:r w:rsidRPr="00CB5A76">
        <w:rPr>
          <w:szCs w:val="24"/>
          <w:lang w:val="en-US"/>
        </w:rPr>
        <w:t xml:space="preserve"> sid</w:t>
      </w:r>
      <w:r>
        <w:rPr>
          <w:szCs w:val="24"/>
          <w:lang w:val="en-US"/>
        </w:rPr>
        <w:t xml:space="preserve">e, </w:t>
      </w:r>
      <w:r w:rsidRPr="00C60181">
        <w:rPr>
          <w:szCs w:val="24"/>
          <w:lang w:val="en-US"/>
        </w:rPr>
        <w:t>small red bold circle</w:t>
      </w:r>
      <w:r w:rsidRPr="00AF4D16">
        <w:rPr>
          <w:b/>
          <w:szCs w:val="24"/>
          <w:lang w:val="en-US"/>
        </w:rPr>
        <w:t xml:space="preserve"> </w:t>
      </w:r>
      <w:r>
        <w:rPr>
          <w:color w:val="000000" w:themeColor="text1"/>
          <w:szCs w:val="24"/>
          <w:lang w:val="en-US"/>
        </w:rPr>
        <w:t>corresponding to a pfd value of -113dBW/(m</w:t>
      </w:r>
      <w:r w:rsidRPr="00053093">
        <w:rPr>
          <w:color w:val="000000" w:themeColor="text1"/>
          <w:szCs w:val="24"/>
          <w:vertAlign w:val="superscript"/>
          <w:lang w:val="en-US"/>
        </w:rPr>
        <w:t>2</w:t>
      </w:r>
      <w:r>
        <w:rPr>
          <w:color w:val="000000" w:themeColor="text1"/>
          <w:szCs w:val="24"/>
          <w:lang w:val="en-US"/>
        </w:rPr>
        <w:t>.MHz)</w:t>
      </w:r>
      <w:r>
        <w:rPr>
          <w:szCs w:val="24"/>
          <w:lang w:val="en-US"/>
        </w:rPr>
        <w:t>).</w:t>
      </w:r>
    </w:p>
    <w:p w:rsidR="004B1046" w:rsidRDefault="004B1046" w:rsidP="004B1046">
      <w:pPr>
        <w:pStyle w:val="FigureNo"/>
        <w:rPr>
          <w:lang w:val="en-US"/>
        </w:rPr>
      </w:pPr>
      <w:r>
        <w:rPr>
          <w:lang w:val="en-US"/>
        </w:rPr>
        <w:t>Figure 1</w:t>
      </w:r>
    </w:p>
    <w:p w:rsidR="004B1046" w:rsidRDefault="004B1046" w:rsidP="004B1046">
      <w:pPr>
        <w:pStyle w:val="Figuretitle"/>
        <w:rPr>
          <w:lang w:val="en-US"/>
        </w:rPr>
      </w:pPr>
      <w:r>
        <w:rPr>
          <w:lang w:val="en-US"/>
        </w:rPr>
        <w:t xml:space="preserve">Examples of service area, coverage area </w:t>
      </w:r>
      <w:r w:rsidRPr="00CB5A76">
        <w:rPr>
          <w:lang w:val="en-US"/>
        </w:rPr>
        <w:t xml:space="preserve">constant pfd </w:t>
      </w:r>
      <w:r>
        <w:rPr>
          <w:lang w:val="en-US"/>
        </w:rPr>
        <w:t>area of a BSS satellite network</w:t>
      </w:r>
    </w:p>
    <w:p w:rsidR="004B1046" w:rsidRPr="009D7AB6" w:rsidRDefault="004B1046" w:rsidP="004B1046">
      <w:pPr>
        <w:pStyle w:val="Figure"/>
        <w:rPr>
          <w:lang w:val="en-US"/>
        </w:rPr>
      </w:pPr>
      <w:r w:rsidRPr="005955F1">
        <w:rPr>
          <w:noProof/>
          <w:lang w:val="en-US" w:eastAsia="zh-CN"/>
        </w:rPr>
        <w:drawing>
          <wp:inline distT="0" distB="0" distL="0" distR="0" wp14:anchorId="605FF2CD" wp14:editId="5BF28B4C">
            <wp:extent cx="5029200" cy="13023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945" cy="1302780"/>
                    </a:xfrm>
                    <a:prstGeom prst="rect">
                      <a:avLst/>
                    </a:prstGeom>
                    <a:noFill/>
                    <a:ln>
                      <a:noFill/>
                    </a:ln>
                  </pic:spPr>
                </pic:pic>
              </a:graphicData>
            </a:graphic>
          </wp:inline>
        </w:drawing>
      </w:r>
    </w:p>
    <w:p w:rsidR="004B1046" w:rsidRDefault="004B1046" w:rsidP="004B1046">
      <w:pPr>
        <w:pStyle w:val="Heading2"/>
        <w:rPr>
          <w:lang w:val="en-US"/>
        </w:rPr>
      </w:pPr>
    </w:p>
    <w:p w:rsidR="004B1046" w:rsidRPr="00D32CED" w:rsidRDefault="004B1046" w:rsidP="004B1046">
      <w:pPr>
        <w:pStyle w:val="Heading2"/>
        <w:rPr>
          <w:lang w:val="en-US"/>
        </w:rPr>
      </w:pPr>
      <w:r>
        <w:rPr>
          <w:lang w:val="en-US"/>
        </w:rPr>
        <w:t>2.3</w:t>
      </w:r>
      <w:r>
        <w:rPr>
          <w:lang w:val="en-US"/>
        </w:rPr>
        <w:tab/>
      </w:r>
      <w:r w:rsidRPr="00D32CED">
        <w:rPr>
          <w:lang w:val="en-US"/>
        </w:rPr>
        <w:t xml:space="preserve">Results </w:t>
      </w:r>
    </w:p>
    <w:p w:rsidR="004B1046" w:rsidRDefault="004B1046" w:rsidP="004B1046">
      <w:pPr>
        <w:rPr>
          <w:szCs w:val="24"/>
          <w:lang w:val="en-US"/>
        </w:rPr>
      </w:pPr>
      <w:r>
        <w:rPr>
          <w:szCs w:val="24"/>
          <w:lang w:val="en-US"/>
        </w:rPr>
        <w:t xml:space="preserve">Based on the previous assumptions, results of the analysis are provided in Table 3 below for the satellite networks that were listed in Table 1. </w:t>
      </w:r>
    </w:p>
    <w:p w:rsidR="004B1046" w:rsidRDefault="004B1046" w:rsidP="004B1046">
      <w:pPr>
        <w:rPr>
          <w:szCs w:val="24"/>
          <w:lang w:val="en-US"/>
        </w:rPr>
      </w:pPr>
      <w:r>
        <w:rPr>
          <w:szCs w:val="24"/>
          <w:lang w:val="en-US"/>
        </w:rPr>
        <w:t xml:space="preserve">Recalling the </w:t>
      </w:r>
      <w:r w:rsidRPr="00AF4D16">
        <w:rPr>
          <w:szCs w:val="24"/>
          <w:lang w:val="en-US"/>
        </w:rPr>
        <w:t>pfd</w:t>
      </w:r>
      <w:r>
        <w:rPr>
          <w:szCs w:val="24"/>
          <w:lang w:val="en-US"/>
        </w:rPr>
        <w:t xml:space="preserve"> formula:  </w:t>
      </w:r>
      <m:oMath>
        <m:r>
          <w:rPr>
            <w:rFonts w:ascii="Cambria Math" w:hAnsi="Cambria Math"/>
            <w:szCs w:val="24"/>
            <w:lang w:val="en-US"/>
          </w:rPr>
          <m:t>pfd=EIRP+10</m:t>
        </m:r>
        <m:sSub>
          <m:sSubPr>
            <m:ctrlPr>
              <w:rPr>
                <w:rFonts w:ascii="Cambria Math" w:hAnsi="Cambria Math"/>
                <w:i/>
                <w:szCs w:val="24"/>
                <w:lang w:val="en-US"/>
              </w:rPr>
            </m:ctrlPr>
          </m:sSubPr>
          <m:e>
            <m:r>
              <w:rPr>
                <w:rFonts w:ascii="Cambria Math" w:hAnsi="Cambria Math"/>
                <w:szCs w:val="24"/>
                <w:lang w:val="en-US"/>
              </w:rPr>
              <m:t>log</m:t>
            </m:r>
          </m:e>
          <m:sub>
            <m:r>
              <w:rPr>
                <w:rFonts w:ascii="Cambria Math" w:hAnsi="Cambria Math"/>
                <w:szCs w:val="24"/>
                <w:lang w:val="en-US"/>
              </w:rPr>
              <m:t>10</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4π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en-US"/>
                      </w:rPr>
                      <m:t>2</m:t>
                    </m:r>
                  </m:sup>
                </m:sSup>
              </m:den>
            </m:f>
          </m:e>
        </m:d>
      </m:oMath>
      <w:r>
        <w:rPr>
          <w:szCs w:val="24"/>
          <w:lang w:val="en-US"/>
        </w:rPr>
        <w:t xml:space="preserve">, </w:t>
      </w:r>
      <w:r>
        <w:rPr>
          <w:rFonts w:eastAsiaTheme="minorEastAsia"/>
          <w:szCs w:val="24"/>
          <w:lang w:val="en-US"/>
        </w:rPr>
        <w:t xml:space="preserve">where d is the distance between the BSS satellite and the point of the Earth where the pfd is computed. </w:t>
      </w:r>
      <w:r>
        <w:rPr>
          <w:szCs w:val="24"/>
          <w:lang w:val="en-US"/>
        </w:rPr>
        <w:t xml:space="preserve">maximum </w:t>
      </w:r>
      <w:r w:rsidRPr="00AF4D16">
        <w:rPr>
          <w:szCs w:val="24"/>
          <w:lang w:val="en-US"/>
        </w:rPr>
        <w:t>pfd</w:t>
      </w:r>
      <w:r>
        <w:rPr>
          <w:szCs w:val="24"/>
          <w:lang w:val="en-US"/>
        </w:rPr>
        <w:t xml:space="preserve"> value within the service area and at its border is computed for each satellite and/or beam</w:t>
      </w:r>
      <w:r w:rsidRPr="00426404">
        <w:rPr>
          <w:szCs w:val="24"/>
          <w:lang w:val="en-US"/>
        </w:rPr>
        <w:t xml:space="preserve"> </w:t>
      </w:r>
      <w:r>
        <w:rPr>
          <w:szCs w:val="24"/>
          <w:lang w:val="en-US"/>
        </w:rPr>
        <w:t>(although there may be some different (EIRP</w:t>
      </w:r>
      <w:r w:rsidRPr="00846670">
        <w:rPr>
          <w:szCs w:val="24"/>
          <w:vertAlign w:val="subscript"/>
          <w:lang w:val="en-US"/>
        </w:rPr>
        <w:t>max</w:t>
      </w:r>
      <w:r>
        <w:rPr>
          <w:szCs w:val="24"/>
          <w:lang w:val="en-US"/>
        </w:rPr>
        <w:t xml:space="preserve">, B) combinations for the same beam in the BR IFIC special sections, only one value is retained for each beam in the following table and corresponds to the worst case of the highest power spectral density value). Note that the results may change with different beams of the same satellite network. </w:t>
      </w:r>
    </w:p>
    <w:p w:rsidR="004B1046" w:rsidRDefault="004B1046" w:rsidP="004B1046">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4B1046" w:rsidRDefault="004B1046" w:rsidP="004B1046">
      <w:pPr>
        <w:pStyle w:val="TableNo"/>
        <w:rPr>
          <w:lang w:val="en-US"/>
        </w:rPr>
      </w:pPr>
      <w:r>
        <w:rPr>
          <w:lang w:val="en-US"/>
        </w:rPr>
        <w:lastRenderedPageBreak/>
        <w:t>Table 3</w:t>
      </w:r>
    </w:p>
    <w:p w:rsidR="004B1046" w:rsidRPr="007E28D0" w:rsidRDefault="004B1046" w:rsidP="004B1046">
      <w:pPr>
        <w:pStyle w:val="Tabletitle"/>
        <w:rPr>
          <w:rFonts w:eastAsiaTheme="minorEastAsia"/>
          <w:lang w:val="en-US"/>
        </w:rPr>
      </w:pPr>
      <w:r>
        <w:rPr>
          <w:lang w:val="en-US"/>
        </w:rPr>
        <w:t>pfd values within and outside service areas of BSS satellite networks in the band 1452-1492 MHz</w:t>
      </w:r>
    </w:p>
    <w:tbl>
      <w:tblPr>
        <w:tblStyle w:val="TableGrid"/>
        <w:tblW w:w="0" w:type="auto"/>
        <w:jc w:val="center"/>
        <w:tblLayout w:type="fixed"/>
        <w:tblLook w:val="04A0" w:firstRow="1" w:lastRow="0" w:firstColumn="1" w:lastColumn="0" w:noHBand="0" w:noVBand="1"/>
      </w:tblPr>
      <w:tblGrid>
        <w:gridCol w:w="2611"/>
        <w:gridCol w:w="1272"/>
        <w:gridCol w:w="1161"/>
        <w:gridCol w:w="1861"/>
        <w:gridCol w:w="2415"/>
      </w:tblGrid>
      <w:tr w:rsidR="004B1046" w:rsidRPr="003E28F5" w:rsidTr="00985F33">
        <w:trPr>
          <w:jc w:val="center"/>
        </w:trPr>
        <w:tc>
          <w:tcPr>
            <w:tcW w:w="2611" w:type="dxa"/>
          </w:tcPr>
          <w:p w:rsidR="004B1046" w:rsidRPr="00780A3F" w:rsidRDefault="004B1046" w:rsidP="00985F33">
            <w:pPr>
              <w:pStyle w:val="Tablehead"/>
              <w:rPr>
                <w:lang w:val="en-US"/>
              </w:rPr>
            </w:pPr>
            <w:r w:rsidRPr="00780A3F">
              <w:rPr>
                <w:lang w:val="en-US"/>
              </w:rPr>
              <w:t>Sat</w:t>
            </w:r>
            <w:r>
              <w:rPr>
                <w:lang w:val="en-US"/>
              </w:rPr>
              <w:t>ellite and</w:t>
            </w:r>
            <w:r w:rsidRPr="00780A3F">
              <w:rPr>
                <w:lang w:val="en-US"/>
              </w:rPr>
              <w:t>/</w:t>
            </w:r>
            <w:r>
              <w:rPr>
                <w:lang w:val="en-US"/>
              </w:rPr>
              <w:t xml:space="preserve">or </w:t>
            </w:r>
            <w:r w:rsidRPr="00780A3F">
              <w:rPr>
                <w:lang w:val="en-US"/>
              </w:rPr>
              <w:t>Beam Name</w:t>
            </w:r>
          </w:p>
        </w:tc>
        <w:tc>
          <w:tcPr>
            <w:tcW w:w="1272" w:type="dxa"/>
          </w:tcPr>
          <w:p w:rsidR="004B1046" w:rsidRPr="00844866" w:rsidRDefault="004B1046" w:rsidP="00985F33">
            <w:pPr>
              <w:pStyle w:val="Tablehead"/>
              <w:rPr>
                <w:lang w:val="en-US"/>
              </w:rPr>
            </w:pPr>
            <w:r w:rsidRPr="00844866">
              <w:rPr>
                <w:lang w:val="en-US"/>
              </w:rPr>
              <w:t>EIRP</w:t>
            </w:r>
            <w:r w:rsidRPr="00844866">
              <w:rPr>
                <w:vertAlign w:val="subscript"/>
                <w:lang w:val="en-US"/>
              </w:rPr>
              <w:t>max</w:t>
            </w:r>
          </w:p>
        </w:tc>
        <w:tc>
          <w:tcPr>
            <w:tcW w:w="1161" w:type="dxa"/>
          </w:tcPr>
          <w:p w:rsidR="004B1046" w:rsidRPr="001807E1" w:rsidRDefault="004B1046" w:rsidP="00985F33">
            <w:pPr>
              <w:pStyle w:val="Tablehead"/>
              <w:rPr>
                <w:lang w:val="en-US"/>
              </w:rPr>
            </w:pPr>
            <w:r w:rsidRPr="001807E1">
              <w:rPr>
                <w:lang w:val="en-US"/>
              </w:rPr>
              <w:t>B</w:t>
            </w:r>
            <w:r>
              <w:rPr>
                <w:lang w:val="en-US"/>
              </w:rPr>
              <w:t>andwidth</w:t>
            </w:r>
          </w:p>
          <w:p w:rsidR="004B1046" w:rsidRDefault="004B1046" w:rsidP="00985F33">
            <w:pPr>
              <w:pStyle w:val="Tablehead"/>
              <w:rPr>
                <w:sz w:val="32"/>
                <w:szCs w:val="32"/>
                <w:lang w:val="en-US"/>
              </w:rPr>
            </w:pPr>
            <w:r>
              <w:rPr>
                <w:lang w:val="en-US"/>
              </w:rPr>
              <w:t>(</w:t>
            </w:r>
            <w:r w:rsidRPr="001807E1">
              <w:rPr>
                <w:lang w:val="en-US"/>
              </w:rPr>
              <w:t>MHz</w:t>
            </w:r>
            <w:r>
              <w:rPr>
                <w:lang w:val="en-US"/>
              </w:rPr>
              <w:t>)</w:t>
            </w:r>
          </w:p>
        </w:tc>
        <w:tc>
          <w:tcPr>
            <w:tcW w:w="1861" w:type="dxa"/>
          </w:tcPr>
          <w:p w:rsidR="004B1046" w:rsidRPr="00110E83" w:rsidRDefault="004B1046" w:rsidP="00985F33">
            <w:pPr>
              <w:pStyle w:val="Tablehead"/>
              <w:rPr>
                <w:lang w:val="en-US"/>
              </w:rPr>
            </w:pPr>
            <w:r>
              <w:rPr>
                <w:lang w:val="en-US"/>
              </w:rPr>
              <w:t>Max. pfd within the service area (dBW/(m².MHz))</w:t>
            </w:r>
          </w:p>
        </w:tc>
        <w:tc>
          <w:tcPr>
            <w:tcW w:w="2415" w:type="dxa"/>
          </w:tcPr>
          <w:p w:rsidR="004B1046" w:rsidRPr="00A92AD7" w:rsidRDefault="004B1046" w:rsidP="00985F33">
            <w:pPr>
              <w:pStyle w:val="Tablehead"/>
              <w:rPr>
                <w:lang w:val="en-US"/>
              </w:rPr>
            </w:pPr>
            <w:r>
              <w:rPr>
                <w:lang w:val="en-US"/>
              </w:rPr>
              <w:t xml:space="preserve">Max. Pfd at the border of the service area (dBW/(m².MHz)) </w:t>
            </w:r>
          </w:p>
        </w:tc>
      </w:tr>
      <w:tr w:rsidR="004B1046" w:rsidRPr="00BF47C2" w:rsidTr="00985F33">
        <w:trPr>
          <w:jc w:val="center"/>
        </w:trPr>
        <w:tc>
          <w:tcPr>
            <w:tcW w:w="2611" w:type="dxa"/>
          </w:tcPr>
          <w:p w:rsidR="004B1046" w:rsidRPr="008D5C95" w:rsidRDefault="004B1046" w:rsidP="00985F33">
            <w:pPr>
              <w:pStyle w:val="Tabletext"/>
              <w:rPr>
                <w:lang w:val="en-US"/>
              </w:rPr>
            </w:pPr>
            <w:r w:rsidRPr="008D5C95">
              <w:rPr>
                <w:lang w:val="en-US"/>
              </w:rPr>
              <w:t>AD AFRIBSS</w:t>
            </w:r>
          </w:p>
        </w:tc>
        <w:tc>
          <w:tcPr>
            <w:tcW w:w="1272" w:type="dxa"/>
          </w:tcPr>
          <w:p w:rsidR="004B1046" w:rsidRPr="00954699" w:rsidRDefault="004B1046" w:rsidP="00985F33">
            <w:pPr>
              <w:pStyle w:val="Tabletext"/>
              <w:rPr>
                <w:lang w:val="en-US"/>
              </w:rPr>
            </w:pPr>
            <w:r>
              <w:rPr>
                <w:lang w:val="en-US"/>
              </w:rPr>
              <w:t>52.8 dBW</w:t>
            </w:r>
          </w:p>
        </w:tc>
        <w:tc>
          <w:tcPr>
            <w:tcW w:w="1161" w:type="dxa"/>
          </w:tcPr>
          <w:p w:rsidR="004B1046" w:rsidRPr="00954699" w:rsidRDefault="004B1046" w:rsidP="00985F33">
            <w:pPr>
              <w:pStyle w:val="Tabletext"/>
              <w:rPr>
                <w:lang w:val="en-US"/>
              </w:rPr>
            </w:pPr>
            <w:r>
              <w:rPr>
                <w:lang w:val="en-US"/>
              </w:rPr>
              <w:t>3</w:t>
            </w:r>
          </w:p>
        </w:tc>
        <w:tc>
          <w:tcPr>
            <w:tcW w:w="1861" w:type="dxa"/>
          </w:tcPr>
          <w:p w:rsidR="004B1046" w:rsidRPr="00954699" w:rsidRDefault="004B1046" w:rsidP="00985F33">
            <w:pPr>
              <w:pStyle w:val="Tabletext"/>
              <w:rPr>
                <w:lang w:val="en-US"/>
              </w:rPr>
            </w:pPr>
            <w:r>
              <w:rPr>
                <w:lang w:val="en-US"/>
              </w:rPr>
              <w:t>&lt;-113</w:t>
            </w:r>
          </w:p>
        </w:tc>
        <w:tc>
          <w:tcPr>
            <w:tcW w:w="2415" w:type="dxa"/>
          </w:tcPr>
          <w:p w:rsidR="004B1046" w:rsidRPr="00954699" w:rsidRDefault="004B1046" w:rsidP="00985F33">
            <w:pPr>
              <w:pStyle w:val="Tabletext"/>
              <w:rPr>
                <w:lang w:val="en-US"/>
              </w:rPr>
            </w:pPr>
            <w:r>
              <w:rPr>
                <w:lang w:val="en-US"/>
              </w:rPr>
              <w:t>&lt;-113</w:t>
            </w:r>
          </w:p>
        </w:tc>
      </w:tr>
      <w:tr w:rsidR="004B1046" w:rsidRPr="00BF47C2" w:rsidTr="00985F33">
        <w:trPr>
          <w:jc w:val="center"/>
        </w:trPr>
        <w:tc>
          <w:tcPr>
            <w:tcW w:w="2611" w:type="dxa"/>
          </w:tcPr>
          <w:p w:rsidR="004B1046" w:rsidRPr="008D5C95" w:rsidRDefault="004B1046" w:rsidP="00985F33">
            <w:pPr>
              <w:pStyle w:val="Tabletext"/>
              <w:rPr>
                <w:lang w:val="en-US"/>
              </w:rPr>
            </w:pPr>
            <w:r w:rsidRPr="008D5C95">
              <w:rPr>
                <w:lang w:val="en-US"/>
              </w:rPr>
              <w:t>BD AFRIBSS</w:t>
            </w:r>
          </w:p>
        </w:tc>
        <w:tc>
          <w:tcPr>
            <w:tcW w:w="1272" w:type="dxa"/>
          </w:tcPr>
          <w:p w:rsidR="004B1046" w:rsidRPr="00954699" w:rsidRDefault="004B1046" w:rsidP="00985F33">
            <w:pPr>
              <w:pStyle w:val="Tabletext"/>
              <w:rPr>
                <w:lang w:val="en-US"/>
              </w:rPr>
            </w:pPr>
            <w:r>
              <w:rPr>
                <w:lang w:val="en-US"/>
              </w:rPr>
              <w:t>53.5 dBW</w:t>
            </w:r>
          </w:p>
        </w:tc>
        <w:tc>
          <w:tcPr>
            <w:tcW w:w="1161" w:type="dxa"/>
          </w:tcPr>
          <w:p w:rsidR="004B1046" w:rsidRPr="00954699" w:rsidRDefault="004B1046" w:rsidP="00985F33">
            <w:pPr>
              <w:pStyle w:val="Tabletext"/>
              <w:rPr>
                <w:lang w:val="en-US"/>
              </w:rPr>
            </w:pPr>
            <w:r>
              <w:rPr>
                <w:lang w:val="en-US"/>
              </w:rPr>
              <w:t>3</w:t>
            </w:r>
          </w:p>
        </w:tc>
        <w:tc>
          <w:tcPr>
            <w:tcW w:w="1861" w:type="dxa"/>
          </w:tcPr>
          <w:p w:rsidR="004B1046" w:rsidRPr="00954699" w:rsidRDefault="004B1046" w:rsidP="00985F33">
            <w:pPr>
              <w:pStyle w:val="Tabletext"/>
              <w:rPr>
                <w:lang w:val="en-US"/>
              </w:rPr>
            </w:pPr>
            <w:r>
              <w:rPr>
                <w:lang w:val="en-US"/>
              </w:rPr>
              <w:t>&lt;-113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CD AFRIBSS</w:t>
            </w:r>
          </w:p>
        </w:tc>
        <w:tc>
          <w:tcPr>
            <w:tcW w:w="1272" w:type="dxa"/>
          </w:tcPr>
          <w:p w:rsidR="004B1046" w:rsidRPr="00954699" w:rsidRDefault="004B1046" w:rsidP="00985F33">
            <w:pPr>
              <w:pStyle w:val="Tabletext"/>
              <w:rPr>
                <w:lang w:val="en-US"/>
              </w:rPr>
            </w:pPr>
            <w:r>
              <w:rPr>
                <w:lang w:val="en-US"/>
              </w:rPr>
              <w:t>52.8 dBW</w:t>
            </w:r>
          </w:p>
        </w:tc>
        <w:tc>
          <w:tcPr>
            <w:tcW w:w="1161" w:type="dxa"/>
          </w:tcPr>
          <w:p w:rsidR="004B1046" w:rsidRPr="00954699" w:rsidRDefault="004B1046" w:rsidP="00985F33">
            <w:pPr>
              <w:pStyle w:val="Tabletext"/>
              <w:rPr>
                <w:lang w:val="en-US"/>
              </w:rPr>
            </w:pPr>
            <w:r>
              <w:rPr>
                <w:lang w:val="en-US"/>
              </w:rPr>
              <w:t>3</w:t>
            </w:r>
          </w:p>
        </w:tc>
        <w:tc>
          <w:tcPr>
            <w:tcW w:w="1861" w:type="dxa"/>
          </w:tcPr>
          <w:p w:rsidR="004B1046" w:rsidRPr="00954699" w:rsidRDefault="004B1046" w:rsidP="00985F33">
            <w:pPr>
              <w:pStyle w:val="Tabletext"/>
              <w:rPr>
                <w:lang w:val="en-US"/>
              </w:rPr>
            </w:pPr>
            <w:r>
              <w:rPr>
                <w:lang w:val="en-US"/>
              </w:rPr>
              <w:t>&lt;-113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AD2 AFRIBSS</w:t>
            </w:r>
          </w:p>
        </w:tc>
        <w:tc>
          <w:tcPr>
            <w:tcW w:w="1272" w:type="dxa"/>
          </w:tcPr>
          <w:p w:rsidR="004B1046" w:rsidRPr="00954699" w:rsidRDefault="004B1046" w:rsidP="00985F33">
            <w:pPr>
              <w:pStyle w:val="Tabletext"/>
              <w:rPr>
                <w:lang w:val="en-US"/>
              </w:rPr>
            </w:pPr>
            <w:r>
              <w:rPr>
                <w:lang w:val="en-US"/>
              </w:rPr>
              <w:t>53.8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BD2 AFRIBSS</w:t>
            </w:r>
          </w:p>
        </w:tc>
        <w:tc>
          <w:tcPr>
            <w:tcW w:w="1272" w:type="dxa"/>
          </w:tcPr>
          <w:p w:rsidR="004B1046" w:rsidRPr="00954699" w:rsidRDefault="004B1046" w:rsidP="00985F33">
            <w:pPr>
              <w:pStyle w:val="Tabletext"/>
              <w:rPr>
                <w:lang w:val="en-US"/>
              </w:rPr>
            </w:pPr>
            <w:r>
              <w:rPr>
                <w:lang w:val="en-US"/>
              </w:rPr>
              <w:t>54.3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CD2 AFRIBSS</w:t>
            </w:r>
          </w:p>
        </w:tc>
        <w:tc>
          <w:tcPr>
            <w:tcW w:w="1272" w:type="dxa"/>
          </w:tcPr>
          <w:p w:rsidR="004B1046" w:rsidRPr="00954699" w:rsidRDefault="004B1046" w:rsidP="00985F33">
            <w:pPr>
              <w:pStyle w:val="Tabletext"/>
              <w:rPr>
                <w:lang w:val="en-US"/>
              </w:rPr>
            </w:pPr>
            <w:r>
              <w:rPr>
                <w:lang w:val="en-US"/>
              </w:rPr>
              <w:t>53.8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AD ASIABSS</w:t>
            </w:r>
          </w:p>
        </w:tc>
        <w:tc>
          <w:tcPr>
            <w:tcW w:w="1272" w:type="dxa"/>
          </w:tcPr>
          <w:p w:rsidR="004B1046" w:rsidRPr="00954699" w:rsidRDefault="004B1046" w:rsidP="00985F33">
            <w:pPr>
              <w:pStyle w:val="Tabletext"/>
              <w:rPr>
                <w:lang w:val="en-US"/>
              </w:rPr>
            </w:pPr>
            <w:r>
              <w:rPr>
                <w:lang w:val="en-US"/>
              </w:rPr>
              <w:t>53.8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BD ASIABSS</w:t>
            </w:r>
          </w:p>
        </w:tc>
        <w:tc>
          <w:tcPr>
            <w:tcW w:w="1272" w:type="dxa"/>
          </w:tcPr>
          <w:p w:rsidR="004B1046" w:rsidRPr="00954699" w:rsidRDefault="004B1046" w:rsidP="00985F33">
            <w:pPr>
              <w:pStyle w:val="Tabletext"/>
              <w:rPr>
                <w:lang w:val="en-US"/>
              </w:rPr>
            </w:pPr>
            <w:r>
              <w:rPr>
                <w:lang w:val="en-US"/>
              </w:rPr>
              <w:t>54.3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CD ASIABSS</w:t>
            </w:r>
          </w:p>
        </w:tc>
        <w:tc>
          <w:tcPr>
            <w:tcW w:w="1272" w:type="dxa"/>
          </w:tcPr>
          <w:p w:rsidR="004B1046" w:rsidRPr="00954699" w:rsidRDefault="004B1046" w:rsidP="00985F33">
            <w:pPr>
              <w:pStyle w:val="Tabletext"/>
              <w:rPr>
                <w:lang w:val="en-US"/>
              </w:rPr>
            </w:pPr>
            <w:r>
              <w:rPr>
                <w:lang w:val="en-US"/>
              </w:rPr>
              <w:t>53.8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LDCN CHINASAT</w:t>
            </w:r>
            <w:r>
              <w:rPr>
                <w:lang w:val="en-US"/>
              </w:rPr>
              <w:t>-92.2E</w:t>
            </w:r>
          </w:p>
        </w:tc>
        <w:tc>
          <w:tcPr>
            <w:tcW w:w="1272" w:type="dxa"/>
          </w:tcPr>
          <w:p w:rsidR="004B1046" w:rsidRPr="00954699" w:rsidRDefault="004B1046" w:rsidP="00985F33">
            <w:pPr>
              <w:pStyle w:val="Tabletext"/>
              <w:rPr>
                <w:lang w:val="en-US"/>
              </w:rPr>
            </w:pPr>
            <w:r>
              <w:rPr>
                <w:lang w:val="en-US"/>
              </w:rPr>
              <w:t>54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tcPr>
          <w:p w:rsidR="004B1046" w:rsidRPr="00954699" w:rsidRDefault="004B1046" w:rsidP="00985F33">
            <w:pPr>
              <w:pStyle w:val="Tabletext"/>
              <w:rPr>
                <w:lang w:val="en-US"/>
              </w:rPr>
            </w:pPr>
            <w:r>
              <w:rPr>
                <w:lang w:val="en-US"/>
              </w:rPr>
              <w:t>&lt;-113</w:t>
            </w:r>
          </w:p>
        </w:tc>
      </w:tr>
      <w:tr w:rsidR="004B1046" w:rsidRPr="009460C8" w:rsidTr="00985F33">
        <w:trPr>
          <w:jc w:val="center"/>
        </w:trPr>
        <w:tc>
          <w:tcPr>
            <w:tcW w:w="2611" w:type="dxa"/>
          </w:tcPr>
          <w:p w:rsidR="004B1046" w:rsidRPr="008D5C95" w:rsidRDefault="004B1046" w:rsidP="00985F33">
            <w:pPr>
              <w:pStyle w:val="Tabletext"/>
              <w:rPr>
                <w:lang w:val="en-US"/>
              </w:rPr>
            </w:pPr>
            <w:r w:rsidRPr="008D5C95">
              <w:rPr>
                <w:lang w:val="en-US"/>
              </w:rPr>
              <w:t>CHINASAT</w:t>
            </w:r>
            <w:r>
              <w:rPr>
                <w:lang w:val="en-US"/>
              </w:rPr>
              <w:t xml:space="preserve"> (Coordination </w:t>
            </w:r>
            <w:r>
              <w:rPr>
                <w:lang w:val="en-US"/>
              </w:rPr>
              <w:br/>
              <w:t>requests)</w:t>
            </w:r>
          </w:p>
        </w:tc>
        <w:tc>
          <w:tcPr>
            <w:tcW w:w="1272" w:type="dxa"/>
          </w:tcPr>
          <w:p w:rsidR="004B1046" w:rsidRDefault="004B1046" w:rsidP="00985F33">
            <w:pPr>
              <w:pStyle w:val="Tabletext"/>
              <w:rPr>
                <w:lang w:val="en-US"/>
              </w:rPr>
            </w:pPr>
            <w:r>
              <w:rPr>
                <w:lang w:val="en-US"/>
              </w:rPr>
              <w:t>68.8 dBW</w:t>
            </w:r>
          </w:p>
        </w:tc>
        <w:tc>
          <w:tcPr>
            <w:tcW w:w="1161" w:type="dxa"/>
          </w:tcPr>
          <w:p w:rsidR="004B1046"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shd w:val="clear" w:color="auto" w:fill="FF0000"/>
          </w:tcPr>
          <w:p w:rsidR="004B1046" w:rsidRPr="009460C8" w:rsidRDefault="004B1046" w:rsidP="00985F33">
            <w:pPr>
              <w:pStyle w:val="Tabletext"/>
              <w:rPr>
                <w:color w:val="FFFFFF" w:themeColor="background1"/>
                <w:lang w:val="en-US"/>
              </w:rPr>
            </w:pPr>
            <w:r w:rsidRPr="009460C8">
              <w:rPr>
                <w:color w:val="FFFFFF" w:themeColor="background1"/>
                <w:highlight w:val="red"/>
                <w:lang w:val="en-US"/>
              </w:rPr>
              <w:t>&gt;-113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 xml:space="preserve">EL1 DFH-3-OC </w:t>
            </w:r>
          </w:p>
        </w:tc>
        <w:tc>
          <w:tcPr>
            <w:tcW w:w="1272" w:type="dxa"/>
          </w:tcPr>
          <w:p w:rsidR="004B1046" w:rsidRPr="00954699" w:rsidRDefault="004B1046" w:rsidP="00985F33">
            <w:pPr>
              <w:pStyle w:val="Tabletext"/>
              <w:rPr>
                <w:lang w:val="en-US"/>
              </w:rPr>
            </w:pPr>
            <w:r>
              <w:rPr>
                <w:lang w:val="en-US"/>
              </w:rPr>
              <w:t>58.9 dBW</w:t>
            </w:r>
          </w:p>
        </w:tc>
        <w:tc>
          <w:tcPr>
            <w:tcW w:w="1161" w:type="dxa"/>
          </w:tcPr>
          <w:p w:rsidR="004B1046" w:rsidRPr="00954699" w:rsidRDefault="004B1046" w:rsidP="00985F33">
            <w:pPr>
              <w:pStyle w:val="Tabletext"/>
              <w:rPr>
                <w:lang w:val="en-US"/>
              </w:rPr>
            </w:pPr>
            <w:r>
              <w:rPr>
                <w:lang w:val="en-US"/>
              </w:rPr>
              <w:t>2.6</w:t>
            </w:r>
          </w:p>
        </w:tc>
        <w:tc>
          <w:tcPr>
            <w:tcW w:w="1861" w:type="dxa"/>
          </w:tcPr>
          <w:p w:rsidR="004B1046" w:rsidRPr="00912BC0" w:rsidRDefault="004B1046" w:rsidP="00985F33">
            <w:pPr>
              <w:pStyle w:val="Tabletext"/>
              <w:rPr>
                <w:lang w:val="en-US"/>
              </w:rPr>
            </w:pPr>
            <w:r w:rsidRPr="00912BC0">
              <w:rPr>
                <w:lang w:val="en-US"/>
              </w:rPr>
              <w:t>&lt;-1</w:t>
            </w:r>
            <w:r>
              <w:rPr>
                <w:lang w:val="en-US"/>
              </w:rPr>
              <w:t>13</w:t>
            </w:r>
          </w:p>
        </w:tc>
        <w:tc>
          <w:tcPr>
            <w:tcW w:w="2415" w:type="dxa"/>
          </w:tcPr>
          <w:p w:rsidR="004B1046" w:rsidRPr="00912BC0" w:rsidRDefault="004B1046" w:rsidP="00985F33">
            <w:pPr>
              <w:pStyle w:val="Tabletext"/>
              <w:rPr>
                <w:lang w:val="en-US"/>
              </w:rPr>
            </w:pPr>
            <w:r w:rsidRPr="00912BC0">
              <w:rPr>
                <w:lang w:val="en-US"/>
              </w:rPr>
              <w:t>&lt;-1</w:t>
            </w:r>
            <w:r>
              <w:rPr>
                <w:lang w:val="en-US"/>
              </w:rPr>
              <w:t>13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LEBR SADKO</w:t>
            </w:r>
            <w:r>
              <w:rPr>
                <w:lang w:val="en-US"/>
              </w:rPr>
              <w:t>-1</w:t>
            </w:r>
          </w:p>
        </w:tc>
        <w:tc>
          <w:tcPr>
            <w:tcW w:w="1272" w:type="dxa"/>
          </w:tcPr>
          <w:p w:rsidR="004B1046" w:rsidRPr="00954699" w:rsidRDefault="004B1046" w:rsidP="00985F33">
            <w:pPr>
              <w:pStyle w:val="Tabletext"/>
              <w:rPr>
                <w:lang w:val="en-US"/>
              </w:rPr>
            </w:pPr>
            <w:r>
              <w:rPr>
                <w:lang w:val="en-US"/>
              </w:rPr>
              <w:t>59 dBW</w:t>
            </w:r>
          </w:p>
        </w:tc>
        <w:tc>
          <w:tcPr>
            <w:tcW w:w="1161" w:type="dxa"/>
          </w:tcPr>
          <w:p w:rsidR="004B1046" w:rsidRPr="00954699" w:rsidRDefault="004B1046" w:rsidP="00985F33">
            <w:pPr>
              <w:pStyle w:val="Tabletext"/>
              <w:rPr>
                <w:lang w:val="en-US"/>
              </w:rPr>
            </w:pPr>
            <w:r>
              <w:rPr>
                <w:lang w:val="en-US"/>
              </w:rPr>
              <w:t>1.35</w:t>
            </w:r>
          </w:p>
        </w:tc>
        <w:tc>
          <w:tcPr>
            <w:tcW w:w="1861" w:type="dxa"/>
          </w:tcPr>
          <w:p w:rsidR="004B1046" w:rsidRPr="00954699" w:rsidRDefault="004B1046" w:rsidP="00985F33">
            <w:pPr>
              <w:pStyle w:val="Tabletext"/>
              <w:rPr>
                <w:lang w:val="en-US"/>
              </w:rPr>
            </w:pPr>
            <w:r>
              <w:rPr>
                <w:lang w:val="en-US"/>
              </w:rPr>
              <w:t>&gt;-113</w:t>
            </w:r>
          </w:p>
        </w:tc>
        <w:tc>
          <w:tcPr>
            <w:tcW w:w="2415" w:type="dxa"/>
            <w:shd w:val="clear" w:color="auto" w:fill="FF0000"/>
          </w:tcPr>
          <w:p w:rsidR="004B1046" w:rsidRPr="00954699" w:rsidRDefault="004B1046" w:rsidP="00985F33">
            <w:pPr>
              <w:pStyle w:val="Tabletext"/>
              <w:rPr>
                <w:lang w:val="en-US"/>
              </w:rPr>
            </w:pPr>
            <w:r>
              <w:rPr>
                <w:lang w:val="en-US"/>
              </w:rPr>
              <w:t>&gt;-</w:t>
            </w:r>
            <w:r w:rsidRPr="00A66C72">
              <w:rPr>
                <w:color w:val="000000" w:themeColor="text1"/>
                <w:lang w:val="en-US"/>
              </w:rPr>
              <w:t>11</w:t>
            </w:r>
            <w:r>
              <w:rPr>
                <w:color w:val="000000" w:themeColor="text1"/>
                <w:lang w:val="en-US"/>
              </w:rPr>
              <w:t>3</w:t>
            </w:r>
          </w:p>
        </w:tc>
      </w:tr>
      <w:tr w:rsidR="004B1046" w:rsidTr="00985F33">
        <w:trPr>
          <w:jc w:val="center"/>
        </w:trPr>
        <w:tc>
          <w:tcPr>
            <w:tcW w:w="2611" w:type="dxa"/>
          </w:tcPr>
          <w:p w:rsidR="004B1046" w:rsidRPr="008D5C95" w:rsidRDefault="004B1046" w:rsidP="00985F33">
            <w:pPr>
              <w:pStyle w:val="Tabletext"/>
              <w:rPr>
                <w:lang w:val="en-US"/>
              </w:rPr>
            </w:pPr>
            <w:r w:rsidRPr="008D5C95">
              <w:rPr>
                <w:lang w:val="en-US"/>
              </w:rPr>
              <w:t>LBN INDOSTAR</w:t>
            </w:r>
          </w:p>
        </w:tc>
        <w:tc>
          <w:tcPr>
            <w:tcW w:w="1272" w:type="dxa"/>
          </w:tcPr>
          <w:p w:rsidR="004B1046" w:rsidRPr="00954699" w:rsidRDefault="004B1046" w:rsidP="00985F33">
            <w:pPr>
              <w:pStyle w:val="Tabletext"/>
              <w:rPr>
                <w:lang w:val="en-US"/>
              </w:rPr>
            </w:pPr>
            <w:r>
              <w:rPr>
                <w:lang w:val="en-US"/>
              </w:rPr>
              <w:t>43.9 dBW</w:t>
            </w:r>
          </w:p>
        </w:tc>
        <w:tc>
          <w:tcPr>
            <w:tcW w:w="1161" w:type="dxa"/>
          </w:tcPr>
          <w:p w:rsidR="004B1046" w:rsidRPr="00954699" w:rsidRDefault="004B1046" w:rsidP="00985F33">
            <w:pPr>
              <w:pStyle w:val="Tabletext"/>
              <w:rPr>
                <w:lang w:val="en-US"/>
              </w:rPr>
            </w:pPr>
            <w:r>
              <w:rPr>
                <w:lang w:val="en-US"/>
              </w:rPr>
              <w:t>0.3</w:t>
            </w:r>
          </w:p>
        </w:tc>
        <w:tc>
          <w:tcPr>
            <w:tcW w:w="1861" w:type="dxa"/>
          </w:tcPr>
          <w:p w:rsidR="004B1046" w:rsidRPr="00912BC0" w:rsidRDefault="004B1046" w:rsidP="00985F33">
            <w:pPr>
              <w:pStyle w:val="Tabletext"/>
              <w:rPr>
                <w:lang w:val="en-US"/>
              </w:rPr>
            </w:pPr>
            <w:r w:rsidRPr="00912BC0">
              <w:rPr>
                <w:lang w:val="en-US"/>
              </w:rPr>
              <w:t>&lt;-11</w:t>
            </w:r>
            <w:r>
              <w:rPr>
                <w:lang w:val="en-US"/>
              </w:rPr>
              <w:t>3</w:t>
            </w:r>
          </w:p>
        </w:tc>
        <w:tc>
          <w:tcPr>
            <w:tcW w:w="2415" w:type="dxa"/>
          </w:tcPr>
          <w:p w:rsidR="004B1046" w:rsidRPr="00912BC0" w:rsidRDefault="004B1046" w:rsidP="00985F33">
            <w:pPr>
              <w:pStyle w:val="Tabletext"/>
              <w:rPr>
                <w:lang w:val="en-US"/>
              </w:rPr>
            </w:pPr>
            <w:r w:rsidRPr="00912BC0">
              <w:rPr>
                <w:lang w:val="en-US"/>
              </w:rPr>
              <w:t>&lt;-11</w:t>
            </w:r>
            <w:r>
              <w:rPr>
                <w:lang w:val="en-US"/>
              </w:rPr>
              <w:t>3</w:t>
            </w:r>
          </w:p>
        </w:tc>
      </w:tr>
    </w:tbl>
    <w:p w:rsidR="004B1046" w:rsidRDefault="004B1046" w:rsidP="004B1046">
      <w:pPr>
        <w:rPr>
          <w:szCs w:val="24"/>
          <w:lang w:val="en-US"/>
        </w:rPr>
      </w:pPr>
    </w:p>
    <w:p w:rsidR="004B1046" w:rsidRDefault="004B1046" w:rsidP="004B1046">
      <w:pPr>
        <w:rPr>
          <w:szCs w:val="24"/>
          <w:lang w:val="en-US"/>
        </w:rPr>
      </w:pPr>
      <w:r>
        <w:rPr>
          <w:szCs w:val="24"/>
          <w:lang w:val="en-US"/>
        </w:rPr>
        <w:t>It can be noted that:</w:t>
      </w:r>
    </w:p>
    <w:p w:rsidR="004B1046" w:rsidRPr="009B23D0" w:rsidRDefault="004B1046" w:rsidP="004B1046">
      <w:pPr>
        <w:rPr>
          <w:szCs w:val="24"/>
          <w:lang w:val="en-US"/>
        </w:rPr>
      </w:pPr>
      <w:r>
        <w:rPr>
          <w:szCs w:val="24"/>
          <w:lang w:val="en-US"/>
        </w:rPr>
        <w:t>–</w:t>
      </w:r>
      <w:r>
        <w:rPr>
          <w:szCs w:val="24"/>
          <w:lang w:val="en-US"/>
        </w:rPr>
        <w:tab/>
      </w:r>
      <w:r w:rsidRPr="009B23D0">
        <w:rPr>
          <w:szCs w:val="24"/>
          <w:lang w:val="en-US"/>
        </w:rPr>
        <w:t>Some BSS satellite networks have beams (e.g. AFRIBSS beams AD, BD, CD) that comply with the proposed pfd limit (-113dBW/(m</w:t>
      </w:r>
      <w:r w:rsidRPr="009B23D0">
        <w:rPr>
          <w:szCs w:val="24"/>
          <w:vertAlign w:val="superscript"/>
          <w:lang w:val="en-US"/>
        </w:rPr>
        <w:t>2</w:t>
      </w:r>
      <w:r w:rsidRPr="009B23D0">
        <w:rPr>
          <w:szCs w:val="24"/>
          <w:lang w:val="en-US"/>
        </w:rPr>
        <w:t xml:space="preserve">.MHz)) </w:t>
      </w:r>
      <w:r w:rsidRPr="009B23D0">
        <w:rPr>
          <w:b/>
          <w:szCs w:val="24"/>
          <w:u w:val="single"/>
          <w:lang w:val="en-US"/>
        </w:rPr>
        <w:t>within</w:t>
      </w:r>
      <w:r w:rsidRPr="009B23D0">
        <w:rPr>
          <w:szCs w:val="24"/>
          <w:lang w:val="en-US"/>
        </w:rPr>
        <w:t xml:space="preserve"> the service area (see 4</w:t>
      </w:r>
      <w:r w:rsidRPr="009B23D0">
        <w:rPr>
          <w:szCs w:val="24"/>
          <w:vertAlign w:val="superscript"/>
          <w:lang w:val="en-US"/>
        </w:rPr>
        <w:t>th</w:t>
      </w:r>
      <w:r w:rsidRPr="009B23D0">
        <w:rPr>
          <w:szCs w:val="24"/>
          <w:lang w:val="en-US"/>
        </w:rPr>
        <w:t xml:space="preserve"> column of the previous table), showing that in some cases the proposed pfd limit  is higher than the pfd levels required to provide the intended service,</w:t>
      </w:r>
    </w:p>
    <w:p w:rsidR="004B1046" w:rsidRPr="009B23D0" w:rsidRDefault="004B1046" w:rsidP="004B1046">
      <w:pPr>
        <w:rPr>
          <w:szCs w:val="24"/>
          <w:lang w:val="en-US"/>
        </w:rPr>
      </w:pPr>
      <w:r>
        <w:rPr>
          <w:szCs w:val="24"/>
          <w:lang w:val="en-US"/>
        </w:rPr>
        <w:t>–</w:t>
      </w:r>
      <w:r>
        <w:rPr>
          <w:szCs w:val="24"/>
          <w:lang w:val="en-US"/>
        </w:rPr>
        <w:tab/>
      </w:r>
      <w:r w:rsidRPr="009B23D0">
        <w:rPr>
          <w:szCs w:val="24"/>
          <w:lang w:val="en-US"/>
        </w:rPr>
        <w:t>other BSS satellite networks are able to comply with the proposed pfd limit at the border of their service area (e.g. ASIABSS beams),</w:t>
      </w:r>
    </w:p>
    <w:p w:rsidR="004B1046" w:rsidRPr="009B23D0" w:rsidRDefault="004B1046" w:rsidP="004B1046">
      <w:pPr>
        <w:rPr>
          <w:szCs w:val="24"/>
          <w:lang w:val="en-US"/>
        </w:rPr>
      </w:pPr>
      <w:r>
        <w:rPr>
          <w:szCs w:val="24"/>
          <w:lang w:val="en-US"/>
        </w:rPr>
        <w:t>–</w:t>
      </w:r>
      <w:r>
        <w:rPr>
          <w:szCs w:val="24"/>
          <w:lang w:val="en-US"/>
        </w:rPr>
        <w:tab/>
      </w:r>
      <w:r w:rsidRPr="009B23D0">
        <w:rPr>
          <w:szCs w:val="24"/>
          <w:lang w:val="en-US"/>
        </w:rPr>
        <w:t>other BSS satellite networks do not meet the proposed pfd limit at the border of their service area (highlighted in red in the last column). These cases where the proposed pfd limit is exceeded outside the service area are listed in Table 4 below.</w:t>
      </w:r>
    </w:p>
    <w:p w:rsidR="004B1046" w:rsidRDefault="004B1046" w:rsidP="004B1046">
      <w:pPr>
        <w:pStyle w:val="TableNo"/>
        <w:rPr>
          <w:lang w:val="en-US"/>
        </w:rPr>
      </w:pPr>
      <w:r>
        <w:rPr>
          <w:lang w:val="en-US"/>
        </w:rPr>
        <w:t>Table 4</w:t>
      </w:r>
    </w:p>
    <w:p w:rsidR="004B1046" w:rsidRPr="00A40C32" w:rsidRDefault="004B1046" w:rsidP="004B1046">
      <w:pPr>
        <w:pStyle w:val="Tabletitle"/>
        <w:rPr>
          <w:lang w:val="en-US"/>
        </w:rPr>
      </w:pPr>
      <w:r>
        <w:rPr>
          <w:lang w:val="en-US"/>
        </w:rPr>
        <w:t xml:space="preserve">List of BSS satellite networks in the band 1452-1492 MHz </w:t>
      </w:r>
      <w:r>
        <w:rPr>
          <w:lang w:val="en-US"/>
        </w:rPr>
        <w:br/>
        <w:t xml:space="preserve">for which </w:t>
      </w:r>
      <w:r w:rsidRPr="00923951">
        <w:rPr>
          <w:lang w:val="en-US"/>
        </w:rPr>
        <w:t>the proposed pfd limit is exceeded outside the service area</w:t>
      </w:r>
    </w:p>
    <w:tbl>
      <w:tblPr>
        <w:tblStyle w:val="TableGrid"/>
        <w:tblW w:w="0" w:type="auto"/>
        <w:jc w:val="center"/>
        <w:tblLook w:val="04A0" w:firstRow="1" w:lastRow="0" w:firstColumn="1" w:lastColumn="0" w:noHBand="0" w:noVBand="1"/>
      </w:tblPr>
      <w:tblGrid>
        <w:gridCol w:w="2611"/>
        <w:gridCol w:w="1039"/>
        <w:gridCol w:w="1161"/>
        <w:gridCol w:w="1861"/>
        <w:gridCol w:w="2415"/>
      </w:tblGrid>
      <w:tr w:rsidR="004B1046" w:rsidRPr="003E28F5" w:rsidTr="00985F33">
        <w:trPr>
          <w:jc w:val="center"/>
        </w:trPr>
        <w:tc>
          <w:tcPr>
            <w:tcW w:w="0" w:type="auto"/>
          </w:tcPr>
          <w:p w:rsidR="004B1046" w:rsidRPr="00780A3F" w:rsidRDefault="004B1046" w:rsidP="00985F33">
            <w:pPr>
              <w:pStyle w:val="Tablehead"/>
              <w:rPr>
                <w:lang w:val="en-US"/>
              </w:rPr>
            </w:pPr>
            <w:r w:rsidRPr="00780A3F">
              <w:rPr>
                <w:lang w:val="en-US"/>
              </w:rPr>
              <w:t>Sat</w:t>
            </w:r>
            <w:r>
              <w:rPr>
                <w:lang w:val="en-US"/>
              </w:rPr>
              <w:t>ellite and</w:t>
            </w:r>
            <w:r w:rsidRPr="00780A3F">
              <w:rPr>
                <w:lang w:val="en-US"/>
              </w:rPr>
              <w:t>/</w:t>
            </w:r>
            <w:r>
              <w:rPr>
                <w:lang w:val="en-US"/>
              </w:rPr>
              <w:t xml:space="preserve">or </w:t>
            </w:r>
            <w:r w:rsidRPr="00780A3F">
              <w:rPr>
                <w:lang w:val="en-US"/>
              </w:rPr>
              <w:t>Beam Name</w:t>
            </w:r>
          </w:p>
        </w:tc>
        <w:tc>
          <w:tcPr>
            <w:tcW w:w="0" w:type="auto"/>
          </w:tcPr>
          <w:p w:rsidR="004B1046" w:rsidRPr="00844866" w:rsidRDefault="004B1046" w:rsidP="00985F33">
            <w:pPr>
              <w:pStyle w:val="Tablehead"/>
              <w:rPr>
                <w:lang w:val="en-US"/>
              </w:rPr>
            </w:pPr>
            <w:r w:rsidRPr="00844866">
              <w:rPr>
                <w:lang w:val="en-US"/>
              </w:rPr>
              <w:t>EIRP</w:t>
            </w:r>
            <w:r w:rsidRPr="00844866">
              <w:rPr>
                <w:vertAlign w:val="subscript"/>
                <w:lang w:val="en-US"/>
              </w:rPr>
              <w:t>max</w:t>
            </w:r>
          </w:p>
        </w:tc>
        <w:tc>
          <w:tcPr>
            <w:tcW w:w="0" w:type="auto"/>
          </w:tcPr>
          <w:p w:rsidR="004B1046" w:rsidRPr="001807E1" w:rsidRDefault="004B1046" w:rsidP="00985F33">
            <w:pPr>
              <w:pStyle w:val="Tablehead"/>
              <w:rPr>
                <w:lang w:val="en-US"/>
              </w:rPr>
            </w:pPr>
            <w:r w:rsidRPr="001807E1">
              <w:rPr>
                <w:lang w:val="en-US"/>
              </w:rPr>
              <w:t>B</w:t>
            </w:r>
            <w:r>
              <w:rPr>
                <w:lang w:val="en-US"/>
              </w:rPr>
              <w:t>andwidth</w:t>
            </w:r>
          </w:p>
          <w:p w:rsidR="004B1046" w:rsidRDefault="004B1046" w:rsidP="00985F33">
            <w:pPr>
              <w:pStyle w:val="Tablehead"/>
              <w:rPr>
                <w:sz w:val="32"/>
                <w:szCs w:val="32"/>
                <w:lang w:val="en-US"/>
              </w:rPr>
            </w:pPr>
            <w:r>
              <w:rPr>
                <w:lang w:val="en-US"/>
              </w:rPr>
              <w:t>(</w:t>
            </w:r>
            <w:r w:rsidRPr="001807E1">
              <w:rPr>
                <w:lang w:val="en-US"/>
              </w:rPr>
              <w:t>MHz</w:t>
            </w:r>
            <w:r>
              <w:rPr>
                <w:lang w:val="en-US"/>
              </w:rPr>
              <w:t>)</w:t>
            </w:r>
          </w:p>
        </w:tc>
        <w:tc>
          <w:tcPr>
            <w:tcW w:w="1861" w:type="dxa"/>
          </w:tcPr>
          <w:p w:rsidR="004B1046" w:rsidRPr="00110E83" w:rsidRDefault="004B1046" w:rsidP="00985F33">
            <w:pPr>
              <w:pStyle w:val="Tablehead"/>
              <w:rPr>
                <w:lang w:val="en-US"/>
              </w:rPr>
            </w:pPr>
            <w:r>
              <w:rPr>
                <w:lang w:val="en-US"/>
              </w:rPr>
              <w:t>Max. pfd within the service area (dBW/(m².MHz))</w:t>
            </w:r>
          </w:p>
        </w:tc>
        <w:tc>
          <w:tcPr>
            <w:tcW w:w="2415" w:type="dxa"/>
          </w:tcPr>
          <w:p w:rsidR="004B1046" w:rsidRPr="00A92AD7" w:rsidRDefault="004B1046" w:rsidP="00985F33">
            <w:pPr>
              <w:pStyle w:val="Tablehead"/>
              <w:rPr>
                <w:lang w:val="en-US"/>
              </w:rPr>
            </w:pPr>
            <w:r>
              <w:rPr>
                <w:lang w:val="en-US"/>
              </w:rPr>
              <w:t xml:space="preserve">Max. Pfd at the border of the service area (dBW/(m².MHz)) </w:t>
            </w:r>
          </w:p>
        </w:tc>
      </w:tr>
      <w:tr w:rsidR="004B1046" w:rsidTr="00985F33">
        <w:trPr>
          <w:jc w:val="center"/>
        </w:trPr>
        <w:tc>
          <w:tcPr>
            <w:tcW w:w="0" w:type="auto"/>
          </w:tcPr>
          <w:p w:rsidR="004B1046" w:rsidRPr="008D5C95" w:rsidRDefault="004B1046" w:rsidP="00985F33">
            <w:pPr>
              <w:pStyle w:val="Tabletext"/>
              <w:rPr>
                <w:lang w:val="en-US"/>
              </w:rPr>
            </w:pPr>
            <w:r w:rsidRPr="008D5C95">
              <w:rPr>
                <w:lang w:val="en-US"/>
              </w:rPr>
              <w:t>CHINASAT</w:t>
            </w:r>
            <w:r>
              <w:rPr>
                <w:lang w:val="en-US"/>
              </w:rPr>
              <w:t xml:space="preserve"> (Coordination </w:t>
            </w:r>
            <w:r>
              <w:rPr>
                <w:lang w:val="en-US"/>
              </w:rPr>
              <w:br/>
              <w:t>requests)</w:t>
            </w:r>
          </w:p>
        </w:tc>
        <w:tc>
          <w:tcPr>
            <w:tcW w:w="0" w:type="auto"/>
          </w:tcPr>
          <w:p w:rsidR="004B1046" w:rsidRDefault="004B1046" w:rsidP="00985F33">
            <w:pPr>
              <w:pStyle w:val="Tabletext"/>
              <w:rPr>
                <w:lang w:val="en-US"/>
              </w:rPr>
            </w:pPr>
            <w:r>
              <w:rPr>
                <w:lang w:val="en-US"/>
              </w:rPr>
              <w:t>68.8 dBW</w:t>
            </w:r>
          </w:p>
        </w:tc>
        <w:tc>
          <w:tcPr>
            <w:tcW w:w="0" w:type="auto"/>
          </w:tcPr>
          <w:p w:rsidR="004B1046" w:rsidRDefault="004B1046" w:rsidP="00985F33">
            <w:pPr>
              <w:pStyle w:val="Tabletext"/>
              <w:rPr>
                <w:lang w:val="en-US"/>
              </w:rPr>
            </w:pPr>
            <w:r>
              <w:rPr>
                <w:lang w:val="en-US"/>
              </w:rPr>
              <w:t>2.6</w:t>
            </w:r>
          </w:p>
        </w:tc>
        <w:tc>
          <w:tcPr>
            <w:tcW w:w="1861" w:type="dxa"/>
          </w:tcPr>
          <w:p w:rsidR="004B1046" w:rsidRPr="00954699" w:rsidRDefault="004B1046" w:rsidP="00985F33">
            <w:pPr>
              <w:pStyle w:val="Tabletext"/>
              <w:rPr>
                <w:lang w:val="en-US"/>
              </w:rPr>
            </w:pPr>
            <w:r>
              <w:rPr>
                <w:lang w:val="en-US"/>
              </w:rPr>
              <w:t>&gt;-113</w:t>
            </w:r>
          </w:p>
        </w:tc>
        <w:tc>
          <w:tcPr>
            <w:tcW w:w="2415" w:type="dxa"/>
            <w:shd w:val="clear" w:color="auto" w:fill="FF0000"/>
          </w:tcPr>
          <w:p w:rsidR="004B1046" w:rsidRPr="00923951" w:rsidRDefault="004B1046" w:rsidP="00985F33">
            <w:pPr>
              <w:pStyle w:val="Tabletext"/>
              <w:rPr>
                <w:lang w:val="en-US"/>
              </w:rPr>
            </w:pPr>
            <w:r w:rsidRPr="00AF4D16">
              <w:rPr>
                <w:lang w:val="en-US"/>
              </w:rPr>
              <w:t>&gt;-113</w:t>
            </w:r>
          </w:p>
        </w:tc>
      </w:tr>
      <w:tr w:rsidR="004B1046" w:rsidTr="00985F33">
        <w:trPr>
          <w:jc w:val="center"/>
        </w:trPr>
        <w:tc>
          <w:tcPr>
            <w:tcW w:w="0" w:type="auto"/>
          </w:tcPr>
          <w:p w:rsidR="004B1046" w:rsidRPr="008D5C95" w:rsidRDefault="004B1046" w:rsidP="00985F33">
            <w:pPr>
              <w:pStyle w:val="Tabletext"/>
              <w:rPr>
                <w:lang w:val="en-US"/>
              </w:rPr>
            </w:pPr>
            <w:r w:rsidRPr="008D5C95">
              <w:rPr>
                <w:lang w:val="en-US"/>
              </w:rPr>
              <w:t>LEBR SADKO</w:t>
            </w:r>
            <w:r>
              <w:rPr>
                <w:lang w:val="en-US"/>
              </w:rPr>
              <w:t>-1</w:t>
            </w:r>
          </w:p>
        </w:tc>
        <w:tc>
          <w:tcPr>
            <w:tcW w:w="0" w:type="auto"/>
          </w:tcPr>
          <w:p w:rsidR="004B1046" w:rsidRPr="00954699" w:rsidRDefault="004B1046" w:rsidP="00985F33">
            <w:pPr>
              <w:pStyle w:val="Tabletext"/>
              <w:rPr>
                <w:lang w:val="en-US"/>
              </w:rPr>
            </w:pPr>
            <w:r>
              <w:rPr>
                <w:lang w:val="en-US"/>
              </w:rPr>
              <w:t>59 dBW</w:t>
            </w:r>
          </w:p>
        </w:tc>
        <w:tc>
          <w:tcPr>
            <w:tcW w:w="0" w:type="auto"/>
          </w:tcPr>
          <w:p w:rsidR="004B1046" w:rsidRPr="00954699" w:rsidRDefault="004B1046" w:rsidP="00985F33">
            <w:pPr>
              <w:pStyle w:val="Tabletext"/>
              <w:rPr>
                <w:lang w:val="en-US"/>
              </w:rPr>
            </w:pPr>
            <w:r>
              <w:rPr>
                <w:lang w:val="en-US"/>
              </w:rPr>
              <w:t>1.35</w:t>
            </w:r>
          </w:p>
        </w:tc>
        <w:tc>
          <w:tcPr>
            <w:tcW w:w="1861" w:type="dxa"/>
          </w:tcPr>
          <w:p w:rsidR="004B1046" w:rsidRPr="00954699" w:rsidRDefault="004B1046" w:rsidP="00985F33">
            <w:pPr>
              <w:pStyle w:val="Tabletext"/>
              <w:rPr>
                <w:lang w:val="en-US"/>
              </w:rPr>
            </w:pPr>
            <w:r>
              <w:rPr>
                <w:lang w:val="en-US"/>
              </w:rPr>
              <w:t>&gt;-113</w:t>
            </w:r>
          </w:p>
        </w:tc>
        <w:tc>
          <w:tcPr>
            <w:tcW w:w="2415" w:type="dxa"/>
            <w:shd w:val="clear" w:color="auto" w:fill="FF0000"/>
          </w:tcPr>
          <w:p w:rsidR="004B1046" w:rsidRPr="00954699" w:rsidRDefault="004B1046" w:rsidP="00985F33">
            <w:pPr>
              <w:pStyle w:val="Tabletext"/>
              <w:rPr>
                <w:lang w:val="en-US"/>
              </w:rPr>
            </w:pPr>
            <w:r>
              <w:rPr>
                <w:lang w:val="en-US"/>
              </w:rPr>
              <w:t>&gt;-</w:t>
            </w:r>
            <w:r w:rsidRPr="00A66C72">
              <w:rPr>
                <w:color w:val="000000" w:themeColor="text1"/>
                <w:lang w:val="en-US"/>
              </w:rPr>
              <w:t>11</w:t>
            </w:r>
            <w:r>
              <w:rPr>
                <w:color w:val="000000" w:themeColor="text1"/>
                <w:lang w:val="en-US"/>
              </w:rPr>
              <w:t>3</w:t>
            </w:r>
          </w:p>
        </w:tc>
      </w:tr>
    </w:tbl>
    <w:p w:rsidR="004B1046" w:rsidRDefault="004B1046" w:rsidP="004B1046">
      <w:pPr>
        <w:rPr>
          <w:szCs w:val="24"/>
          <w:lang w:val="en-US"/>
        </w:rPr>
      </w:pPr>
    </w:p>
    <w:p w:rsidR="004B1046" w:rsidRDefault="004B1046" w:rsidP="004B1046">
      <w:pPr>
        <w:rPr>
          <w:szCs w:val="24"/>
          <w:lang w:val="en-US"/>
        </w:rPr>
      </w:pPr>
      <w:r>
        <w:rPr>
          <w:szCs w:val="24"/>
          <w:lang w:val="en-US"/>
        </w:rPr>
        <w:t>More precisely, the results show:</w:t>
      </w:r>
    </w:p>
    <w:p w:rsidR="004B1046" w:rsidRPr="00AF4D16" w:rsidRDefault="004B1046" w:rsidP="004B1046">
      <w:pPr>
        <w:pStyle w:val="Heading1"/>
        <w:rPr>
          <w:lang w:val="en-US"/>
        </w:rPr>
      </w:pPr>
      <w:r w:rsidRPr="00AF4D16">
        <w:rPr>
          <w:lang w:val="en-US"/>
        </w:rPr>
        <w:lastRenderedPageBreak/>
        <w:t>For LEBR SADKO-1</w:t>
      </w:r>
    </w:p>
    <w:p w:rsidR="004B1046" w:rsidRPr="0046060C" w:rsidRDefault="004B1046" w:rsidP="004B1046">
      <w:pPr>
        <w:rPr>
          <w:szCs w:val="24"/>
          <w:lang w:val="en-US"/>
        </w:rPr>
      </w:pPr>
      <w:r>
        <w:rPr>
          <w:szCs w:val="24"/>
          <w:lang w:val="en-US"/>
        </w:rPr>
        <w:t>Figure 2 depicts on the left-hand side the service area of the LEBR beam of the SADKO-1 satellite network (</w:t>
      </w:r>
      <w:r w:rsidRPr="0046060C">
        <w:rPr>
          <w:szCs w:val="24"/>
          <w:lang w:val="en-US"/>
        </w:rPr>
        <w:t>bold orange curve</w:t>
      </w:r>
      <w:r>
        <w:rPr>
          <w:szCs w:val="24"/>
          <w:lang w:val="en-US"/>
        </w:rPr>
        <w:t xml:space="preserve">) and on the right-hand side the area where the proposed </w:t>
      </w:r>
      <w:r w:rsidRPr="000B0E05">
        <w:rPr>
          <w:szCs w:val="24"/>
          <w:lang w:val="en-US"/>
        </w:rPr>
        <w:t xml:space="preserve">pfd limit </w:t>
      </w:r>
      <w:r>
        <w:rPr>
          <w:szCs w:val="24"/>
          <w:lang w:val="en-US"/>
        </w:rPr>
        <w:t xml:space="preserve">of </w:t>
      </w:r>
      <w:r>
        <w:rPr>
          <w:szCs w:val="24"/>
          <w:lang w:val="en-US"/>
        </w:rPr>
        <w:noBreakHyphen/>
      </w:r>
      <w:r w:rsidRPr="000B0E05">
        <w:rPr>
          <w:szCs w:val="24"/>
          <w:lang w:val="en-US"/>
        </w:rPr>
        <w:t>113</w:t>
      </w:r>
      <w:r>
        <w:rPr>
          <w:szCs w:val="24"/>
          <w:lang w:val="en-US"/>
        </w:rPr>
        <w:t> </w:t>
      </w:r>
      <w:r w:rsidRPr="000B0E05">
        <w:rPr>
          <w:szCs w:val="24"/>
          <w:lang w:val="en-US"/>
        </w:rPr>
        <w:t>dBW/</w:t>
      </w:r>
      <w:r>
        <w:rPr>
          <w:szCs w:val="24"/>
          <w:lang w:val="en-US"/>
        </w:rPr>
        <w:t>(</w:t>
      </w:r>
      <w:r w:rsidRPr="000B0E05">
        <w:rPr>
          <w:szCs w:val="24"/>
          <w:lang w:val="en-US"/>
        </w:rPr>
        <w:t>m</w:t>
      </w:r>
      <w:r w:rsidRPr="000B0E05">
        <w:rPr>
          <w:szCs w:val="24"/>
          <w:vertAlign w:val="superscript"/>
          <w:lang w:val="en-US"/>
        </w:rPr>
        <w:t>2</w:t>
      </w:r>
      <w:r>
        <w:rPr>
          <w:szCs w:val="24"/>
          <w:lang w:val="en-US"/>
        </w:rPr>
        <w:t>.</w:t>
      </w:r>
      <w:r w:rsidRPr="000B0E05">
        <w:rPr>
          <w:szCs w:val="24"/>
          <w:lang w:val="en-US"/>
        </w:rPr>
        <w:t>MHz)</w:t>
      </w:r>
      <w:r>
        <w:rPr>
          <w:szCs w:val="24"/>
          <w:lang w:val="en-US"/>
        </w:rPr>
        <w:t xml:space="preserve"> is exceeded </w:t>
      </w:r>
      <w:r w:rsidRPr="0046060C">
        <w:rPr>
          <w:szCs w:val="24"/>
          <w:lang w:val="en-US"/>
        </w:rPr>
        <w:t>(bold red curve)</w:t>
      </w:r>
      <w:r>
        <w:rPr>
          <w:szCs w:val="24"/>
          <w:lang w:val="en-US"/>
        </w:rPr>
        <w:t xml:space="preserve">. The coverage area of the SADKO-1 LEBR beam encompasses countries that are outside the service area (see geographic areas southern of the service area on the left-hand side of Figure 2).  </w:t>
      </w:r>
    </w:p>
    <w:p w:rsidR="004B1046" w:rsidRDefault="004B1046" w:rsidP="004B1046">
      <w:pPr>
        <w:pStyle w:val="ListParagraph"/>
        <w:rPr>
          <w:rFonts w:ascii="Times New Roman" w:hAnsi="Times New Roman" w:cs="Times New Roman"/>
          <w:sz w:val="24"/>
          <w:szCs w:val="24"/>
          <w:lang w:val="en-US"/>
        </w:rPr>
      </w:pPr>
    </w:p>
    <w:p w:rsidR="004B1046" w:rsidRPr="004B1046" w:rsidRDefault="004B1046" w:rsidP="004B1046">
      <w:pPr>
        <w:pStyle w:val="FigureNo"/>
        <w:rPr>
          <w:lang w:val="en-US"/>
        </w:rPr>
      </w:pPr>
      <w:r w:rsidRPr="004B1046">
        <w:rPr>
          <w:lang w:val="en-US"/>
        </w:rPr>
        <w:t>Figure 2</w:t>
      </w:r>
    </w:p>
    <w:p w:rsidR="004B1046" w:rsidRPr="004B1046" w:rsidRDefault="004B1046" w:rsidP="004B1046">
      <w:pPr>
        <w:pStyle w:val="Figuretitle"/>
        <w:rPr>
          <w:lang w:val="en-US"/>
        </w:rPr>
      </w:pPr>
      <w:r w:rsidRPr="004B1046">
        <w:rPr>
          <w:lang w:val="en-US"/>
        </w:rPr>
        <w:t>Coverage area and constant pfd area of the LEBR beam of the SADKO-1 satellite network</w:t>
      </w:r>
    </w:p>
    <w:p w:rsidR="004B1046" w:rsidRDefault="004B1046" w:rsidP="004B1046">
      <w:pPr>
        <w:pStyle w:val="Figure"/>
        <w:rPr>
          <w:lang w:val="en-US"/>
        </w:rPr>
      </w:pPr>
      <w:r w:rsidRPr="00AF4D16">
        <w:rPr>
          <w:noProof/>
          <w:lang w:val="en-US" w:eastAsia="zh-CN"/>
        </w:rPr>
        <w:drawing>
          <wp:inline distT="0" distB="0" distL="0" distR="0" wp14:anchorId="02D6C0E0" wp14:editId="03B1F1D3">
            <wp:extent cx="5753735" cy="8801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880110"/>
                    </a:xfrm>
                    <a:prstGeom prst="rect">
                      <a:avLst/>
                    </a:prstGeom>
                    <a:noFill/>
                    <a:ln>
                      <a:noFill/>
                    </a:ln>
                  </pic:spPr>
                </pic:pic>
              </a:graphicData>
            </a:graphic>
          </wp:inline>
        </w:drawing>
      </w:r>
    </w:p>
    <w:p w:rsidR="004B1046" w:rsidRPr="000B0E05" w:rsidRDefault="004B1046" w:rsidP="004B1046">
      <w:pPr>
        <w:rPr>
          <w:lang w:val="en-US"/>
        </w:rPr>
      </w:pPr>
    </w:p>
    <w:p w:rsidR="004B1046" w:rsidRDefault="004B1046" w:rsidP="004B1046">
      <w:pPr>
        <w:rPr>
          <w:szCs w:val="24"/>
          <w:lang w:val="en-US"/>
        </w:rPr>
      </w:pPr>
      <w:r>
        <w:rPr>
          <w:szCs w:val="24"/>
          <w:lang w:val="en-US"/>
        </w:rPr>
        <w:t>The proposed pfd limit is exceeded in some areas outside the territory of the Russian Federation, which constitutes the service area of the SADKO-1 LEBR beam. The result still remains the same if the satellite radiates with its lowest EIRP</w:t>
      </w:r>
      <w:r w:rsidRPr="00480DB5">
        <w:rPr>
          <w:szCs w:val="24"/>
          <w:lang w:val="en-US"/>
        </w:rPr>
        <w:t xml:space="preserve"> </w:t>
      </w:r>
      <w:r>
        <w:rPr>
          <w:szCs w:val="24"/>
          <w:lang w:val="en-US"/>
        </w:rPr>
        <w:t xml:space="preserve">value (56 dBW), which is only 3 dB below the maximum EIRP, thus showing large areas outside of the service area where the produced pfd exceeds </w:t>
      </w:r>
      <w:r>
        <w:rPr>
          <w:szCs w:val="24"/>
          <w:lang w:val="en-US"/>
        </w:rPr>
        <w:noBreakHyphen/>
        <w:t>113dBW/(m</w:t>
      </w:r>
      <w:r w:rsidRPr="003B44B4">
        <w:rPr>
          <w:szCs w:val="24"/>
          <w:vertAlign w:val="superscript"/>
          <w:lang w:val="en-US"/>
        </w:rPr>
        <w:t>2</w:t>
      </w:r>
      <w:r>
        <w:rPr>
          <w:szCs w:val="24"/>
          <w:lang w:val="en-US"/>
        </w:rPr>
        <w:t>.MHz) (see Figure 3 below).</w:t>
      </w:r>
    </w:p>
    <w:p w:rsidR="004B1046" w:rsidRPr="004B1046" w:rsidRDefault="004B1046" w:rsidP="004B1046">
      <w:pPr>
        <w:pStyle w:val="FigureNo"/>
        <w:rPr>
          <w:lang w:val="en-US"/>
        </w:rPr>
      </w:pPr>
      <w:r w:rsidRPr="004B1046">
        <w:rPr>
          <w:lang w:val="en-US"/>
        </w:rPr>
        <w:t>Figure 3</w:t>
      </w:r>
    </w:p>
    <w:p w:rsidR="004B1046" w:rsidRPr="004B1046" w:rsidRDefault="004B1046" w:rsidP="004B1046">
      <w:pPr>
        <w:pStyle w:val="Figuretitle"/>
        <w:rPr>
          <w:lang w:val="en-US"/>
        </w:rPr>
      </w:pPr>
      <w:r w:rsidRPr="004B1046">
        <w:rPr>
          <w:lang w:val="en-US"/>
        </w:rPr>
        <w:t xml:space="preserve">Constant pfd area of the LEBR beam of the SADKO-1 satellite network </w:t>
      </w:r>
      <w:r w:rsidRPr="004B1046">
        <w:rPr>
          <w:lang w:val="en-US"/>
        </w:rPr>
        <w:br/>
        <w:t>when emitting with its lowest EIRP level</w:t>
      </w:r>
    </w:p>
    <w:p w:rsidR="004B1046" w:rsidRPr="00F73BA5" w:rsidRDefault="004B1046" w:rsidP="004B1046">
      <w:pPr>
        <w:jc w:val="center"/>
        <w:rPr>
          <w:szCs w:val="24"/>
          <w:lang w:val="en-US"/>
        </w:rPr>
      </w:pPr>
      <w:r>
        <w:rPr>
          <w:noProof/>
          <w:szCs w:val="24"/>
          <w:lang w:val="en-US" w:eastAsia="zh-CN"/>
        </w:rPr>
        <w:drawing>
          <wp:inline distT="0" distB="0" distL="0" distR="0" wp14:anchorId="5C96D1B8" wp14:editId="20F854CE">
            <wp:extent cx="3579962" cy="1275303"/>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0097" cy="1275351"/>
                    </a:xfrm>
                    <a:prstGeom prst="rect">
                      <a:avLst/>
                    </a:prstGeom>
                    <a:noFill/>
                    <a:ln>
                      <a:noFill/>
                    </a:ln>
                  </pic:spPr>
                </pic:pic>
              </a:graphicData>
            </a:graphic>
          </wp:inline>
        </w:drawing>
      </w:r>
    </w:p>
    <w:p w:rsidR="004B1046" w:rsidRDefault="004B1046" w:rsidP="004B1046">
      <w:pPr>
        <w:rPr>
          <w:szCs w:val="24"/>
          <w:lang w:val="en-US"/>
        </w:rPr>
      </w:pPr>
    </w:p>
    <w:p w:rsidR="004B1046" w:rsidRDefault="004B1046" w:rsidP="004B1046">
      <w:pPr>
        <w:rPr>
          <w:szCs w:val="24"/>
          <w:lang w:val="en-US"/>
        </w:rPr>
      </w:pPr>
    </w:p>
    <w:p w:rsidR="004B1046" w:rsidRDefault="004B1046" w:rsidP="004B1046">
      <w:pPr>
        <w:rPr>
          <w:szCs w:val="24"/>
          <w:lang w:val="en-US"/>
        </w:rPr>
      </w:pPr>
      <w:r>
        <w:rPr>
          <w:szCs w:val="24"/>
          <w:lang w:val="en-US"/>
        </w:rPr>
        <w:t>There are two possibilities for the countries outside the service area but covered by the beam:</w:t>
      </w:r>
    </w:p>
    <w:p w:rsidR="004B1046" w:rsidRPr="00612C8C" w:rsidRDefault="004B1046" w:rsidP="004B1046">
      <w:pPr>
        <w:pStyle w:val="ListParagraph"/>
        <w:numPr>
          <w:ilvl w:val="0"/>
          <w:numId w:val="9"/>
        </w:numPr>
        <w:rPr>
          <w:rFonts w:ascii="Times New Roman" w:hAnsi="Times New Roman" w:cs="Times New Roman"/>
          <w:sz w:val="24"/>
          <w:szCs w:val="24"/>
          <w:lang w:val="en-US"/>
        </w:rPr>
      </w:pPr>
      <w:r w:rsidRPr="00612C8C">
        <w:rPr>
          <w:rFonts w:ascii="Times New Roman" w:hAnsi="Times New Roman" w:cs="Times New Roman"/>
          <w:sz w:val="24"/>
          <w:szCs w:val="24"/>
          <w:lang w:val="en-US"/>
        </w:rPr>
        <w:t>They wish to be part of the service area. Then the</w:t>
      </w:r>
      <w:r>
        <w:rPr>
          <w:rFonts w:ascii="Times New Roman" w:hAnsi="Times New Roman" w:cs="Times New Roman"/>
          <w:sz w:val="24"/>
          <w:szCs w:val="24"/>
          <w:lang w:val="en-US"/>
        </w:rPr>
        <w:t xml:space="preserve">y may accept that the pfd limit of </w:t>
      </w:r>
      <w:r>
        <w:rPr>
          <w:rFonts w:ascii="Times New Roman" w:hAnsi="Times New Roman" w:cs="Times New Roman"/>
          <w:sz w:val="24"/>
          <w:szCs w:val="24"/>
          <w:lang w:val="en-US"/>
        </w:rPr>
        <w:noBreakHyphen/>
        <w:t>113 </w:t>
      </w:r>
      <w:r w:rsidRPr="00612C8C">
        <w:rPr>
          <w:rFonts w:ascii="Times New Roman" w:hAnsi="Times New Roman" w:cs="Times New Roman"/>
          <w:sz w:val="24"/>
          <w:szCs w:val="24"/>
          <w:lang w:val="en-US"/>
        </w:rPr>
        <w:t>dBW/</w:t>
      </w:r>
      <w:r>
        <w:rPr>
          <w:rFonts w:ascii="Times New Roman" w:hAnsi="Times New Roman" w:cs="Times New Roman"/>
          <w:sz w:val="24"/>
          <w:szCs w:val="24"/>
          <w:lang w:val="en-US"/>
        </w:rPr>
        <w:t>(</w:t>
      </w:r>
      <w:r w:rsidRPr="00612C8C">
        <w:rPr>
          <w:rFonts w:ascii="Times New Roman" w:hAnsi="Times New Roman" w:cs="Times New Roman"/>
          <w:sz w:val="24"/>
          <w:szCs w:val="24"/>
          <w:lang w:val="en-US"/>
        </w:rPr>
        <w:t>m²</w:t>
      </w:r>
      <w:r>
        <w:rPr>
          <w:rFonts w:ascii="Times New Roman" w:hAnsi="Times New Roman" w:cs="Times New Roman"/>
          <w:sz w:val="24"/>
          <w:szCs w:val="24"/>
          <w:lang w:val="en-US"/>
        </w:rPr>
        <w:t>.</w:t>
      </w:r>
      <w:r w:rsidRPr="00612C8C">
        <w:rPr>
          <w:rFonts w:ascii="Times New Roman" w:hAnsi="Times New Roman" w:cs="Times New Roman"/>
          <w:sz w:val="24"/>
          <w:szCs w:val="24"/>
          <w:lang w:val="en-US"/>
        </w:rPr>
        <w:t>MHz</w:t>
      </w:r>
      <w:r>
        <w:rPr>
          <w:rFonts w:ascii="Times New Roman" w:hAnsi="Times New Roman" w:cs="Times New Roman"/>
          <w:sz w:val="24"/>
          <w:szCs w:val="24"/>
          <w:lang w:val="en-US"/>
        </w:rPr>
        <w:t>)</w:t>
      </w:r>
      <w:r w:rsidRPr="00612C8C">
        <w:rPr>
          <w:rFonts w:ascii="Times New Roman" w:hAnsi="Times New Roman" w:cs="Times New Roman"/>
          <w:sz w:val="24"/>
          <w:szCs w:val="24"/>
          <w:lang w:val="en-US"/>
        </w:rPr>
        <w:t xml:space="preserve"> </w:t>
      </w:r>
      <w:r>
        <w:rPr>
          <w:rFonts w:ascii="Times New Roman" w:hAnsi="Times New Roman" w:cs="Times New Roman"/>
          <w:sz w:val="24"/>
          <w:szCs w:val="24"/>
          <w:lang w:val="en-US"/>
        </w:rPr>
        <w:t>does not apply over their territories</w:t>
      </w:r>
      <w:r w:rsidRPr="00612C8C">
        <w:rPr>
          <w:rFonts w:ascii="Times New Roman" w:hAnsi="Times New Roman" w:cs="Times New Roman"/>
          <w:sz w:val="24"/>
          <w:szCs w:val="24"/>
          <w:lang w:val="en-US"/>
        </w:rPr>
        <w:t>.</w:t>
      </w:r>
    </w:p>
    <w:p w:rsidR="004B1046" w:rsidRPr="00612C8C" w:rsidRDefault="004B1046" w:rsidP="004B1046">
      <w:pPr>
        <w:pStyle w:val="ListParagraph"/>
        <w:numPr>
          <w:ilvl w:val="0"/>
          <w:numId w:val="9"/>
        </w:numPr>
        <w:rPr>
          <w:rFonts w:ascii="Times New Roman" w:hAnsi="Times New Roman" w:cs="Times New Roman"/>
          <w:sz w:val="24"/>
          <w:szCs w:val="24"/>
          <w:lang w:val="en-US"/>
        </w:rPr>
      </w:pPr>
      <w:r w:rsidRPr="00612C8C">
        <w:rPr>
          <w:rFonts w:ascii="Times New Roman" w:hAnsi="Times New Roman" w:cs="Times New Roman"/>
          <w:sz w:val="24"/>
          <w:szCs w:val="24"/>
          <w:lang w:val="en-US"/>
        </w:rPr>
        <w:t>They do no</w:t>
      </w:r>
      <w:r>
        <w:rPr>
          <w:rFonts w:ascii="Times New Roman" w:hAnsi="Times New Roman" w:cs="Times New Roman"/>
          <w:sz w:val="24"/>
          <w:szCs w:val="24"/>
          <w:lang w:val="en-US"/>
        </w:rPr>
        <w:t>t</w:t>
      </w:r>
      <w:r w:rsidRPr="00612C8C">
        <w:rPr>
          <w:rFonts w:ascii="Times New Roman" w:hAnsi="Times New Roman" w:cs="Times New Roman"/>
          <w:sz w:val="24"/>
          <w:szCs w:val="24"/>
          <w:lang w:val="en-US"/>
        </w:rPr>
        <w:t xml:space="preserve"> wish to be part of the service area. Then </w:t>
      </w:r>
      <w:r>
        <w:rPr>
          <w:rFonts w:ascii="Times New Roman" w:hAnsi="Times New Roman" w:cs="Times New Roman"/>
          <w:sz w:val="24"/>
          <w:szCs w:val="24"/>
          <w:lang w:val="en-US"/>
        </w:rPr>
        <w:t>the beam on the satellite should be designed in a manner that avoids full coverage of these countries</w:t>
      </w:r>
      <w:r w:rsidRPr="00612C8C">
        <w:rPr>
          <w:rFonts w:ascii="Times New Roman" w:hAnsi="Times New Roman" w:cs="Times New Roman"/>
          <w:sz w:val="24"/>
          <w:szCs w:val="24"/>
          <w:lang w:val="en-US"/>
        </w:rPr>
        <w:t xml:space="preserve">. </w:t>
      </w:r>
    </w:p>
    <w:p w:rsidR="004B1046" w:rsidRDefault="004B1046" w:rsidP="004B1046">
      <w:pPr>
        <w:rPr>
          <w:szCs w:val="24"/>
          <w:lang w:val="en-US"/>
        </w:rPr>
      </w:pPr>
      <w:r>
        <w:rPr>
          <w:szCs w:val="24"/>
          <w:lang w:val="en-US"/>
        </w:rPr>
        <w:lastRenderedPageBreak/>
        <w:t xml:space="preserve">In both cases, the pfd limit of -113 dBW/(m².MHz) is exceeded only over territories within a limited distance (ranging from 30 km to 190 km for case a) and up to 70 km for case b)) from the border of the service area. </w:t>
      </w:r>
    </w:p>
    <w:p w:rsidR="004B1046" w:rsidRDefault="004B1046" w:rsidP="004B1046">
      <w:pPr>
        <w:rPr>
          <w:szCs w:val="24"/>
          <w:lang w:val="en-US"/>
        </w:rPr>
      </w:pPr>
      <w:r>
        <w:rPr>
          <w:szCs w:val="24"/>
          <w:lang w:val="en-US"/>
        </w:rPr>
        <w:t>This could enable the notifying administration of the SADKO-1 satellite network:</w:t>
      </w:r>
    </w:p>
    <w:p w:rsidR="004B1046" w:rsidRDefault="004B1046" w:rsidP="004B1046">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to adapt the technical characteristics of this BSS satellite network to ensure that it will not affect terrestrial services such as IMT by complying with the proposed pfd limit of </w:t>
      </w:r>
      <w:r>
        <w:rPr>
          <w:rFonts w:ascii="Times New Roman" w:hAnsi="Times New Roman" w:cs="Times New Roman"/>
          <w:sz w:val="24"/>
          <w:szCs w:val="24"/>
          <w:lang w:val="en-US"/>
        </w:rPr>
        <w:noBreakHyphen/>
        <w:t xml:space="preserve">113 dBW/(m².MHz), </w:t>
      </w:r>
    </w:p>
    <w:p w:rsidR="004B1046" w:rsidRPr="00712AE5" w:rsidRDefault="004B1046" w:rsidP="004B1046">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in case where the impact is accepted by an administration</w:t>
      </w:r>
      <w:r w:rsidRPr="009A005C">
        <w:rPr>
          <w:rFonts w:ascii="Times New Roman" w:hAnsi="Times New Roman" w:cs="Times New Roman"/>
          <w:sz w:val="24"/>
          <w:szCs w:val="24"/>
          <w:lang w:val="en-US"/>
        </w:rPr>
        <w:t xml:space="preserve"> </w:t>
      </w:r>
      <w:r>
        <w:rPr>
          <w:rFonts w:ascii="Times New Roman" w:hAnsi="Times New Roman" w:cs="Times New Roman"/>
          <w:sz w:val="24"/>
          <w:szCs w:val="24"/>
          <w:lang w:val="en-US"/>
        </w:rPr>
        <w:t>neighbouring the service area, to reach agreement with it for such a pfd excess.</w:t>
      </w:r>
    </w:p>
    <w:p w:rsidR="004B1046" w:rsidRDefault="004B1046" w:rsidP="004B1046">
      <w:pPr>
        <w:rPr>
          <w:szCs w:val="24"/>
          <w:lang w:val="en-US"/>
        </w:rPr>
      </w:pPr>
      <w:r w:rsidRPr="000B0E05">
        <w:rPr>
          <w:szCs w:val="24"/>
          <w:lang w:val="en-US"/>
        </w:rPr>
        <w:t xml:space="preserve">As an example </w:t>
      </w:r>
      <w:r>
        <w:rPr>
          <w:szCs w:val="24"/>
          <w:lang w:val="en-US"/>
        </w:rPr>
        <w:t xml:space="preserve">of </w:t>
      </w:r>
      <w:r w:rsidRPr="000B0E05">
        <w:rPr>
          <w:szCs w:val="24"/>
          <w:lang w:val="en-US"/>
        </w:rPr>
        <w:t xml:space="preserve">a </w:t>
      </w:r>
      <w:r>
        <w:rPr>
          <w:szCs w:val="24"/>
          <w:lang w:val="en-US"/>
        </w:rPr>
        <w:t xml:space="preserve">possible </w:t>
      </w:r>
      <w:r w:rsidRPr="000B0E05">
        <w:rPr>
          <w:szCs w:val="24"/>
          <w:lang w:val="en-US"/>
        </w:rPr>
        <w:t xml:space="preserve">technical adaptation, if the </w:t>
      </w:r>
      <w:r>
        <w:rPr>
          <w:szCs w:val="24"/>
          <w:lang w:val="en-US"/>
        </w:rPr>
        <w:t xml:space="preserve">satellite </w:t>
      </w:r>
      <w:r w:rsidRPr="000B0E05">
        <w:rPr>
          <w:szCs w:val="24"/>
          <w:lang w:val="en-US"/>
        </w:rPr>
        <w:t>EIRP is limited to 52</w:t>
      </w:r>
      <w:r>
        <w:rPr>
          <w:szCs w:val="24"/>
          <w:lang w:val="en-US"/>
        </w:rPr>
        <w:t xml:space="preserve"> </w:t>
      </w:r>
      <w:r w:rsidRPr="000B0E05">
        <w:rPr>
          <w:szCs w:val="24"/>
          <w:lang w:val="en-US"/>
        </w:rPr>
        <w:t>dBW (</w:t>
      </w:r>
      <w:r>
        <w:rPr>
          <w:szCs w:val="24"/>
          <w:lang w:val="en-US"/>
        </w:rPr>
        <w:t>i.e. 4 </w:t>
      </w:r>
      <w:r w:rsidRPr="000B0E05">
        <w:rPr>
          <w:szCs w:val="24"/>
          <w:lang w:val="en-US"/>
        </w:rPr>
        <w:t xml:space="preserve">dB below the </w:t>
      </w:r>
      <w:r>
        <w:rPr>
          <w:szCs w:val="24"/>
          <w:lang w:val="en-US"/>
        </w:rPr>
        <w:t xml:space="preserve">submitted minimum </w:t>
      </w:r>
      <w:r w:rsidRPr="000B0E05">
        <w:rPr>
          <w:szCs w:val="24"/>
          <w:lang w:val="en-US"/>
        </w:rPr>
        <w:t xml:space="preserve">EIRP), then the proposed pfd limit is nearly met outside </w:t>
      </w:r>
      <w:r>
        <w:rPr>
          <w:szCs w:val="24"/>
          <w:lang w:val="en-US"/>
        </w:rPr>
        <w:t xml:space="preserve">the service </w:t>
      </w:r>
      <w:r w:rsidRPr="000B0E05">
        <w:rPr>
          <w:szCs w:val="24"/>
          <w:lang w:val="en-US"/>
        </w:rPr>
        <w:t>area</w:t>
      </w:r>
      <w:r>
        <w:rPr>
          <w:szCs w:val="24"/>
          <w:lang w:val="en-US"/>
        </w:rPr>
        <w:t xml:space="preserve"> (see Figure 4).</w:t>
      </w:r>
      <w:r w:rsidRPr="000B0E05">
        <w:rPr>
          <w:szCs w:val="24"/>
          <w:lang w:val="en-US"/>
        </w:rPr>
        <w:t xml:space="preserve"> </w:t>
      </w:r>
      <w:r>
        <w:rPr>
          <w:szCs w:val="24"/>
          <w:lang w:val="en-US"/>
        </w:rPr>
        <w:t>T</w:t>
      </w:r>
      <w:r w:rsidRPr="000B0E05">
        <w:rPr>
          <w:szCs w:val="24"/>
          <w:lang w:val="en-US"/>
        </w:rPr>
        <w:t xml:space="preserve">his EIRP </w:t>
      </w:r>
      <w:r>
        <w:rPr>
          <w:szCs w:val="24"/>
          <w:lang w:val="en-US"/>
        </w:rPr>
        <w:t xml:space="preserve">level </w:t>
      </w:r>
      <w:r w:rsidRPr="000B0E05">
        <w:rPr>
          <w:szCs w:val="24"/>
          <w:lang w:val="en-US"/>
        </w:rPr>
        <w:t xml:space="preserve">may reduce the BSS link margin within the </w:t>
      </w:r>
      <w:r>
        <w:rPr>
          <w:szCs w:val="24"/>
          <w:lang w:val="en-US"/>
        </w:rPr>
        <w:t xml:space="preserve">service area </w:t>
      </w:r>
      <w:r w:rsidRPr="000B0E05">
        <w:rPr>
          <w:szCs w:val="24"/>
          <w:lang w:val="en-US"/>
        </w:rPr>
        <w:t>and some other technical solutions (</w:t>
      </w:r>
      <w:r>
        <w:rPr>
          <w:szCs w:val="24"/>
          <w:lang w:val="en-US"/>
        </w:rPr>
        <w:t xml:space="preserve">e.g. </w:t>
      </w:r>
      <w:r w:rsidRPr="000B0E05">
        <w:rPr>
          <w:szCs w:val="24"/>
          <w:lang w:val="en-US"/>
        </w:rPr>
        <w:t xml:space="preserve">better beam shaping ) may be more appropriate.  </w:t>
      </w:r>
    </w:p>
    <w:p w:rsidR="004B1046" w:rsidRPr="004B1046" w:rsidRDefault="004B1046" w:rsidP="004B1046">
      <w:pPr>
        <w:pStyle w:val="FigureNo"/>
        <w:rPr>
          <w:lang w:val="en-US"/>
        </w:rPr>
      </w:pPr>
      <w:r w:rsidRPr="004B1046">
        <w:rPr>
          <w:lang w:val="en-US"/>
        </w:rPr>
        <w:t>Figure 4</w:t>
      </w:r>
    </w:p>
    <w:p w:rsidR="004B1046" w:rsidRDefault="004B1046" w:rsidP="004B1046">
      <w:pPr>
        <w:pStyle w:val="Figuretitle"/>
        <w:rPr>
          <w:szCs w:val="24"/>
          <w:lang w:val="en-US"/>
        </w:rPr>
      </w:pPr>
      <w:r w:rsidRPr="004B1046">
        <w:rPr>
          <w:lang w:val="en-US"/>
        </w:rPr>
        <w:t xml:space="preserve">Constant pfd area of the LEBR beam of the SADKO-1 satellite network </w:t>
      </w:r>
      <w:r w:rsidRPr="004B1046">
        <w:rPr>
          <w:lang w:val="en-US"/>
        </w:rPr>
        <w:br/>
        <w:t>when emitting with a reduced EIRP level</w:t>
      </w:r>
      <w:r>
        <w:rPr>
          <w:noProof/>
          <w:szCs w:val="24"/>
          <w:lang w:val="en-US" w:eastAsia="zh-CN"/>
        </w:rPr>
        <w:drawing>
          <wp:inline distT="0" distB="0" distL="0" distR="0" wp14:anchorId="71DA2CA3" wp14:editId="59EF6632">
            <wp:extent cx="5753735" cy="5435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543560"/>
                    </a:xfrm>
                    <a:prstGeom prst="rect">
                      <a:avLst/>
                    </a:prstGeom>
                    <a:noFill/>
                    <a:ln>
                      <a:noFill/>
                    </a:ln>
                  </pic:spPr>
                </pic:pic>
              </a:graphicData>
            </a:graphic>
          </wp:inline>
        </w:drawing>
      </w:r>
    </w:p>
    <w:p w:rsidR="004B1046" w:rsidRDefault="004B1046" w:rsidP="004B1046">
      <w:pPr>
        <w:pStyle w:val="Heading1"/>
        <w:rPr>
          <w:lang w:val="en-US"/>
        </w:rPr>
      </w:pPr>
    </w:p>
    <w:p w:rsidR="004B1046" w:rsidRPr="00712AE5" w:rsidRDefault="004B1046" w:rsidP="004B1046">
      <w:pPr>
        <w:pStyle w:val="Heading1"/>
        <w:rPr>
          <w:lang w:val="en-US"/>
        </w:rPr>
      </w:pPr>
      <w:r w:rsidRPr="00712AE5">
        <w:rPr>
          <w:lang w:val="en-US"/>
        </w:rPr>
        <w:t>For CHINASAT</w:t>
      </w:r>
      <w:r>
        <w:rPr>
          <w:lang w:val="en-US"/>
        </w:rPr>
        <w:t xml:space="preserve"> satellite networks</w:t>
      </w:r>
    </w:p>
    <w:p w:rsidR="004B1046" w:rsidRDefault="004B1046" w:rsidP="004B1046">
      <w:pPr>
        <w:rPr>
          <w:szCs w:val="24"/>
          <w:lang w:val="en-US"/>
        </w:rPr>
      </w:pPr>
      <w:r w:rsidRPr="00712AE5">
        <w:rPr>
          <w:szCs w:val="24"/>
          <w:lang w:val="en-US"/>
        </w:rPr>
        <w:t xml:space="preserve">Among those files available in </w:t>
      </w:r>
      <w:r>
        <w:rPr>
          <w:szCs w:val="24"/>
          <w:lang w:val="en-US"/>
        </w:rPr>
        <w:t>the Space Radiocommunications Stations (SRS) reference database</w:t>
      </w:r>
      <w:r w:rsidRPr="00712AE5">
        <w:rPr>
          <w:szCs w:val="24"/>
          <w:lang w:val="en-US"/>
        </w:rPr>
        <w:t xml:space="preserve">, there are coordination </w:t>
      </w:r>
      <w:r>
        <w:rPr>
          <w:szCs w:val="24"/>
          <w:lang w:val="en-US"/>
        </w:rPr>
        <w:t xml:space="preserve">requests for which the associated BSS </w:t>
      </w:r>
      <w:r w:rsidRPr="00712AE5">
        <w:rPr>
          <w:szCs w:val="24"/>
          <w:lang w:val="en-US"/>
        </w:rPr>
        <w:t xml:space="preserve">service </w:t>
      </w:r>
      <w:r>
        <w:rPr>
          <w:szCs w:val="24"/>
          <w:lang w:val="en-US"/>
        </w:rPr>
        <w:t xml:space="preserve">area </w:t>
      </w:r>
      <w:r w:rsidRPr="00712AE5">
        <w:rPr>
          <w:szCs w:val="24"/>
          <w:lang w:val="en-US"/>
        </w:rPr>
        <w:t>is</w:t>
      </w:r>
      <w:r>
        <w:rPr>
          <w:szCs w:val="24"/>
          <w:lang w:val="en-US"/>
        </w:rPr>
        <w:t xml:space="preserve"> large (see Figure 5 below). </w:t>
      </w:r>
    </w:p>
    <w:p w:rsidR="004B1046" w:rsidRPr="004B1046" w:rsidRDefault="004B1046" w:rsidP="004B1046">
      <w:pPr>
        <w:pStyle w:val="FigureNo"/>
        <w:rPr>
          <w:lang w:val="en-US"/>
        </w:rPr>
      </w:pPr>
      <w:r w:rsidRPr="004B1046">
        <w:rPr>
          <w:lang w:val="en-US"/>
        </w:rPr>
        <w:t>Figure 5</w:t>
      </w:r>
    </w:p>
    <w:p w:rsidR="004B1046" w:rsidRDefault="004B1046" w:rsidP="004B1046">
      <w:pPr>
        <w:pStyle w:val="Figuretitle"/>
        <w:rPr>
          <w:szCs w:val="24"/>
          <w:lang w:val="en-US"/>
        </w:rPr>
      </w:pPr>
      <w:r w:rsidRPr="004B1046">
        <w:rPr>
          <w:lang w:val="en-US"/>
        </w:rPr>
        <w:t xml:space="preserve">Constant pfd area of the LEBR beam of the SADKO-1 satellite network </w:t>
      </w:r>
      <w:r w:rsidRPr="004B1046">
        <w:rPr>
          <w:lang w:val="en-US"/>
        </w:rPr>
        <w:br/>
        <w:t>when emitting with a reduced EIRP level</w:t>
      </w:r>
    </w:p>
    <w:p w:rsidR="004B1046" w:rsidRDefault="004B1046" w:rsidP="004B1046">
      <w:pPr>
        <w:pStyle w:val="Figure"/>
        <w:rPr>
          <w:szCs w:val="24"/>
          <w:lang w:val="en-US"/>
        </w:rPr>
      </w:pPr>
      <w:r>
        <w:rPr>
          <w:noProof/>
          <w:lang w:val="en-US" w:eastAsia="zh-CN"/>
        </w:rPr>
        <w:drawing>
          <wp:inline distT="0" distB="0" distL="0" distR="0" wp14:anchorId="5030651A" wp14:editId="6BA38796">
            <wp:extent cx="2028825" cy="2018747"/>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0862" cy="2020774"/>
                    </a:xfrm>
                    <a:prstGeom prst="rect">
                      <a:avLst/>
                    </a:prstGeom>
                    <a:noFill/>
                    <a:ln>
                      <a:noFill/>
                    </a:ln>
                  </pic:spPr>
                </pic:pic>
              </a:graphicData>
            </a:graphic>
          </wp:inline>
        </w:drawing>
      </w:r>
    </w:p>
    <w:p w:rsidR="004B1046" w:rsidRPr="000B0E05" w:rsidRDefault="004B1046" w:rsidP="004B1046">
      <w:pPr>
        <w:rPr>
          <w:lang w:val="en-US"/>
        </w:rPr>
      </w:pPr>
    </w:p>
    <w:p w:rsidR="004B1046" w:rsidRPr="00712AE5" w:rsidRDefault="004B1046" w:rsidP="004B1046">
      <w:pPr>
        <w:rPr>
          <w:szCs w:val="24"/>
          <w:lang w:val="en-US"/>
        </w:rPr>
      </w:pPr>
      <w:r>
        <w:rPr>
          <w:szCs w:val="24"/>
          <w:lang w:val="en-US"/>
        </w:rPr>
        <w:lastRenderedPageBreak/>
        <w:t>This situation may be explained by emphasizing that the coverage</w:t>
      </w:r>
      <w:r w:rsidRPr="00806F12">
        <w:rPr>
          <w:szCs w:val="24"/>
          <w:lang w:val="en-US"/>
        </w:rPr>
        <w:t xml:space="preserve"> </w:t>
      </w:r>
      <w:r>
        <w:rPr>
          <w:szCs w:val="24"/>
          <w:lang w:val="en-US"/>
        </w:rPr>
        <w:t>is performed</w:t>
      </w:r>
      <w:r w:rsidRPr="00806F12">
        <w:rPr>
          <w:szCs w:val="24"/>
          <w:lang w:val="en-US"/>
        </w:rPr>
        <w:t xml:space="preserve"> </w:t>
      </w:r>
      <w:r w:rsidRPr="00BE48BF">
        <w:rPr>
          <w:szCs w:val="24"/>
          <w:lang w:val="en-US"/>
        </w:rPr>
        <w:t>through</w:t>
      </w:r>
      <w:r>
        <w:rPr>
          <w:szCs w:val="24"/>
          <w:lang w:val="en-US"/>
        </w:rPr>
        <w:t>:</w:t>
      </w:r>
    </w:p>
    <w:p w:rsidR="004B1046" w:rsidRPr="00712AE5" w:rsidRDefault="004B1046" w:rsidP="004B1046">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steerable spot beams</w:t>
      </w:r>
      <w:r w:rsidRPr="00712AE5">
        <w:rPr>
          <w:rFonts w:ascii="Times New Roman" w:hAnsi="Times New Roman" w:cs="Times New Roman"/>
          <w:sz w:val="24"/>
          <w:szCs w:val="24"/>
          <w:lang w:val="en-US"/>
        </w:rPr>
        <w:t>,</w:t>
      </w:r>
    </w:p>
    <w:p w:rsidR="004B1046" w:rsidRPr="00712AE5" w:rsidRDefault="004B1046" w:rsidP="004B1046">
      <w:pPr>
        <w:pStyle w:val="ListParagraph"/>
        <w:numPr>
          <w:ilvl w:val="0"/>
          <w:numId w:val="12"/>
        </w:numPr>
        <w:rPr>
          <w:rFonts w:ascii="Times New Roman" w:hAnsi="Times New Roman" w:cs="Times New Roman"/>
          <w:sz w:val="24"/>
          <w:szCs w:val="24"/>
          <w:lang w:val="en-US"/>
        </w:rPr>
      </w:pPr>
      <w:r w:rsidRPr="00712AE5">
        <w:rPr>
          <w:rFonts w:ascii="Times New Roman" w:hAnsi="Times New Roman" w:cs="Times New Roman"/>
          <w:sz w:val="24"/>
          <w:szCs w:val="24"/>
          <w:lang w:val="en-US"/>
        </w:rPr>
        <w:t xml:space="preserve">multiple spot beams to cover the large area (as depicted in orange circle in the </w:t>
      </w:r>
      <w:r>
        <w:rPr>
          <w:rFonts w:ascii="Times New Roman" w:hAnsi="Times New Roman" w:cs="Times New Roman"/>
          <w:sz w:val="24"/>
          <w:szCs w:val="24"/>
          <w:lang w:val="en-US"/>
        </w:rPr>
        <w:t>above</w:t>
      </w:r>
      <w:r w:rsidRPr="00712A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712AE5">
        <w:rPr>
          <w:rFonts w:ascii="Times New Roman" w:hAnsi="Times New Roman" w:cs="Times New Roman"/>
          <w:sz w:val="24"/>
          <w:szCs w:val="24"/>
          <w:lang w:val="en-US"/>
        </w:rPr>
        <w:t>igure)</w:t>
      </w:r>
      <w:r>
        <w:rPr>
          <w:rFonts w:ascii="Times New Roman" w:hAnsi="Times New Roman" w:cs="Times New Roman"/>
          <w:sz w:val="24"/>
          <w:szCs w:val="24"/>
          <w:lang w:val="en-US"/>
        </w:rPr>
        <w:t xml:space="preserve"> even they are not displayed in the publication.</w:t>
      </w:r>
    </w:p>
    <w:p w:rsidR="004B1046" w:rsidRDefault="004B1046" w:rsidP="004B1046">
      <w:pPr>
        <w:pStyle w:val="ListParagraph"/>
        <w:jc w:val="center"/>
        <w:rPr>
          <w:lang w:val="en-US"/>
        </w:rPr>
      </w:pPr>
    </w:p>
    <w:p w:rsidR="004B1046" w:rsidRPr="00712AE5" w:rsidRDefault="004B1046" w:rsidP="004B1046">
      <w:pPr>
        <w:rPr>
          <w:szCs w:val="24"/>
          <w:lang w:val="en-US"/>
        </w:rPr>
      </w:pPr>
      <w:r w:rsidRPr="00712AE5">
        <w:rPr>
          <w:szCs w:val="24"/>
          <w:lang w:val="en-US"/>
        </w:rPr>
        <w:t xml:space="preserve">Starting from pfd formula: </w:t>
      </w:r>
      <m:oMath>
        <m:r>
          <w:rPr>
            <w:rFonts w:ascii="Cambria Math" w:hAnsi="Cambria Math"/>
            <w:szCs w:val="24"/>
            <w:lang w:val="en-US"/>
          </w:rPr>
          <m:t>pfd=EIRP+10</m:t>
        </m:r>
        <m:sSub>
          <m:sSubPr>
            <m:ctrlPr>
              <w:rPr>
                <w:rFonts w:ascii="Cambria Math" w:hAnsi="Cambria Math"/>
                <w:i/>
                <w:szCs w:val="24"/>
                <w:lang w:val="en-US"/>
              </w:rPr>
            </m:ctrlPr>
          </m:sSubPr>
          <m:e>
            <m:r>
              <w:rPr>
                <w:rFonts w:ascii="Cambria Math" w:hAnsi="Cambria Math"/>
                <w:szCs w:val="24"/>
                <w:lang w:val="en-US"/>
              </w:rPr>
              <m:t>log</m:t>
            </m:r>
          </m:e>
          <m:sub>
            <m:r>
              <w:rPr>
                <w:rFonts w:ascii="Cambria Math" w:hAnsi="Cambria Math"/>
                <w:szCs w:val="24"/>
                <w:lang w:val="en-US"/>
              </w:rPr>
              <m:t>10</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4π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en-US"/>
                      </w:rPr>
                      <m:t>2</m:t>
                    </m:r>
                  </m:sup>
                </m:sSup>
              </m:den>
            </m:f>
          </m:e>
        </m:d>
      </m:oMath>
      <w:r w:rsidRPr="00712AE5">
        <w:rPr>
          <w:szCs w:val="24"/>
          <w:lang w:val="en-US"/>
        </w:rPr>
        <w:t>,</w:t>
      </w:r>
    </w:p>
    <w:p w:rsidR="004B1046" w:rsidRPr="00712AE5" w:rsidRDefault="004B1046" w:rsidP="004B1046">
      <w:pPr>
        <w:rPr>
          <w:szCs w:val="24"/>
          <w:lang w:val="en-US"/>
        </w:rPr>
      </w:pPr>
      <w:r w:rsidRPr="00712AE5">
        <w:rPr>
          <w:szCs w:val="24"/>
          <w:lang w:val="en-US"/>
        </w:rPr>
        <w:t xml:space="preserve">When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oMath>
      <w:r w:rsidRPr="00712AE5">
        <w:rPr>
          <w:szCs w:val="24"/>
          <w:lang w:val="en-US"/>
        </w:rPr>
        <w:t xml:space="preserve"> and T</w:t>
      </w:r>
      <w:r w:rsidRPr="00712AE5">
        <w:rPr>
          <w:szCs w:val="24"/>
          <w:vertAlign w:val="subscript"/>
          <w:lang w:val="en-US"/>
        </w:rPr>
        <w:t>Rx noise</w:t>
      </w:r>
      <w:r w:rsidRPr="00712AE5">
        <w:rPr>
          <w:szCs w:val="24"/>
          <w:lang w:val="en-US"/>
        </w:rPr>
        <w:t xml:space="preserve"> are available, </w:t>
      </w:r>
      <w:r w:rsidRPr="00712AE5">
        <w:rPr>
          <w:i/>
          <w:szCs w:val="24"/>
          <w:lang w:val="en-US"/>
        </w:rPr>
        <w:t>C</w:t>
      </w:r>
      <w:r w:rsidRPr="00712AE5">
        <w:rPr>
          <w:i/>
          <w:szCs w:val="24"/>
          <w:vertAlign w:val="subscript"/>
          <w:lang w:val="en-US"/>
        </w:rPr>
        <w:t>min</w:t>
      </w:r>
      <w:r w:rsidRPr="00712AE5">
        <w:rPr>
          <w:szCs w:val="24"/>
          <w:lang w:val="en-US"/>
        </w:rPr>
        <w:t xml:space="preserve"> (receiver sensitivity) can be derived:</w:t>
      </w:r>
    </w:p>
    <w:p w:rsidR="004B1046" w:rsidRPr="00EF6B75" w:rsidRDefault="004B1046" w:rsidP="004B1046">
      <w:pPr>
        <w:jc w:val="center"/>
        <w:rPr>
          <w:szCs w:val="24"/>
        </w:rPr>
      </w:pPr>
      <w:r w:rsidRPr="00EF6B75">
        <w:rPr>
          <w:szCs w:val="24"/>
        </w:rPr>
        <w:t>C</w:t>
      </w:r>
      <w:r w:rsidRPr="00EF6B75">
        <w:rPr>
          <w:szCs w:val="24"/>
          <w:vertAlign w:val="subscript"/>
        </w:rPr>
        <w:t xml:space="preserve">min </w:t>
      </w:r>
      <w:r w:rsidRPr="00EF6B75">
        <w:rPr>
          <w:szCs w:val="24"/>
        </w:rPr>
        <w:t>=</w:t>
      </w:r>
      <m:oMath>
        <m:r>
          <w:rPr>
            <w:rFonts w:ascii="Cambria Math" w:hAnsi="Cambria Math"/>
            <w:szCs w:val="24"/>
          </w:rPr>
          <m:t xml:space="preserve"> </m:t>
        </m:r>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r>
          <w:rPr>
            <w:rFonts w:ascii="Cambria Math" w:hAnsi="Cambria Math"/>
            <w:szCs w:val="24"/>
          </w:rPr>
          <m:t>×</m:t>
        </m:r>
        <m:r>
          <w:rPr>
            <w:rFonts w:ascii="Cambria Math" w:hAnsi="Cambria Math"/>
            <w:szCs w:val="24"/>
            <w:lang w:val="en-US"/>
          </w:rPr>
          <m:t>N</m:t>
        </m:r>
        <m:r>
          <w:rPr>
            <w:rFonts w:ascii="Cambria Math" w:hAnsi="Cambria Math"/>
            <w:szCs w:val="24"/>
          </w:rPr>
          <m:t>=</m:t>
        </m:r>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Rx</m:t>
            </m:r>
            <m:r>
              <w:rPr>
                <w:rFonts w:ascii="Cambria Math" w:hAnsi="Cambria Math"/>
                <w:szCs w:val="24"/>
              </w:rPr>
              <m:t xml:space="preserve"> </m:t>
            </m:r>
            <m:r>
              <w:rPr>
                <w:rFonts w:ascii="Cambria Math" w:hAnsi="Cambria Math"/>
                <w:szCs w:val="24"/>
                <w:lang w:val="en-US"/>
              </w:rPr>
              <m:t>noise</m:t>
            </m:r>
            <m:r>
              <w:rPr>
                <w:rFonts w:ascii="Cambria Math" w:hAnsi="Cambria Math"/>
                <w:szCs w:val="24"/>
              </w:rPr>
              <m:t xml:space="preserve"> </m:t>
            </m:r>
          </m:sub>
        </m:sSub>
        <m:r>
          <w:rPr>
            <w:rFonts w:ascii="Cambria Math" w:hAnsi="Cambria Math"/>
            <w:szCs w:val="24"/>
            <w:lang w:val="en-US"/>
          </w:rPr>
          <m:t>B</m:t>
        </m:r>
        <m:r>
          <w:rPr>
            <w:rFonts w:ascii="Cambria Math" w:hAnsi="Cambria Math"/>
            <w:szCs w:val="24"/>
          </w:rPr>
          <m:t>(</m:t>
        </m:r>
        <m:r>
          <w:rPr>
            <w:rFonts w:ascii="Cambria Math" w:hAnsi="Cambria Math"/>
            <w:szCs w:val="24"/>
            <w:lang w:val="en-US"/>
          </w:rPr>
          <m:t>MHz</m:t>
        </m:r>
        <m:r>
          <w:rPr>
            <w:rFonts w:ascii="Cambria Math" w:hAnsi="Cambria Math"/>
            <w:szCs w:val="24"/>
          </w:rPr>
          <m:t>)</m:t>
        </m:r>
      </m:oMath>
    </w:p>
    <w:p w:rsidR="004B1046" w:rsidRPr="00712AE5" w:rsidRDefault="004B1046" w:rsidP="004B1046">
      <w:pPr>
        <w:rPr>
          <w:szCs w:val="24"/>
          <w:lang w:val="en-US"/>
        </w:rPr>
      </w:pPr>
      <w:r w:rsidRPr="00712AE5">
        <w:rPr>
          <w:szCs w:val="24"/>
          <w:lang w:val="en-US"/>
        </w:rPr>
        <w:t>Recalling that</w:t>
      </w:r>
      <w:r>
        <w:rPr>
          <w:szCs w:val="24"/>
          <w:lang w:val="en-US"/>
        </w:rPr>
        <w:t>:</w:t>
      </w:r>
      <w:r w:rsidRPr="00712AE5">
        <w:rPr>
          <w:szCs w:val="24"/>
          <w:lang w:val="en-US"/>
        </w:rPr>
        <w:t xml:space="preserve"> </w:t>
      </w:r>
      <w:r w:rsidRPr="00712AE5">
        <w:rPr>
          <w:i/>
          <w:szCs w:val="24"/>
          <w:lang w:val="en-US"/>
        </w:rPr>
        <w:t>P</w:t>
      </w:r>
      <w:r w:rsidRPr="00712AE5">
        <w:rPr>
          <w:i/>
          <w:szCs w:val="24"/>
          <w:vertAlign w:val="subscript"/>
          <w:lang w:val="en-US"/>
        </w:rPr>
        <w:t>e</w:t>
      </w:r>
      <w:r w:rsidRPr="00712AE5">
        <w:rPr>
          <w:i/>
          <w:szCs w:val="24"/>
          <w:lang w:val="en-US"/>
        </w:rPr>
        <w:t>G</w:t>
      </w:r>
      <w:r w:rsidRPr="00712AE5">
        <w:rPr>
          <w:i/>
          <w:szCs w:val="24"/>
          <w:vertAlign w:val="subscript"/>
          <w:lang w:val="en-US"/>
        </w:rPr>
        <w:t>e</w:t>
      </w:r>
      <w:r w:rsidRPr="00712AE5">
        <w:rPr>
          <w:szCs w:val="24"/>
          <w:lang w:val="en-US"/>
        </w:rPr>
        <w:t xml:space="preserve"> </w:t>
      </w:r>
      <m:oMath>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en-US"/>
                      </w:rPr>
                      <m:t>4πd</m:t>
                    </m:r>
                  </m:den>
                </m:f>
              </m:e>
            </m:d>
          </m:e>
          <m:sup>
            <m:r>
              <w:rPr>
                <w:rFonts w:ascii="Cambria Math" w:hAnsi="Cambria Math"/>
                <w:szCs w:val="24"/>
                <w:lang w:val="en-US"/>
              </w:rPr>
              <m:t>2</m:t>
            </m:r>
          </m:sup>
        </m:sSup>
      </m:oMath>
      <w:r w:rsidRPr="00712AE5">
        <w:rPr>
          <w:szCs w:val="24"/>
          <w:lang w:val="en-US"/>
        </w:rPr>
        <w:t>=</w:t>
      </w:r>
      <m:oMath>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C</m:t>
                </m:r>
              </m:e>
              <m:sub>
                <m:r>
                  <w:rPr>
                    <w:rFonts w:ascii="Cambria Math" w:hAnsi="Cambria Math"/>
                    <w:szCs w:val="24"/>
                    <w:lang w:val="en-US"/>
                  </w:rPr>
                  <m:t>min</m:t>
                </m:r>
              </m:sub>
            </m:sSub>
          </m:num>
          <m:den>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r</m:t>
                </m:r>
              </m:sub>
            </m:sSub>
          </m:den>
        </m:f>
      </m:oMath>
      <w:r w:rsidRPr="00712AE5">
        <w:rPr>
          <w:szCs w:val="24"/>
          <w:lang w:val="en-US"/>
        </w:rPr>
        <w:t xml:space="preserve">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f>
          <m:fPr>
            <m:ctrlPr>
              <w:rPr>
                <w:rFonts w:ascii="Cambria Math" w:hAnsi="Cambria Math"/>
                <w:i/>
                <w:szCs w:val="24"/>
                <w:lang w:val="en-US"/>
              </w:rPr>
            </m:ctrlPr>
          </m:fPr>
          <m:num>
            <m:r>
              <w:rPr>
                <w:rFonts w:ascii="Cambria Math" w:hAnsi="Cambria Math"/>
                <w:szCs w:val="24"/>
                <w:lang w:val="en-US"/>
              </w:rPr>
              <m:t>1</m:t>
            </m:r>
          </m:num>
          <m:den>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r</m:t>
                </m:r>
              </m:sub>
            </m:sSub>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 xml:space="preserve">Rx noise </m:t>
            </m:r>
          </m:sub>
        </m:sSub>
        <m:r>
          <w:rPr>
            <w:rFonts w:ascii="Cambria Math" w:hAnsi="Cambria Math"/>
            <w:szCs w:val="24"/>
            <w:lang w:val="en-US"/>
          </w:rPr>
          <m:t>B(MHz)</m:t>
        </m:r>
      </m:oMath>
      <w:r w:rsidRPr="00712AE5">
        <w:rPr>
          <w:szCs w:val="24"/>
          <w:lang w:val="en-US"/>
        </w:rPr>
        <w:t>,</w:t>
      </w:r>
    </w:p>
    <w:p w:rsidR="004B1046" w:rsidRPr="00EF6B75" w:rsidRDefault="004B1046" w:rsidP="004B1046">
      <w:pPr>
        <w:jc w:val="center"/>
        <w:rPr>
          <w:szCs w:val="24"/>
          <w:vertAlign w:val="superscript"/>
        </w:rPr>
      </w:pPr>
      <w:r w:rsidRPr="00EF6B75">
        <w:rPr>
          <w:i/>
          <w:szCs w:val="24"/>
        </w:rPr>
        <w:t>pfd</w:t>
      </w:r>
      <w:r w:rsidRPr="00EF6B75">
        <w:rPr>
          <w:i/>
          <w:szCs w:val="24"/>
          <w:vertAlign w:val="subscript"/>
        </w:rPr>
        <w:t>min</w:t>
      </w:r>
      <w:r w:rsidRPr="00EF6B75">
        <w:rPr>
          <w:szCs w:val="24"/>
        </w:rPr>
        <w:t xml:space="preserve">= </w:t>
      </w:r>
      <m:oMath>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e</m:t>
                    </m:r>
                  </m:sub>
                </m:sSub>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e</m:t>
                    </m:r>
                  </m:sub>
                </m:sSub>
              </m:num>
              <m:den>
                <m:r>
                  <w:rPr>
                    <w:rFonts w:ascii="Cambria Math" w:hAnsi="Cambria Math"/>
                    <w:szCs w:val="24"/>
                  </w:rPr>
                  <m:t>4</m:t>
                </m:r>
                <m:r>
                  <w:rPr>
                    <w:rFonts w:ascii="Cambria Math" w:hAnsi="Cambria Math"/>
                    <w:szCs w:val="24"/>
                    <w:lang w:val="en-US"/>
                  </w:rPr>
                  <m:t>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rPr>
                      <m:t>2</m:t>
                    </m:r>
                  </m:sup>
                </m:sSup>
              </m:den>
            </m:f>
          </m:e>
        </m:d>
      </m:oMath>
      <w:r w:rsidRPr="00EF6B75">
        <w:rPr>
          <w:szCs w:val="24"/>
        </w:rPr>
        <w:t>=</w:t>
      </w:r>
      <m:oMath>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e</m:t>
            </m:r>
          </m:sub>
        </m:sSub>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e</m:t>
            </m:r>
          </m:sub>
        </m:sSub>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rPr>
                      <m:t>4</m:t>
                    </m:r>
                    <m:r>
                      <w:rPr>
                        <w:rFonts w:ascii="Cambria Math" w:hAnsi="Cambria Math"/>
                        <w:szCs w:val="24"/>
                        <w:lang w:val="en-US"/>
                      </w:rPr>
                      <m:t>πd</m:t>
                    </m:r>
                  </m:den>
                </m:f>
              </m:e>
            </m:d>
          </m:e>
          <m:sup>
            <m:r>
              <w:rPr>
                <w:rFonts w:ascii="Cambria Math" w:hAnsi="Cambria Math"/>
                <w:szCs w:val="24"/>
              </w:rPr>
              <m:t>2</m:t>
            </m:r>
          </m:sup>
        </m:sSup>
        <m:f>
          <m:fPr>
            <m:ctrlPr>
              <w:rPr>
                <w:rFonts w:ascii="Cambria Math" w:hAnsi="Cambria Math"/>
                <w:i/>
                <w:szCs w:val="24"/>
                <w:lang w:val="en-US"/>
              </w:rPr>
            </m:ctrlPr>
          </m:fPr>
          <m:num>
            <m:r>
              <w:rPr>
                <w:rFonts w:ascii="Cambria Math" w:hAnsi="Cambria Math"/>
                <w:szCs w:val="24"/>
              </w:rPr>
              <m:t>4</m:t>
            </m:r>
            <m:r>
              <w:rPr>
                <w:rFonts w:ascii="Cambria Math" w:hAnsi="Cambria Math"/>
                <w:szCs w:val="24"/>
                <w:lang w:val="en-US"/>
              </w:rPr>
              <m:t>π</m:t>
            </m:r>
          </m:num>
          <m:den>
            <m:sSup>
              <m:sSupPr>
                <m:ctrlPr>
                  <w:rPr>
                    <w:rFonts w:ascii="Cambria Math" w:hAnsi="Cambria Math"/>
                    <w:i/>
                    <w:szCs w:val="24"/>
                    <w:lang w:val="en-US"/>
                  </w:rPr>
                </m:ctrlPr>
              </m:sSupPr>
              <m:e>
                <m:r>
                  <w:rPr>
                    <w:rFonts w:ascii="Cambria Math" w:hAnsi="Cambria Math"/>
                    <w:szCs w:val="24"/>
                    <w:lang w:val="en-US"/>
                  </w:rPr>
                  <m:t>λ</m:t>
                </m:r>
              </m:e>
              <m:sup>
                <m:r>
                  <w:rPr>
                    <w:rFonts w:ascii="Cambria Math" w:hAnsi="Cambria Math"/>
                    <w:szCs w:val="24"/>
                  </w:rPr>
                  <m:t>2</m:t>
                </m:r>
              </m:sup>
            </m:sSup>
          </m:den>
        </m:f>
      </m:oMath>
      <w:r w:rsidRPr="00EF6B75">
        <w:rPr>
          <w:szCs w:val="24"/>
        </w:rPr>
        <w:t xml:space="preserve">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f>
          <m:fPr>
            <m:ctrlPr>
              <w:rPr>
                <w:rFonts w:ascii="Cambria Math" w:hAnsi="Cambria Math"/>
                <w:i/>
                <w:szCs w:val="24"/>
                <w:lang w:val="en-US"/>
              </w:rPr>
            </m:ctrlPr>
          </m:fPr>
          <m:num>
            <m:r>
              <w:rPr>
                <w:rFonts w:ascii="Cambria Math" w:hAnsi="Cambria Math"/>
                <w:szCs w:val="24"/>
              </w:rPr>
              <m:t>4</m:t>
            </m:r>
            <m:r>
              <w:rPr>
                <w:rFonts w:ascii="Cambria Math" w:hAnsi="Cambria Math"/>
                <w:szCs w:val="24"/>
                <w:lang w:val="en-US"/>
              </w:rPr>
              <m:t>π</m:t>
            </m:r>
          </m:num>
          <m:den>
            <m:sSub>
              <m:sSubPr>
                <m:ctrlPr>
                  <w:rPr>
                    <w:rFonts w:ascii="Cambria Math" w:hAnsi="Cambria Math"/>
                    <w:i/>
                    <w:szCs w:val="24"/>
                    <w:lang w:val="en-US"/>
                  </w:rPr>
                </m:ctrlPr>
              </m:sSubPr>
              <m:e>
                <m:sSup>
                  <m:sSupPr>
                    <m:ctrlPr>
                      <w:rPr>
                        <w:rFonts w:ascii="Cambria Math" w:hAnsi="Cambria Math"/>
                        <w:i/>
                        <w:szCs w:val="24"/>
                        <w:lang w:val="en-US"/>
                      </w:rPr>
                    </m:ctrlPr>
                  </m:sSupPr>
                  <m:e>
                    <m:r>
                      <w:rPr>
                        <w:rFonts w:ascii="Cambria Math" w:hAnsi="Cambria Math"/>
                        <w:szCs w:val="24"/>
                        <w:lang w:val="en-US"/>
                      </w:rPr>
                      <m:t>λ</m:t>
                    </m:r>
                  </m:e>
                  <m:sup>
                    <m:r>
                      <w:rPr>
                        <w:rFonts w:ascii="Cambria Math" w:hAnsi="Cambria Math"/>
                        <w:szCs w:val="24"/>
                      </w:rPr>
                      <m:t>2</m:t>
                    </m:r>
                  </m:sup>
                </m:sSup>
                <m:r>
                  <w:rPr>
                    <w:rFonts w:ascii="Cambria Math" w:hAnsi="Cambria Math"/>
                    <w:szCs w:val="24"/>
                    <w:lang w:val="en-US"/>
                  </w:rPr>
                  <m:t>G</m:t>
                </m:r>
              </m:e>
              <m:sub>
                <m:r>
                  <w:rPr>
                    <w:rFonts w:ascii="Cambria Math" w:hAnsi="Cambria Math"/>
                    <w:szCs w:val="24"/>
                    <w:lang w:val="en-US"/>
                  </w:rPr>
                  <m:t>Rx</m:t>
                </m:r>
                <m:r>
                  <w:rPr>
                    <w:rFonts w:ascii="Cambria Math" w:hAnsi="Cambria Math"/>
                    <w:szCs w:val="24"/>
                  </w:rPr>
                  <m:t xml:space="preserve"> </m:t>
                </m:r>
                <m:r>
                  <w:rPr>
                    <w:rFonts w:ascii="Cambria Math" w:hAnsi="Cambria Math"/>
                    <w:szCs w:val="24"/>
                    <w:lang w:val="en-US"/>
                  </w:rPr>
                  <m:t>max</m:t>
                </m:r>
              </m:sub>
            </m:sSub>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Rx</m:t>
            </m:r>
            <m:r>
              <w:rPr>
                <w:rFonts w:ascii="Cambria Math" w:hAnsi="Cambria Math"/>
                <w:szCs w:val="24"/>
              </w:rPr>
              <m:t xml:space="preserve"> </m:t>
            </m:r>
            <m:r>
              <w:rPr>
                <w:rFonts w:ascii="Cambria Math" w:hAnsi="Cambria Math"/>
                <w:szCs w:val="24"/>
                <w:lang w:val="en-US"/>
              </w:rPr>
              <m:t>noise</m:t>
            </m:r>
            <m:r>
              <w:rPr>
                <w:rFonts w:ascii="Cambria Math" w:hAnsi="Cambria Math"/>
                <w:szCs w:val="24"/>
              </w:rPr>
              <m:t xml:space="preserve"> </m:t>
            </m:r>
          </m:sub>
        </m:sSub>
        <m:r>
          <w:rPr>
            <w:rFonts w:ascii="Cambria Math" w:hAnsi="Cambria Math"/>
            <w:szCs w:val="24"/>
            <w:lang w:val="en-US"/>
          </w:rPr>
          <m:t>B</m:t>
        </m:r>
        <m:r>
          <w:rPr>
            <w:rFonts w:ascii="Cambria Math" w:hAnsi="Cambria Math"/>
            <w:szCs w:val="24"/>
          </w:rPr>
          <m:t>(</m:t>
        </m:r>
        <m:r>
          <w:rPr>
            <w:rFonts w:ascii="Cambria Math" w:hAnsi="Cambria Math"/>
            <w:szCs w:val="24"/>
            <w:lang w:val="en-US"/>
          </w:rPr>
          <m:t>MHz</m:t>
        </m:r>
        <m:r>
          <w:rPr>
            <w:rFonts w:ascii="Cambria Math" w:hAnsi="Cambria Math"/>
            <w:szCs w:val="24"/>
          </w:rPr>
          <m:t>)</m:t>
        </m:r>
      </m:oMath>
      <w:r w:rsidRPr="00EF6B75">
        <w:rPr>
          <w:szCs w:val="24"/>
        </w:rPr>
        <w:t>.</w:t>
      </w:r>
    </w:p>
    <w:p w:rsidR="004B1046" w:rsidRPr="00712AE5" w:rsidRDefault="004B1046" w:rsidP="004B1046">
      <w:pPr>
        <w:rPr>
          <w:szCs w:val="24"/>
          <w:lang w:val="en-US"/>
        </w:rPr>
      </w:pPr>
      <w:r>
        <w:rPr>
          <w:szCs w:val="24"/>
          <w:lang w:val="en-US"/>
        </w:rPr>
        <w:t>F</w:t>
      </w:r>
      <w:r w:rsidRPr="00712AE5">
        <w:rPr>
          <w:szCs w:val="24"/>
          <w:lang w:val="en-US"/>
        </w:rPr>
        <w:t xml:space="preserve">rom the above formula, it is then concluded that the </w:t>
      </w:r>
      <w:r w:rsidRPr="00712AE5">
        <w:rPr>
          <w:i/>
          <w:szCs w:val="24"/>
          <w:lang w:val="en-US"/>
        </w:rPr>
        <w:t>pfd</w:t>
      </w:r>
      <w:r w:rsidRPr="00712AE5">
        <w:rPr>
          <w:i/>
          <w:szCs w:val="24"/>
          <w:vertAlign w:val="subscript"/>
          <w:lang w:val="en-US"/>
        </w:rPr>
        <w:t>min</w:t>
      </w:r>
      <w:r w:rsidRPr="00712AE5">
        <w:rPr>
          <w:szCs w:val="24"/>
          <w:vertAlign w:val="subscript"/>
          <w:lang w:val="en-US"/>
        </w:rPr>
        <w:t xml:space="preserve"> </w:t>
      </w:r>
      <w:r w:rsidRPr="00712AE5">
        <w:rPr>
          <w:szCs w:val="24"/>
          <w:lang w:val="en-US"/>
        </w:rPr>
        <w:t>value could be derived from the following parameters</w:t>
      </w:r>
      <w:r>
        <w:rPr>
          <w:szCs w:val="24"/>
          <w:lang w:val="en-US"/>
        </w:rPr>
        <w:t>:</w:t>
      </w:r>
    </w:p>
    <w:p w:rsidR="004B1046" w:rsidRPr="00712AE5" w:rsidRDefault="004B1046" w:rsidP="004B1046">
      <w:pPr>
        <w:pStyle w:val="ListParagraph"/>
        <w:numPr>
          <w:ilvl w:val="1"/>
          <w:numId w:val="12"/>
        </w:numPr>
        <w:rPr>
          <w:rFonts w:ascii="Times New Roman" w:hAnsi="Times New Roman" w:cs="Times New Roman"/>
          <w:sz w:val="24"/>
          <w:szCs w:val="24"/>
          <w:lang w:val="en-US"/>
        </w:rPr>
      </w:pPr>
      <w:r w:rsidRPr="00712AE5">
        <w:rPr>
          <w:rFonts w:ascii="Times New Roman" w:hAnsi="Times New Roman" w:cs="Times New Roman"/>
          <w:sz w:val="24"/>
          <w:szCs w:val="24"/>
          <w:lang w:val="en-US"/>
        </w:rPr>
        <w:t xml:space="preserve">Radio </w:t>
      </w:r>
      <w:r>
        <w:rPr>
          <w:rFonts w:ascii="Times New Roman" w:hAnsi="Times New Roman" w:cs="Times New Roman"/>
          <w:sz w:val="24"/>
          <w:szCs w:val="24"/>
          <w:lang w:val="en-US"/>
        </w:rPr>
        <w:t>l</w:t>
      </w:r>
      <w:r w:rsidRPr="00712AE5">
        <w:rPr>
          <w:rFonts w:ascii="Times New Roman" w:hAnsi="Times New Roman" w:cs="Times New Roman"/>
          <w:sz w:val="24"/>
          <w:szCs w:val="24"/>
          <w:lang w:val="en-US"/>
        </w:rPr>
        <w:t xml:space="preserve">ink </w:t>
      </w:r>
      <w:r>
        <w:rPr>
          <w:rFonts w:ascii="Times New Roman" w:hAnsi="Times New Roman" w:cs="Times New Roman"/>
          <w:sz w:val="24"/>
          <w:szCs w:val="24"/>
          <w:lang w:val="en-US"/>
        </w:rPr>
        <w:t>b</w:t>
      </w:r>
      <w:r w:rsidRPr="00712AE5">
        <w:rPr>
          <w:rFonts w:ascii="Times New Roman" w:hAnsi="Times New Roman" w:cs="Times New Roman"/>
          <w:sz w:val="24"/>
          <w:szCs w:val="24"/>
          <w:lang w:val="en-US"/>
        </w:rPr>
        <w:t xml:space="preserve">udget: </w:t>
      </w:r>
      <w:r>
        <w:rPr>
          <w:rFonts w:ascii="Times New Roman" w:hAnsi="Times New Roman" w:cs="Times New Roman"/>
          <w:sz w:val="24"/>
          <w:szCs w:val="24"/>
          <w:lang w:val="en-US"/>
        </w:rPr>
        <w:t xml:space="preserve">the </w:t>
      </w:r>
      <w:r w:rsidRPr="00712AE5">
        <w:rPr>
          <w:rFonts w:ascii="Times New Roman" w:hAnsi="Times New Roman" w:cs="Times New Roman"/>
          <w:sz w:val="24"/>
          <w:szCs w:val="24"/>
          <w:lang w:val="en-US"/>
        </w:rPr>
        <w:t xml:space="preserve">C/N </w:t>
      </w:r>
      <w:r>
        <w:rPr>
          <w:rFonts w:ascii="Times New Roman" w:hAnsi="Times New Roman" w:cs="Times New Roman"/>
          <w:sz w:val="24"/>
          <w:szCs w:val="24"/>
          <w:lang w:val="en-US"/>
        </w:rPr>
        <w:t xml:space="preserve">ratio </w:t>
      </w:r>
      <w:r w:rsidRPr="00712AE5">
        <w:rPr>
          <w:rFonts w:ascii="Times New Roman" w:hAnsi="Times New Roman" w:cs="Times New Roman"/>
          <w:sz w:val="24"/>
          <w:szCs w:val="24"/>
          <w:lang w:val="en-US"/>
        </w:rPr>
        <w:t xml:space="preserve">(dB) </w:t>
      </w:r>
      <w:r>
        <w:rPr>
          <w:rFonts w:ascii="Times New Roman" w:hAnsi="Times New Roman" w:cs="Times New Roman"/>
          <w:sz w:val="24"/>
          <w:szCs w:val="24"/>
          <w:lang w:val="en-US"/>
        </w:rPr>
        <w:t xml:space="preserve">is </w:t>
      </w:r>
      <w:r w:rsidRPr="00712AE5">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in </w:t>
      </w:r>
      <w:r w:rsidRPr="00712AE5">
        <w:rPr>
          <w:rFonts w:ascii="Times New Roman" w:hAnsi="Times New Roman" w:cs="Times New Roman"/>
          <w:sz w:val="24"/>
          <w:szCs w:val="24"/>
          <w:lang w:val="en-US"/>
        </w:rPr>
        <w:t xml:space="preserve">the IFIC </w:t>
      </w:r>
      <w:r>
        <w:rPr>
          <w:rFonts w:ascii="Times New Roman" w:hAnsi="Times New Roman" w:cs="Times New Roman"/>
          <w:sz w:val="24"/>
          <w:szCs w:val="24"/>
          <w:lang w:val="en-US"/>
        </w:rPr>
        <w:t>special section</w:t>
      </w:r>
    </w:p>
    <w:p w:rsidR="004B1046" w:rsidRDefault="004B1046" w:rsidP="004B1046">
      <w:pPr>
        <w:pStyle w:val="ListParagraph"/>
        <w:numPr>
          <w:ilvl w:val="1"/>
          <w:numId w:val="12"/>
        </w:numPr>
        <w:rPr>
          <w:rFonts w:ascii="Times New Roman" w:hAnsi="Times New Roman" w:cs="Times New Roman"/>
          <w:sz w:val="24"/>
          <w:szCs w:val="24"/>
          <w:lang w:val="en-US"/>
        </w:rPr>
      </w:pPr>
      <w:r>
        <w:rPr>
          <w:rFonts w:ascii="Times New Roman" w:hAnsi="Times New Roman" w:cs="Times New Roman"/>
          <w:sz w:val="24"/>
          <w:szCs w:val="24"/>
          <w:lang w:val="en-US"/>
        </w:rPr>
        <w:t>r</w:t>
      </w:r>
      <w:r w:rsidRPr="00712AE5">
        <w:rPr>
          <w:rFonts w:ascii="Times New Roman" w:hAnsi="Times New Roman" w:cs="Times New Roman"/>
          <w:sz w:val="24"/>
          <w:szCs w:val="24"/>
          <w:lang w:val="en-US"/>
        </w:rPr>
        <w:t xml:space="preserve">eceiver capabilities: </w:t>
      </w:r>
      <w:r>
        <w:rPr>
          <w:rFonts w:ascii="Times New Roman" w:hAnsi="Times New Roman" w:cs="Times New Roman"/>
          <w:sz w:val="24"/>
          <w:szCs w:val="24"/>
          <w:lang w:val="en-US"/>
        </w:rPr>
        <w:t xml:space="preserve">the maximum antenna gain value </w:t>
      </w:r>
      <w:r w:rsidRPr="00712AE5">
        <w:rPr>
          <w:rFonts w:ascii="Times New Roman" w:hAnsi="Times New Roman" w:cs="Times New Roman"/>
          <w:i/>
          <w:sz w:val="24"/>
          <w:szCs w:val="24"/>
          <w:lang w:val="en-US"/>
        </w:rPr>
        <w:t>G</w:t>
      </w:r>
      <w:r w:rsidRPr="00712AE5">
        <w:rPr>
          <w:rFonts w:ascii="Times New Roman" w:hAnsi="Times New Roman" w:cs="Times New Roman"/>
          <w:i/>
          <w:sz w:val="24"/>
          <w:szCs w:val="24"/>
          <w:vertAlign w:val="subscript"/>
          <w:lang w:val="en-US"/>
        </w:rPr>
        <w:t>Rxmax</w:t>
      </w:r>
      <w:r>
        <w:rPr>
          <w:rFonts w:ascii="Times New Roman" w:hAnsi="Times New Roman" w:cs="Times New Roman"/>
          <w:sz w:val="24"/>
          <w:szCs w:val="24"/>
          <w:lang w:val="en-US"/>
        </w:rPr>
        <w:t xml:space="preserve"> and noise temperature </w:t>
      </w:r>
      <w:r w:rsidRPr="00712AE5">
        <w:rPr>
          <w:rFonts w:ascii="Times New Roman" w:hAnsi="Times New Roman" w:cs="Times New Roman"/>
          <w:i/>
          <w:sz w:val="24"/>
          <w:szCs w:val="24"/>
          <w:lang w:val="en-US"/>
        </w:rPr>
        <w:t>T</w:t>
      </w:r>
      <w:r w:rsidRPr="00712AE5">
        <w:rPr>
          <w:rFonts w:ascii="Times New Roman" w:hAnsi="Times New Roman" w:cs="Times New Roman"/>
          <w:i/>
          <w:sz w:val="24"/>
          <w:szCs w:val="24"/>
          <w:vertAlign w:val="subscript"/>
          <w:lang w:val="en-US"/>
        </w:rPr>
        <w:t>Rx</w:t>
      </w:r>
      <w:r>
        <w:rPr>
          <w:rFonts w:ascii="Times New Roman" w:hAnsi="Times New Roman" w:cs="Times New Roman"/>
          <w:i/>
          <w:sz w:val="24"/>
          <w:szCs w:val="24"/>
          <w:vertAlign w:val="subscript"/>
          <w:lang w:val="en-US"/>
        </w:rPr>
        <w:t xml:space="preserve"> </w:t>
      </w:r>
      <w:r w:rsidRPr="00712AE5">
        <w:rPr>
          <w:rFonts w:ascii="Times New Roman" w:hAnsi="Times New Roman" w:cs="Times New Roman"/>
          <w:i/>
          <w:sz w:val="24"/>
          <w:szCs w:val="24"/>
          <w:vertAlign w:val="subscript"/>
          <w:lang w:val="en-US"/>
        </w:rPr>
        <w:t xml:space="preserve">noise </w:t>
      </w:r>
      <w:r w:rsidRPr="00AF4D16">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are </w:t>
      </w:r>
      <w:r w:rsidRPr="00712AE5">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in </w:t>
      </w:r>
      <w:r w:rsidRPr="00712AE5">
        <w:rPr>
          <w:rFonts w:ascii="Times New Roman" w:hAnsi="Times New Roman" w:cs="Times New Roman"/>
          <w:sz w:val="24"/>
          <w:szCs w:val="24"/>
          <w:lang w:val="en-US"/>
        </w:rPr>
        <w:t xml:space="preserve">the IFIC </w:t>
      </w:r>
      <w:r>
        <w:rPr>
          <w:rFonts w:ascii="Times New Roman" w:hAnsi="Times New Roman" w:cs="Times New Roman"/>
          <w:sz w:val="24"/>
          <w:szCs w:val="24"/>
          <w:lang w:val="en-US"/>
        </w:rPr>
        <w:t>special section</w:t>
      </w:r>
    </w:p>
    <w:p w:rsidR="004B1046" w:rsidRDefault="004B1046" w:rsidP="004B1046">
      <w:pPr>
        <w:rPr>
          <w:szCs w:val="24"/>
          <w:lang w:val="en-US"/>
        </w:rPr>
      </w:pPr>
      <w:r w:rsidRPr="00247E46">
        <w:rPr>
          <w:szCs w:val="24"/>
          <w:lang w:val="en-US"/>
        </w:rPr>
        <w:t xml:space="preserve">Data related to </w:t>
      </w:r>
      <w:r>
        <w:rPr>
          <w:szCs w:val="24"/>
          <w:lang w:val="en-US"/>
        </w:rPr>
        <w:t>c</w:t>
      </w:r>
      <w:r w:rsidRPr="00247E46">
        <w:rPr>
          <w:szCs w:val="24"/>
          <w:lang w:val="en-US"/>
        </w:rPr>
        <w:t xml:space="preserve">oordination </w:t>
      </w:r>
      <w:r>
        <w:rPr>
          <w:szCs w:val="24"/>
          <w:lang w:val="en-US"/>
        </w:rPr>
        <w:t>requests</w:t>
      </w:r>
      <w:r w:rsidRPr="00247E46">
        <w:rPr>
          <w:szCs w:val="24"/>
          <w:lang w:val="en-US"/>
        </w:rPr>
        <w:t xml:space="preserve"> </w:t>
      </w:r>
      <w:r>
        <w:rPr>
          <w:szCs w:val="24"/>
          <w:lang w:val="en-US"/>
        </w:rPr>
        <w:t xml:space="preserve">of </w:t>
      </w:r>
      <w:r w:rsidRPr="00247E46">
        <w:rPr>
          <w:szCs w:val="24"/>
          <w:lang w:val="en-US"/>
        </w:rPr>
        <w:t xml:space="preserve">CHINASAT </w:t>
      </w:r>
      <w:r>
        <w:rPr>
          <w:szCs w:val="24"/>
          <w:lang w:val="en-US"/>
        </w:rPr>
        <w:t xml:space="preserve">satellite networks </w:t>
      </w:r>
      <w:r w:rsidRPr="00247E46">
        <w:rPr>
          <w:szCs w:val="24"/>
          <w:lang w:val="en-US"/>
        </w:rPr>
        <w:t xml:space="preserve">are given in the first 5 columns </w:t>
      </w:r>
      <w:r>
        <w:rPr>
          <w:szCs w:val="24"/>
          <w:lang w:val="en-US"/>
        </w:rPr>
        <w:t xml:space="preserve">of Table 5 below </w:t>
      </w:r>
      <w:r w:rsidRPr="00247E46">
        <w:rPr>
          <w:szCs w:val="24"/>
          <w:lang w:val="en-US"/>
        </w:rPr>
        <w:t xml:space="preserve">and the </w:t>
      </w:r>
      <w:r w:rsidRPr="00247E46">
        <w:rPr>
          <w:i/>
          <w:szCs w:val="24"/>
          <w:lang w:val="en-US"/>
        </w:rPr>
        <w:t>pfd</w:t>
      </w:r>
      <w:r w:rsidRPr="00247E46">
        <w:rPr>
          <w:i/>
          <w:szCs w:val="24"/>
          <w:vertAlign w:val="subscript"/>
          <w:lang w:val="en-US"/>
        </w:rPr>
        <w:t>min</w:t>
      </w:r>
      <w:r w:rsidRPr="00247E46">
        <w:rPr>
          <w:szCs w:val="24"/>
          <w:lang w:val="en-US"/>
        </w:rPr>
        <w:t xml:space="preserve"> is </w:t>
      </w:r>
      <w:r>
        <w:rPr>
          <w:szCs w:val="24"/>
          <w:lang w:val="en-US"/>
        </w:rPr>
        <w:t xml:space="preserve">then </w:t>
      </w:r>
      <w:r w:rsidRPr="00247E46">
        <w:rPr>
          <w:szCs w:val="24"/>
          <w:lang w:val="en-US"/>
        </w:rPr>
        <w:t>derived for each scenario. All orbit</w:t>
      </w:r>
      <w:r>
        <w:rPr>
          <w:szCs w:val="24"/>
          <w:lang w:val="en-US"/>
        </w:rPr>
        <w:t>al positions</w:t>
      </w:r>
      <w:r w:rsidRPr="00247E46">
        <w:rPr>
          <w:szCs w:val="24"/>
          <w:lang w:val="en-US"/>
        </w:rPr>
        <w:t xml:space="preserve"> refer to </w:t>
      </w:r>
      <w:r>
        <w:rPr>
          <w:szCs w:val="24"/>
          <w:lang w:val="en-US"/>
        </w:rPr>
        <w:t xml:space="preserve">the </w:t>
      </w:r>
      <w:r w:rsidRPr="00247E46">
        <w:rPr>
          <w:szCs w:val="24"/>
          <w:lang w:val="en-US"/>
        </w:rPr>
        <w:t>common 4 values</w:t>
      </w:r>
      <w:r>
        <w:rPr>
          <w:szCs w:val="24"/>
          <w:lang w:val="en-US"/>
        </w:rPr>
        <w:t xml:space="preserve"> of the </w:t>
      </w:r>
      <w:r w:rsidRPr="00247E46">
        <w:rPr>
          <w:i/>
          <w:szCs w:val="24"/>
          <w:lang w:val="en-US"/>
        </w:rPr>
        <w:t>G</w:t>
      </w:r>
      <w:r w:rsidRPr="00247E46">
        <w:rPr>
          <w:i/>
          <w:szCs w:val="24"/>
          <w:vertAlign w:val="subscript"/>
          <w:lang w:val="en-US"/>
        </w:rPr>
        <w:t>Rxmax</w:t>
      </w:r>
      <w:r w:rsidRPr="00247E46">
        <w:rPr>
          <w:i/>
          <w:szCs w:val="24"/>
          <w:lang w:val="en-US"/>
        </w:rPr>
        <w:t>, T, C/N</w:t>
      </w:r>
      <w:r>
        <w:rPr>
          <w:szCs w:val="24"/>
          <w:lang w:val="en-US"/>
        </w:rPr>
        <w:t xml:space="preserve"> parameters</w:t>
      </w:r>
      <w:r w:rsidRPr="00247E46">
        <w:rPr>
          <w:szCs w:val="24"/>
          <w:lang w:val="en-US"/>
        </w:rPr>
        <w:t>.</w:t>
      </w:r>
    </w:p>
    <w:p w:rsidR="004B1046" w:rsidRDefault="004B1046" w:rsidP="004B1046">
      <w:pPr>
        <w:pStyle w:val="TableNo"/>
        <w:rPr>
          <w:lang w:val="en-US"/>
        </w:rPr>
      </w:pPr>
      <w:r>
        <w:rPr>
          <w:lang w:val="en-US"/>
        </w:rPr>
        <w:t>Table 5</w:t>
      </w:r>
    </w:p>
    <w:p w:rsidR="004B1046" w:rsidRPr="00A40C32" w:rsidRDefault="004B1046" w:rsidP="004B1046">
      <w:pPr>
        <w:pStyle w:val="Tabletitle"/>
        <w:rPr>
          <w:lang w:val="en-US"/>
        </w:rPr>
      </w:pPr>
      <w:r>
        <w:rPr>
          <w:lang w:val="en-US"/>
        </w:rPr>
        <w:t>Required minimum pfd value for various CHINASAT satellite networks</w:t>
      </w:r>
    </w:p>
    <w:p w:rsidR="004B1046" w:rsidRPr="00247E46" w:rsidRDefault="004B1046" w:rsidP="004B1046">
      <w:pPr>
        <w:pStyle w:val="Tablehead"/>
        <w:rPr>
          <w:lang w:val="en-US"/>
        </w:rPr>
      </w:pPr>
    </w:p>
    <w:tbl>
      <w:tblPr>
        <w:tblStyle w:val="TableGrid"/>
        <w:tblW w:w="0" w:type="auto"/>
        <w:jc w:val="center"/>
        <w:tblLook w:val="04A0" w:firstRow="1" w:lastRow="0" w:firstColumn="1" w:lastColumn="0" w:noHBand="0" w:noVBand="1"/>
      </w:tblPr>
      <w:tblGrid>
        <w:gridCol w:w="972"/>
        <w:gridCol w:w="1550"/>
        <w:gridCol w:w="661"/>
        <w:gridCol w:w="673"/>
        <w:gridCol w:w="709"/>
        <w:gridCol w:w="1701"/>
      </w:tblGrid>
      <w:tr w:rsidR="004B1046" w:rsidRPr="00712AE5" w:rsidTr="00985F33">
        <w:trPr>
          <w:jc w:val="center"/>
        </w:trPr>
        <w:tc>
          <w:tcPr>
            <w:tcW w:w="768" w:type="dxa"/>
          </w:tcPr>
          <w:p w:rsidR="004B1046" w:rsidRPr="00405E59" w:rsidRDefault="004B1046" w:rsidP="00985F33">
            <w:pPr>
              <w:pStyle w:val="Tablehead"/>
            </w:pPr>
            <w:r w:rsidRPr="00405E59">
              <w:t>Orbit</w:t>
            </w:r>
            <w:r>
              <w:t>al positions (°E)</w:t>
            </w:r>
          </w:p>
        </w:tc>
        <w:tc>
          <w:tcPr>
            <w:tcW w:w="1550" w:type="dxa"/>
          </w:tcPr>
          <w:p w:rsidR="004B1046" w:rsidRPr="00405E59" w:rsidRDefault="004B1046" w:rsidP="00985F33">
            <w:pPr>
              <w:pStyle w:val="Tablehead"/>
            </w:pPr>
            <w:r>
              <w:t>Beam Names</w:t>
            </w:r>
          </w:p>
        </w:tc>
        <w:tc>
          <w:tcPr>
            <w:tcW w:w="661" w:type="dxa"/>
          </w:tcPr>
          <w:p w:rsidR="004B1046" w:rsidRPr="00405E59" w:rsidRDefault="004B1046" w:rsidP="00985F33">
            <w:pPr>
              <w:pStyle w:val="Tablehead"/>
            </w:pPr>
            <w:r w:rsidRPr="00405E59">
              <w:t>C/N</w:t>
            </w:r>
            <w:r>
              <w:t xml:space="preserve"> (dB)</w:t>
            </w:r>
          </w:p>
        </w:tc>
        <w:tc>
          <w:tcPr>
            <w:tcW w:w="673" w:type="dxa"/>
          </w:tcPr>
          <w:p w:rsidR="004B1046" w:rsidRPr="00405E59" w:rsidRDefault="004B1046" w:rsidP="00985F33">
            <w:pPr>
              <w:pStyle w:val="Tablehead"/>
            </w:pPr>
            <w:r w:rsidRPr="00405E59">
              <w:t>Gr max (dB)</w:t>
            </w:r>
          </w:p>
        </w:tc>
        <w:tc>
          <w:tcPr>
            <w:tcW w:w="709" w:type="dxa"/>
          </w:tcPr>
          <w:p w:rsidR="004B1046" w:rsidRPr="00405E59" w:rsidRDefault="004B1046" w:rsidP="00985F33">
            <w:pPr>
              <w:pStyle w:val="Tablehead"/>
            </w:pPr>
            <w:r w:rsidRPr="00405E59">
              <w:t>T (K)</w:t>
            </w:r>
          </w:p>
        </w:tc>
        <w:tc>
          <w:tcPr>
            <w:tcW w:w="1701" w:type="dxa"/>
          </w:tcPr>
          <w:p w:rsidR="004B1046" w:rsidRPr="0074379D" w:rsidRDefault="004B1046" w:rsidP="00985F33">
            <w:pPr>
              <w:pStyle w:val="Tablehead"/>
            </w:pPr>
            <w:r>
              <w:t>Pfd</w:t>
            </w:r>
            <w:r w:rsidRPr="00AF4D16">
              <w:rPr>
                <w:vertAlign w:val="subscript"/>
              </w:rPr>
              <w:t>min</w:t>
            </w:r>
            <w:r>
              <w:t xml:space="preserve"> (dBW/(m</w:t>
            </w:r>
            <w:r w:rsidRPr="00F8414C">
              <w:rPr>
                <w:vertAlign w:val="superscript"/>
              </w:rPr>
              <w:t>2</w:t>
            </w:r>
            <w:r>
              <w:t>.MHz))</w:t>
            </w:r>
          </w:p>
        </w:tc>
      </w:tr>
      <w:tr w:rsidR="004B1046" w:rsidTr="00985F33">
        <w:trPr>
          <w:jc w:val="center"/>
        </w:trPr>
        <w:tc>
          <w:tcPr>
            <w:tcW w:w="768" w:type="dxa"/>
          </w:tcPr>
          <w:p w:rsidR="004B1046" w:rsidRDefault="004B1046" w:rsidP="00985F33">
            <w:pPr>
              <w:pStyle w:val="Tabletext"/>
            </w:pPr>
            <w:r>
              <w:t>51.5/ 163</w:t>
            </w:r>
          </w:p>
        </w:tc>
        <w:tc>
          <w:tcPr>
            <w:tcW w:w="1550" w:type="dxa"/>
          </w:tcPr>
          <w:p w:rsidR="004B1046" w:rsidRDefault="004B1046" w:rsidP="00985F33">
            <w:pPr>
              <w:pStyle w:val="Tabletext"/>
            </w:pPr>
            <w:r>
              <w:t>LDR</w:t>
            </w:r>
          </w:p>
        </w:tc>
        <w:tc>
          <w:tcPr>
            <w:tcW w:w="661" w:type="dxa"/>
            <w:vMerge w:val="restart"/>
          </w:tcPr>
          <w:p w:rsidR="004B1046" w:rsidRDefault="004B1046" w:rsidP="00985F33">
            <w:pPr>
              <w:pStyle w:val="Tabletext"/>
            </w:pPr>
            <w:r>
              <w:t>13.2</w:t>
            </w:r>
          </w:p>
          <w:p w:rsidR="004B1046" w:rsidRDefault="004B1046" w:rsidP="00985F33">
            <w:pPr>
              <w:pStyle w:val="Tabletext"/>
            </w:pPr>
            <w:r>
              <w:t>13.4</w:t>
            </w:r>
          </w:p>
          <w:p w:rsidR="004B1046" w:rsidRDefault="004B1046" w:rsidP="00985F33">
            <w:pPr>
              <w:pStyle w:val="Tabletext"/>
            </w:pPr>
            <w:r>
              <w:t>13.5</w:t>
            </w:r>
          </w:p>
          <w:p w:rsidR="004B1046" w:rsidRDefault="004B1046" w:rsidP="00985F33">
            <w:pPr>
              <w:pStyle w:val="Tabletext"/>
            </w:pPr>
            <w:r>
              <w:t>13.2</w:t>
            </w:r>
          </w:p>
        </w:tc>
        <w:tc>
          <w:tcPr>
            <w:tcW w:w="673" w:type="dxa"/>
            <w:vMerge w:val="restart"/>
          </w:tcPr>
          <w:p w:rsidR="004B1046" w:rsidRDefault="004B1046" w:rsidP="00985F33">
            <w:pPr>
              <w:pStyle w:val="Tabletext"/>
            </w:pPr>
            <w:r>
              <w:t>5</w:t>
            </w:r>
          </w:p>
          <w:p w:rsidR="004B1046" w:rsidRDefault="004B1046" w:rsidP="00985F33">
            <w:pPr>
              <w:pStyle w:val="Tabletext"/>
            </w:pPr>
            <w:r>
              <w:t>11</w:t>
            </w:r>
          </w:p>
          <w:p w:rsidR="004B1046" w:rsidRDefault="004B1046" w:rsidP="00985F33">
            <w:pPr>
              <w:pStyle w:val="Tabletext"/>
            </w:pPr>
            <w:r>
              <w:t>17</w:t>
            </w:r>
          </w:p>
          <w:p w:rsidR="004B1046" w:rsidRDefault="004B1046" w:rsidP="00985F33">
            <w:pPr>
              <w:pStyle w:val="Tabletext"/>
            </w:pPr>
            <w:r>
              <w:t>2</w:t>
            </w:r>
          </w:p>
        </w:tc>
        <w:tc>
          <w:tcPr>
            <w:tcW w:w="709" w:type="dxa"/>
            <w:vMerge w:val="restart"/>
          </w:tcPr>
          <w:p w:rsidR="004B1046" w:rsidRDefault="004B1046" w:rsidP="00985F33">
            <w:pPr>
              <w:pStyle w:val="Tabletext"/>
            </w:pPr>
            <w:r>
              <w:t>280</w:t>
            </w:r>
          </w:p>
          <w:p w:rsidR="004B1046" w:rsidRDefault="004B1046" w:rsidP="00985F33">
            <w:pPr>
              <w:pStyle w:val="Tabletext"/>
            </w:pPr>
            <w:r>
              <w:t>200</w:t>
            </w:r>
          </w:p>
          <w:p w:rsidR="004B1046" w:rsidRDefault="004B1046" w:rsidP="00985F33">
            <w:pPr>
              <w:pStyle w:val="Tabletext"/>
            </w:pPr>
            <w:r>
              <w:t>150</w:t>
            </w:r>
          </w:p>
          <w:p w:rsidR="004B1046" w:rsidRDefault="004B1046" w:rsidP="00985F33">
            <w:pPr>
              <w:pStyle w:val="Tabletext"/>
            </w:pPr>
            <w:r>
              <w:t>280</w:t>
            </w:r>
          </w:p>
        </w:tc>
        <w:tc>
          <w:tcPr>
            <w:tcW w:w="1701" w:type="dxa"/>
            <w:vMerge w:val="restart"/>
          </w:tcPr>
          <w:p w:rsidR="004B1046" w:rsidRDefault="004B1046" w:rsidP="00985F33">
            <w:pPr>
              <w:pStyle w:val="Tabletext"/>
            </w:pPr>
            <w:r>
              <w:t>-111</w:t>
            </w:r>
          </w:p>
          <w:p w:rsidR="004B1046" w:rsidRDefault="004B1046" w:rsidP="00985F33">
            <w:pPr>
              <w:pStyle w:val="Tabletext"/>
            </w:pPr>
            <w:r>
              <w:t>-118.3</w:t>
            </w:r>
          </w:p>
          <w:p w:rsidR="004B1046" w:rsidRDefault="004B1046" w:rsidP="00985F33">
            <w:pPr>
              <w:pStyle w:val="Tabletext"/>
            </w:pPr>
            <w:r>
              <w:t>-125.4</w:t>
            </w:r>
          </w:p>
          <w:p w:rsidR="004B1046" w:rsidRDefault="004B1046" w:rsidP="00985F33">
            <w:pPr>
              <w:pStyle w:val="Tabletext"/>
            </w:pPr>
            <w:r>
              <w:t>-108</w:t>
            </w:r>
          </w:p>
        </w:tc>
      </w:tr>
      <w:tr w:rsidR="004B1046" w:rsidTr="00985F33">
        <w:trPr>
          <w:jc w:val="center"/>
        </w:trPr>
        <w:tc>
          <w:tcPr>
            <w:tcW w:w="768" w:type="dxa"/>
          </w:tcPr>
          <w:p w:rsidR="004B1046" w:rsidRDefault="004B1046" w:rsidP="00985F33">
            <w:pPr>
              <w:pStyle w:val="Tabletext"/>
            </w:pPr>
            <w:r>
              <w:t>87.5</w:t>
            </w:r>
          </w:p>
        </w:tc>
        <w:tc>
          <w:tcPr>
            <w:tcW w:w="1550" w:type="dxa"/>
          </w:tcPr>
          <w:p w:rsidR="004B1046" w:rsidRDefault="004B1046" w:rsidP="00985F33">
            <w:pPr>
              <w:pStyle w:val="Tabletext"/>
            </w:pPr>
            <w:r>
              <w:t>LD1R, LD2R LD3R, LBDG LBDR</w:t>
            </w:r>
          </w:p>
        </w:tc>
        <w:tc>
          <w:tcPr>
            <w:tcW w:w="661" w:type="dxa"/>
            <w:vMerge/>
          </w:tcPr>
          <w:p w:rsidR="004B1046" w:rsidRDefault="004B1046" w:rsidP="00985F33">
            <w:pPr>
              <w:pStyle w:val="Tabletext"/>
            </w:pPr>
          </w:p>
        </w:tc>
        <w:tc>
          <w:tcPr>
            <w:tcW w:w="673" w:type="dxa"/>
            <w:vMerge/>
          </w:tcPr>
          <w:p w:rsidR="004B1046" w:rsidRDefault="004B1046" w:rsidP="00985F33">
            <w:pPr>
              <w:pStyle w:val="Tabletext"/>
            </w:pPr>
          </w:p>
        </w:tc>
        <w:tc>
          <w:tcPr>
            <w:tcW w:w="709" w:type="dxa"/>
            <w:vMerge/>
          </w:tcPr>
          <w:p w:rsidR="004B1046" w:rsidRDefault="004B1046" w:rsidP="00985F33">
            <w:pPr>
              <w:pStyle w:val="Tabletext"/>
            </w:pPr>
          </w:p>
        </w:tc>
        <w:tc>
          <w:tcPr>
            <w:tcW w:w="1701" w:type="dxa"/>
            <w:vMerge/>
          </w:tcPr>
          <w:p w:rsidR="004B1046" w:rsidRDefault="004B1046" w:rsidP="00985F33">
            <w:pPr>
              <w:pStyle w:val="Tabletext"/>
            </w:pPr>
          </w:p>
        </w:tc>
      </w:tr>
      <w:tr w:rsidR="004B1046" w:rsidTr="00985F33">
        <w:trPr>
          <w:jc w:val="center"/>
        </w:trPr>
        <w:tc>
          <w:tcPr>
            <w:tcW w:w="768" w:type="dxa"/>
          </w:tcPr>
          <w:p w:rsidR="004B1046" w:rsidRDefault="004B1046" w:rsidP="00985F33">
            <w:pPr>
              <w:pStyle w:val="Tabletext"/>
            </w:pPr>
            <w:r>
              <w:t>110.5</w:t>
            </w:r>
          </w:p>
          <w:p w:rsidR="004B1046" w:rsidRDefault="004B1046" w:rsidP="00985F33">
            <w:pPr>
              <w:pStyle w:val="Tabletext"/>
            </w:pPr>
            <w:r>
              <w:t>115.5</w:t>
            </w:r>
          </w:p>
          <w:p w:rsidR="004B1046" w:rsidRDefault="004B1046" w:rsidP="00985F33">
            <w:pPr>
              <w:pStyle w:val="Tabletext"/>
            </w:pPr>
            <w:r>
              <w:t>126</w:t>
            </w:r>
          </w:p>
          <w:p w:rsidR="004B1046" w:rsidRDefault="004B1046" w:rsidP="00985F33">
            <w:pPr>
              <w:pStyle w:val="Tabletext"/>
            </w:pPr>
            <w:r>
              <w:t>136</w:t>
            </w:r>
          </w:p>
        </w:tc>
        <w:tc>
          <w:tcPr>
            <w:tcW w:w="1550" w:type="dxa"/>
          </w:tcPr>
          <w:p w:rsidR="004B1046" w:rsidRDefault="004B1046" w:rsidP="00985F33">
            <w:pPr>
              <w:pStyle w:val="Tabletext"/>
            </w:pPr>
            <w:r>
              <w:t>LBDR</w:t>
            </w:r>
          </w:p>
        </w:tc>
        <w:tc>
          <w:tcPr>
            <w:tcW w:w="661" w:type="dxa"/>
            <w:vMerge/>
          </w:tcPr>
          <w:p w:rsidR="004B1046" w:rsidRDefault="004B1046" w:rsidP="00985F33">
            <w:pPr>
              <w:pStyle w:val="Tabletext"/>
            </w:pPr>
          </w:p>
        </w:tc>
        <w:tc>
          <w:tcPr>
            <w:tcW w:w="673" w:type="dxa"/>
            <w:vMerge/>
          </w:tcPr>
          <w:p w:rsidR="004B1046" w:rsidRDefault="004B1046" w:rsidP="00985F33">
            <w:pPr>
              <w:pStyle w:val="Tabletext"/>
            </w:pPr>
          </w:p>
        </w:tc>
        <w:tc>
          <w:tcPr>
            <w:tcW w:w="709" w:type="dxa"/>
            <w:vMerge/>
          </w:tcPr>
          <w:p w:rsidR="004B1046" w:rsidRDefault="004B1046" w:rsidP="00985F33">
            <w:pPr>
              <w:pStyle w:val="Tabletext"/>
            </w:pPr>
          </w:p>
        </w:tc>
        <w:tc>
          <w:tcPr>
            <w:tcW w:w="1701" w:type="dxa"/>
            <w:vMerge/>
          </w:tcPr>
          <w:p w:rsidR="004B1046" w:rsidRDefault="004B1046" w:rsidP="00985F33">
            <w:pPr>
              <w:pStyle w:val="Tabletext"/>
            </w:pPr>
          </w:p>
        </w:tc>
      </w:tr>
      <w:tr w:rsidR="004B1046" w:rsidTr="00985F33">
        <w:trPr>
          <w:jc w:val="center"/>
        </w:trPr>
        <w:tc>
          <w:tcPr>
            <w:tcW w:w="768" w:type="dxa"/>
          </w:tcPr>
          <w:p w:rsidR="004B1046" w:rsidRDefault="004B1046" w:rsidP="00985F33">
            <w:pPr>
              <w:pStyle w:val="Tabletext"/>
            </w:pPr>
            <w:r>
              <w:t>125 163</w:t>
            </w:r>
          </w:p>
        </w:tc>
        <w:tc>
          <w:tcPr>
            <w:tcW w:w="1550" w:type="dxa"/>
          </w:tcPr>
          <w:p w:rsidR="004B1046" w:rsidRDefault="004B1046" w:rsidP="00985F33">
            <w:pPr>
              <w:pStyle w:val="Tabletext"/>
            </w:pPr>
            <w:r>
              <w:t>LBDG, LBDR</w:t>
            </w:r>
          </w:p>
        </w:tc>
        <w:tc>
          <w:tcPr>
            <w:tcW w:w="661" w:type="dxa"/>
            <w:vMerge/>
          </w:tcPr>
          <w:p w:rsidR="004B1046" w:rsidRDefault="004B1046" w:rsidP="00985F33">
            <w:pPr>
              <w:pStyle w:val="Tabletext"/>
            </w:pPr>
          </w:p>
        </w:tc>
        <w:tc>
          <w:tcPr>
            <w:tcW w:w="673" w:type="dxa"/>
            <w:vMerge/>
          </w:tcPr>
          <w:p w:rsidR="004B1046" w:rsidRDefault="004B1046" w:rsidP="00985F33">
            <w:pPr>
              <w:pStyle w:val="Tabletext"/>
            </w:pPr>
          </w:p>
        </w:tc>
        <w:tc>
          <w:tcPr>
            <w:tcW w:w="709" w:type="dxa"/>
            <w:vMerge/>
          </w:tcPr>
          <w:p w:rsidR="004B1046" w:rsidRDefault="004B1046" w:rsidP="00985F33">
            <w:pPr>
              <w:pStyle w:val="Tabletext"/>
            </w:pPr>
          </w:p>
        </w:tc>
        <w:tc>
          <w:tcPr>
            <w:tcW w:w="1701" w:type="dxa"/>
            <w:vMerge/>
          </w:tcPr>
          <w:p w:rsidR="004B1046" w:rsidRDefault="004B1046" w:rsidP="00985F33">
            <w:pPr>
              <w:pStyle w:val="Tabletext"/>
            </w:pPr>
          </w:p>
        </w:tc>
      </w:tr>
    </w:tbl>
    <w:p w:rsidR="004B1046" w:rsidRDefault="004B1046" w:rsidP="004B1046">
      <w:pPr>
        <w:rPr>
          <w:szCs w:val="24"/>
          <w:lang w:val="en-US"/>
        </w:rPr>
      </w:pPr>
    </w:p>
    <w:p w:rsidR="004B1046" w:rsidRDefault="004B1046" w:rsidP="004B1046">
      <w:pPr>
        <w:rPr>
          <w:szCs w:val="24"/>
          <w:lang w:val="en-US"/>
        </w:rPr>
      </w:pPr>
      <w:r w:rsidRPr="00712AE5">
        <w:rPr>
          <w:szCs w:val="24"/>
          <w:lang w:val="en-US"/>
        </w:rPr>
        <w:t xml:space="preserve">Several cases show </w:t>
      </w:r>
      <w:r>
        <w:rPr>
          <w:szCs w:val="24"/>
          <w:lang w:val="en-US"/>
        </w:rPr>
        <w:t xml:space="preserve">required minimum </w:t>
      </w:r>
      <w:r w:rsidRPr="00712AE5">
        <w:rPr>
          <w:szCs w:val="24"/>
          <w:lang w:val="en-US"/>
        </w:rPr>
        <w:t xml:space="preserve">pfd </w:t>
      </w:r>
      <w:r>
        <w:rPr>
          <w:szCs w:val="24"/>
          <w:lang w:val="en-US"/>
        </w:rPr>
        <w:t xml:space="preserve">levels </w:t>
      </w:r>
      <w:r w:rsidRPr="00712AE5">
        <w:rPr>
          <w:szCs w:val="24"/>
          <w:lang w:val="en-US"/>
        </w:rPr>
        <w:t>higher than the proposed pfd limit</w:t>
      </w:r>
      <w:r>
        <w:rPr>
          <w:szCs w:val="24"/>
          <w:lang w:val="en-US"/>
        </w:rPr>
        <w:t xml:space="preserve"> (i.e. </w:t>
      </w:r>
      <w:r w:rsidRPr="00712AE5">
        <w:rPr>
          <w:szCs w:val="24"/>
          <w:lang w:val="en-US"/>
        </w:rPr>
        <w:t>-111</w:t>
      </w:r>
      <w:r>
        <w:rPr>
          <w:szCs w:val="24"/>
          <w:lang w:val="en-US"/>
        </w:rPr>
        <w:t xml:space="preserve"> and </w:t>
      </w:r>
      <w:r>
        <w:rPr>
          <w:szCs w:val="24"/>
          <w:lang w:val="en-US"/>
        </w:rPr>
        <w:noBreakHyphen/>
      </w:r>
      <w:r w:rsidRPr="00712AE5">
        <w:rPr>
          <w:szCs w:val="24"/>
          <w:lang w:val="en-US"/>
        </w:rPr>
        <w:t>108</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In order to </w:t>
      </w:r>
      <w:r w:rsidRPr="007F65CD">
        <w:rPr>
          <w:szCs w:val="24"/>
          <w:lang w:val="en-US"/>
        </w:rPr>
        <w:t>assess if the proposed pfd limit (-113</w:t>
      </w:r>
      <w:r>
        <w:rPr>
          <w:szCs w:val="24"/>
          <w:lang w:val="en-US"/>
        </w:rPr>
        <w:t xml:space="preserve"> </w:t>
      </w:r>
      <w:r w:rsidRPr="007F65CD">
        <w:rPr>
          <w:szCs w:val="24"/>
          <w:lang w:val="en-US"/>
        </w:rPr>
        <w:t>dBW/</w:t>
      </w:r>
      <w:r>
        <w:rPr>
          <w:szCs w:val="24"/>
          <w:lang w:val="en-US"/>
        </w:rPr>
        <w:t>(</w:t>
      </w:r>
      <w:r w:rsidRPr="007F65CD">
        <w:rPr>
          <w:szCs w:val="24"/>
          <w:lang w:val="en-US"/>
        </w:rPr>
        <w:t>m</w:t>
      </w:r>
      <w:r w:rsidRPr="00AF4D16">
        <w:rPr>
          <w:szCs w:val="24"/>
          <w:vertAlign w:val="superscript"/>
          <w:lang w:val="en-US"/>
        </w:rPr>
        <w:t>2</w:t>
      </w:r>
      <w:r>
        <w:rPr>
          <w:szCs w:val="24"/>
          <w:lang w:val="en-US"/>
        </w:rPr>
        <w:t>.</w:t>
      </w:r>
      <w:r w:rsidRPr="007F65CD">
        <w:rPr>
          <w:szCs w:val="24"/>
          <w:lang w:val="en-US"/>
        </w:rPr>
        <w:t>MHz</w:t>
      </w:r>
      <w:r>
        <w:rPr>
          <w:szCs w:val="24"/>
          <w:lang w:val="en-US"/>
        </w:rPr>
        <w:t>)</w:t>
      </w:r>
      <w:r w:rsidRPr="007F65CD">
        <w:rPr>
          <w:szCs w:val="24"/>
          <w:lang w:val="en-US"/>
        </w:rPr>
        <w:t xml:space="preserve">) quantitatively affects or not the coverage requirements of the BSS operator within </w:t>
      </w:r>
      <w:r>
        <w:rPr>
          <w:szCs w:val="24"/>
          <w:lang w:val="en-US"/>
        </w:rPr>
        <w:t xml:space="preserve">its (large) </w:t>
      </w:r>
      <w:r w:rsidRPr="007F65CD">
        <w:rPr>
          <w:szCs w:val="24"/>
          <w:lang w:val="en-US"/>
        </w:rPr>
        <w:t>service area</w:t>
      </w:r>
      <w:r>
        <w:rPr>
          <w:szCs w:val="24"/>
          <w:lang w:val="en-US"/>
        </w:rPr>
        <w:t>, modelling the antenna pattern of the BSS transmitting satellite would be</w:t>
      </w:r>
      <w:r w:rsidRPr="007F65CD">
        <w:rPr>
          <w:szCs w:val="24"/>
          <w:lang w:val="en-US"/>
        </w:rPr>
        <w:t xml:space="preserve"> required to </w:t>
      </w:r>
      <w:r>
        <w:rPr>
          <w:szCs w:val="24"/>
          <w:lang w:val="en-US"/>
        </w:rPr>
        <w:t xml:space="preserve">compute </w:t>
      </w:r>
      <w:r>
        <w:rPr>
          <w:szCs w:val="24"/>
          <w:lang w:val="en-US"/>
        </w:rPr>
        <w:lastRenderedPageBreak/>
        <w:t xml:space="preserve">radio link budgets. Since </w:t>
      </w:r>
      <w:r w:rsidRPr="00743B4C">
        <w:rPr>
          <w:szCs w:val="24"/>
          <w:lang w:val="en-US"/>
        </w:rPr>
        <w:t xml:space="preserve">BSS systems </w:t>
      </w:r>
      <w:r>
        <w:rPr>
          <w:szCs w:val="24"/>
          <w:lang w:val="en-US"/>
        </w:rPr>
        <w:t>for this scenario are assumed to use steerable spot beams ,</w:t>
      </w:r>
      <w:r w:rsidRPr="00743B4C">
        <w:rPr>
          <w:szCs w:val="24"/>
          <w:lang w:val="en-US"/>
        </w:rPr>
        <w:t xml:space="preserve"> Rec</w:t>
      </w:r>
      <w:r>
        <w:rPr>
          <w:szCs w:val="24"/>
          <w:lang w:val="en-US"/>
        </w:rPr>
        <w:t xml:space="preserve">ommendation </w:t>
      </w:r>
      <w:r w:rsidRPr="00743B4C">
        <w:rPr>
          <w:szCs w:val="24"/>
          <w:lang w:val="en-US"/>
        </w:rPr>
        <w:t>ITU-R S.672-4</w:t>
      </w:r>
      <w:r>
        <w:rPr>
          <w:szCs w:val="24"/>
          <w:lang w:val="en-US"/>
        </w:rPr>
        <w:t xml:space="preserve"> was used to model the transmitting antenna pattern of these satellites. Based on that information, </w:t>
      </w:r>
      <w:r w:rsidRPr="00712AE5">
        <w:rPr>
          <w:szCs w:val="24"/>
          <w:lang w:val="en-US"/>
        </w:rPr>
        <w:t>the proposed pfd limit (-113</w:t>
      </w:r>
      <w:r>
        <w:rPr>
          <w:szCs w:val="24"/>
          <w:lang w:val="en-US"/>
        </w:rPr>
        <w:t xml:space="preserve"> </w:t>
      </w:r>
      <w:r w:rsidRPr="00712AE5">
        <w:rPr>
          <w:szCs w:val="24"/>
          <w:lang w:val="en-US"/>
        </w:rPr>
        <w:t>dBW/</w:t>
      </w:r>
      <w:r>
        <w:rPr>
          <w:szCs w:val="24"/>
          <w:lang w:val="en-US"/>
        </w:rPr>
        <w:t>(</w:t>
      </w:r>
      <w:r w:rsidRPr="00712AE5">
        <w:rPr>
          <w:szCs w:val="24"/>
          <w:lang w:val="en-US"/>
        </w:rPr>
        <w:t>m</w:t>
      </w:r>
      <w:r w:rsidRPr="0005283F">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is then derived and</w:t>
      </w:r>
      <w:r w:rsidRPr="00712AE5">
        <w:rPr>
          <w:szCs w:val="24"/>
          <w:lang w:val="en-US"/>
        </w:rPr>
        <w:t xml:space="preserve"> </w:t>
      </w:r>
      <w:r>
        <w:rPr>
          <w:szCs w:val="24"/>
          <w:lang w:val="en-US"/>
        </w:rPr>
        <w:t>depicted</w:t>
      </w:r>
      <w:r w:rsidRPr="00712AE5">
        <w:rPr>
          <w:szCs w:val="24"/>
          <w:lang w:val="en-US"/>
        </w:rPr>
        <w:t xml:space="preserve"> by the red ellipse</w:t>
      </w:r>
      <w:r>
        <w:rPr>
          <w:szCs w:val="24"/>
          <w:lang w:val="en-US"/>
        </w:rPr>
        <w:t xml:space="preserve"> over the Chinese territory in the following figure. It can be seen that this ellipse </w:t>
      </w:r>
      <w:r w:rsidRPr="00712AE5">
        <w:rPr>
          <w:szCs w:val="24"/>
          <w:lang w:val="en-US"/>
        </w:rPr>
        <w:t xml:space="preserve">is roughly included in the territory of the </w:t>
      </w:r>
      <w:r>
        <w:rPr>
          <w:szCs w:val="24"/>
          <w:lang w:val="en-US"/>
        </w:rPr>
        <w:t xml:space="preserve">Chinese </w:t>
      </w:r>
      <w:r w:rsidRPr="00712AE5">
        <w:rPr>
          <w:szCs w:val="24"/>
          <w:lang w:val="en-US"/>
        </w:rPr>
        <w:t>country (depicted in green)</w:t>
      </w:r>
      <w:r>
        <w:rPr>
          <w:szCs w:val="24"/>
          <w:lang w:val="en-US"/>
        </w:rPr>
        <w:t>.</w:t>
      </w:r>
    </w:p>
    <w:p w:rsidR="004B1046" w:rsidRPr="004B1046" w:rsidRDefault="004B1046" w:rsidP="004B1046">
      <w:pPr>
        <w:pStyle w:val="FigureNo"/>
        <w:rPr>
          <w:lang w:val="en-US"/>
        </w:rPr>
      </w:pPr>
      <w:r w:rsidRPr="004B1046">
        <w:rPr>
          <w:lang w:val="en-US"/>
        </w:rPr>
        <w:t>Figure 6</w:t>
      </w:r>
    </w:p>
    <w:p w:rsidR="004B1046" w:rsidRPr="004B1046" w:rsidRDefault="004B1046" w:rsidP="004B1046">
      <w:pPr>
        <w:pStyle w:val="Figuretitle"/>
        <w:rPr>
          <w:lang w:val="en-US"/>
        </w:rPr>
      </w:pPr>
      <w:r w:rsidRPr="004B1046">
        <w:rPr>
          <w:lang w:val="en-US"/>
        </w:rPr>
        <w:t xml:space="preserve">Constant pfd area of a steerable spot beam pointed towards the Chinese territory </w:t>
      </w:r>
      <w:r w:rsidRPr="004B1046">
        <w:rPr>
          <w:lang w:val="en-US"/>
        </w:rPr>
        <w:br/>
        <w:t>as modelled with Recommendation ITU-R S.672-4</w:t>
      </w:r>
    </w:p>
    <w:p w:rsidR="004B1046" w:rsidRDefault="004B1046" w:rsidP="004B1046">
      <w:pPr>
        <w:pStyle w:val="Figure"/>
        <w:rPr>
          <w:lang w:val="en-US"/>
        </w:rPr>
      </w:pPr>
      <w:r>
        <w:rPr>
          <w:noProof/>
          <w:lang w:val="en-US" w:eastAsia="zh-CN"/>
        </w:rPr>
        <w:drawing>
          <wp:inline distT="0" distB="0" distL="0" distR="0" wp14:anchorId="7B9569F8" wp14:editId="2E0F3F43">
            <wp:extent cx="5067088" cy="1961909"/>
            <wp:effectExtent l="0" t="0" r="635" b="635"/>
            <wp:docPr id="17" name="Image 17" descr="cid:image006.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BD7F.363DA4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84219" cy="1968542"/>
                    </a:xfrm>
                    <a:prstGeom prst="rect">
                      <a:avLst/>
                    </a:prstGeom>
                    <a:noFill/>
                    <a:ln>
                      <a:noFill/>
                    </a:ln>
                  </pic:spPr>
                </pic:pic>
              </a:graphicData>
            </a:graphic>
          </wp:inline>
        </w:drawing>
      </w:r>
    </w:p>
    <w:p w:rsidR="004B1046" w:rsidRDefault="004B1046" w:rsidP="004B1046">
      <w:pPr>
        <w:rPr>
          <w:szCs w:val="24"/>
          <w:lang w:val="en-US"/>
        </w:rPr>
      </w:pPr>
      <w:r w:rsidRPr="00712AE5">
        <w:rPr>
          <w:szCs w:val="24"/>
          <w:lang w:val="en-US"/>
        </w:rPr>
        <w:t xml:space="preserve">One could object that such spot beam does not cover the whole territory (North East &amp; North West of China) and that this red ellipse is </w:t>
      </w:r>
      <w:r>
        <w:rPr>
          <w:szCs w:val="24"/>
          <w:lang w:val="en-US"/>
        </w:rPr>
        <w:t xml:space="preserve">close to </w:t>
      </w:r>
      <w:r w:rsidRPr="00712AE5">
        <w:rPr>
          <w:szCs w:val="24"/>
          <w:lang w:val="en-US"/>
        </w:rPr>
        <w:t>15</w:t>
      </w:r>
      <w:r>
        <w:rPr>
          <w:szCs w:val="24"/>
          <w:lang w:val="en-US"/>
        </w:rPr>
        <w:t xml:space="preserve"> </w:t>
      </w:r>
      <w:r w:rsidRPr="00712AE5">
        <w:rPr>
          <w:szCs w:val="24"/>
          <w:lang w:val="en-US"/>
        </w:rPr>
        <w:t xml:space="preserve">dB antenna gain discrimination isocurve </w:t>
      </w:r>
      <w:r>
        <w:rPr>
          <w:szCs w:val="24"/>
          <w:lang w:val="en-US"/>
        </w:rPr>
        <w:t xml:space="preserve">from the antenna boresight, </w:t>
      </w:r>
      <w:r w:rsidRPr="00712AE5">
        <w:rPr>
          <w:szCs w:val="24"/>
          <w:lang w:val="en-US"/>
        </w:rPr>
        <w:t xml:space="preserve">which is uncommon for antenna discrimination </w:t>
      </w:r>
      <w:r>
        <w:rPr>
          <w:szCs w:val="24"/>
          <w:lang w:val="en-US"/>
        </w:rPr>
        <w:t>at</w:t>
      </w:r>
      <w:r w:rsidRPr="00712AE5">
        <w:rPr>
          <w:szCs w:val="24"/>
          <w:lang w:val="en-US"/>
        </w:rPr>
        <w:t xml:space="preserve"> the coverage edge</w:t>
      </w:r>
      <w:r>
        <w:rPr>
          <w:szCs w:val="24"/>
          <w:lang w:val="en-US"/>
        </w:rPr>
        <w:t xml:space="preserve"> (lower values are expected)</w:t>
      </w:r>
      <w:r w:rsidRPr="00712AE5">
        <w:rPr>
          <w:szCs w:val="24"/>
          <w:lang w:val="en-US"/>
        </w:rPr>
        <w:t xml:space="preserve">. </w:t>
      </w:r>
      <w:r>
        <w:rPr>
          <w:szCs w:val="24"/>
          <w:lang w:val="en-US"/>
        </w:rPr>
        <w:t xml:space="preserve">Moreover, since ITU special sections do not provide any details on the actual coverage of spot beams, </w:t>
      </w:r>
      <w:r w:rsidRPr="00712AE5">
        <w:rPr>
          <w:szCs w:val="24"/>
          <w:lang w:val="en-US"/>
        </w:rPr>
        <w:t xml:space="preserve">the following </w:t>
      </w:r>
      <w:r>
        <w:rPr>
          <w:szCs w:val="24"/>
          <w:lang w:val="en-US"/>
        </w:rPr>
        <w:t xml:space="preserve">figure tries to demonstrate </w:t>
      </w:r>
      <w:r w:rsidRPr="00712AE5">
        <w:rPr>
          <w:szCs w:val="24"/>
          <w:lang w:val="en-US"/>
        </w:rPr>
        <w:t xml:space="preserve">the </w:t>
      </w:r>
      <w:r>
        <w:rPr>
          <w:szCs w:val="24"/>
          <w:lang w:val="en-US"/>
        </w:rPr>
        <w:t xml:space="preserve">feasibility of covering </w:t>
      </w:r>
      <w:r w:rsidRPr="00712AE5">
        <w:rPr>
          <w:szCs w:val="24"/>
          <w:lang w:val="en-US"/>
        </w:rPr>
        <w:t xml:space="preserve">the Chinese territory </w:t>
      </w:r>
      <w:r>
        <w:rPr>
          <w:szCs w:val="24"/>
          <w:lang w:val="en-US"/>
        </w:rPr>
        <w:t xml:space="preserve">by </w:t>
      </w:r>
      <w:r w:rsidRPr="00712AE5">
        <w:rPr>
          <w:szCs w:val="24"/>
          <w:lang w:val="en-US"/>
        </w:rPr>
        <w:t>several spot</w:t>
      </w:r>
      <w:r>
        <w:rPr>
          <w:szCs w:val="24"/>
          <w:lang w:val="en-US"/>
        </w:rPr>
        <w:t xml:space="preserve"> </w:t>
      </w:r>
      <w:r w:rsidRPr="00712AE5">
        <w:rPr>
          <w:szCs w:val="24"/>
          <w:lang w:val="en-US"/>
        </w:rPr>
        <w:t xml:space="preserve">beams (e.g. 2) </w:t>
      </w:r>
      <w:r>
        <w:rPr>
          <w:szCs w:val="24"/>
          <w:lang w:val="en-US"/>
        </w:rPr>
        <w:t xml:space="preserve">for which </w:t>
      </w:r>
      <w:r w:rsidRPr="00712AE5">
        <w:rPr>
          <w:szCs w:val="24"/>
          <w:lang w:val="en-US"/>
        </w:rPr>
        <w:t xml:space="preserve">each red ellipse </w:t>
      </w:r>
      <w:r>
        <w:rPr>
          <w:szCs w:val="24"/>
          <w:lang w:val="en-US"/>
        </w:rPr>
        <w:t xml:space="preserve">depicts </w:t>
      </w:r>
      <w:r w:rsidRPr="00712AE5">
        <w:rPr>
          <w:szCs w:val="24"/>
          <w:lang w:val="en-US"/>
        </w:rPr>
        <w:t xml:space="preserve">the </w:t>
      </w:r>
      <w:r>
        <w:rPr>
          <w:szCs w:val="24"/>
          <w:lang w:val="en-US"/>
        </w:rPr>
        <w:t xml:space="preserve">area outside of which the </w:t>
      </w:r>
      <w:r w:rsidRPr="00712AE5">
        <w:rPr>
          <w:szCs w:val="24"/>
          <w:lang w:val="en-US"/>
        </w:rPr>
        <w:t>proposed pfd limit (-113</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is met</w:t>
      </w:r>
      <w:r w:rsidRPr="00712AE5">
        <w:rPr>
          <w:szCs w:val="24"/>
          <w:lang w:val="en-US"/>
        </w:rPr>
        <w:t>.</w:t>
      </w:r>
      <w:r w:rsidRPr="00953E23">
        <w:rPr>
          <w:szCs w:val="24"/>
          <w:lang w:val="en-US"/>
        </w:rPr>
        <w:t xml:space="preserve"> </w:t>
      </w:r>
    </w:p>
    <w:p w:rsidR="004B1046" w:rsidRPr="004B1046" w:rsidRDefault="004B1046" w:rsidP="004B1046">
      <w:pPr>
        <w:pStyle w:val="FigureNo"/>
        <w:rPr>
          <w:lang w:val="en-US"/>
        </w:rPr>
      </w:pPr>
      <w:r w:rsidRPr="004B1046">
        <w:rPr>
          <w:lang w:val="en-US"/>
        </w:rPr>
        <w:t>Figure 7</w:t>
      </w:r>
    </w:p>
    <w:p w:rsidR="004B1046" w:rsidRPr="00712AE5" w:rsidRDefault="004B1046" w:rsidP="004B1046">
      <w:pPr>
        <w:pStyle w:val="Figuretitle"/>
        <w:rPr>
          <w:szCs w:val="24"/>
          <w:lang w:val="en-US"/>
        </w:rPr>
      </w:pPr>
      <w:r w:rsidRPr="004B1046">
        <w:rPr>
          <w:lang w:val="en-US"/>
        </w:rPr>
        <w:t xml:space="preserve">Possible coverage of the Chinese territory with two spot beams </w:t>
      </w:r>
      <w:r w:rsidRPr="004B1046">
        <w:rPr>
          <w:lang w:val="en-US"/>
        </w:rPr>
        <w:br/>
        <w:t>modelled with Recommendation ITU-R S.672-4</w:t>
      </w:r>
    </w:p>
    <w:p w:rsidR="004B1046" w:rsidRDefault="004B1046" w:rsidP="004B1046">
      <w:pPr>
        <w:pStyle w:val="Figure"/>
        <w:rPr>
          <w:lang w:val="en-US"/>
        </w:rPr>
      </w:pPr>
      <w:r>
        <w:rPr>
          <w:noProof/>
          <w:lang w:val="en-US" w:eastAsia="zh-CN"/>
        </w:rPr>
        <w:drawing>
          <wp:inline distT="0" distB="0" distL="0" distR="0" wp14:anchorId="19FAC409" wp14:editId="443F46D1">
            <wp:extent cx="2943225" cy="1800225"/>
            <wp:effectExtent l="0" t="0" r="9525" b="9525"/>
            <wp:docPr id="18" name="Image 18" descr="cid:image001.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BD7F.363DA4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43225" cy="1800225"/>
                    </a:xfrm>
                    <a:prstGeom prst="rect">
                      <a:avLst/>
                    </a:prstGeom>
                    <a:noFill/>
                    <a:ln>
                      <a:noFill/>
                    </a:ln>
                  </pic:spPr>
                </pic:pic>
              </a:graphicData>
            </a:graphic>
          </wp:inline>
        </w:drawing>
      </w:r>
    </w:p>
    <w:p w:rsidR="004B1046" w:rsidRDefault="004B1046" w:rsidP="004B1046">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4B1046" w:rsidRDefault="004B1046" w:rsidP="003349CE">
      <w:pPr>
        <w:rPr>
          <w:szCs w:val="24"/>
          <w:lang w:val="en-US"/>
        </w:rPr>
      </w:pPr>
      <w:r w:rsidRPr="00712AE5">
        <w:rPr>
          <w:szCs w:val="24"/>
          <w:lang w:val="en-US"/>
        </w:rPr>
        <w:lastRenderedPageBreak/>
        <w:t>Since these spot beams overlap each other, a proper way to avoid/reduce BSS interference issues in the intersection zone would be to t</w:t>
      </w:r>
      <w:r w:rsidR="003349CE">
        <w:rPr>
          <w:szCs w:val="24"/>
          <w:lang w:val="en-US"/>
        </w:rPr>
        <w:t xml:space="preserve">ransmit on a different channel </w:t>
      </w:r>
      <w:r w:rsidRPr="00712AE5">
        <w:rPr>
          <w:szCs w:val="24"/>
          <w:lang w:val="en-US"/>
        </w:rPr>
        <w:t xml:space="preserve">within each spot beam. </w:t>
      </w:r>
      <w:r>
        <w:rPr>
          <w:szCs w:val="24"/>
          <w:lang w:val="en-US"/>
        </w:rPr>
        <w:t>As a matter</w:t>
      </w:r>
      <w:r w:rsidR="003349CE">
        <w:rPr>
          <w:szCs w:val="24"/>
          <w:lang w:val="en-US"/>
        </w:rPr>
        <w:t> </w:t>
      </w:r>
      <w:r>
        <w:rPr>
          <w:szCs w:val="24"/>
          <w:lang w:val="en-US"/>
        </w:rPr>
        <w:t>of comparison, the elliptical curve for the highest pfd</w:t>
      </w:r>
      <w:r w:rsidRPr="00712AE5">
        <w:rPr>
          <w:szCs w:val="24"/>
          <w:vertAlign w:val="subscript"/>
          <w:lang w:val="en-US"/>
        </w:rPr>
        <w:t>min</w:t>
      </w:r>
      <w:r>
        <w:rPr>
          <w:szCs w:val="24"/>
          <w:lang w:val="en-US"/>
        </w:rPr>
        <w:t xml:space="preserve"> value (provided in Table 5 above, i.e. -108 dBW/(m</w:t>
      </w:r>
      <w:r w:rsidRPr="00AF4D16">
        <w:rPr>
          <w:szCs w:val="24"/>
          <w:vertAlign w:val="superscript"/>
          <w:lang w:val="en-US"/>
        </w:rPr>
        <w:t>2</w:t>
      </w:r>
      <w:r>
        <w:rPr>
          <w:szCs w:val="24"/>
          <w:lang w:val="en-US"/>
        </w:rPr>
        <w:t>.MHz)) is shown in blue below. The blue spot beam cannot cover entirely the most western part of the Chinese territory.</w:t>
      </w:r>
    </w:p>
    <w:p w:rsidR="004B1046" w:rsidRPr="00712AE5" w:rsidRDefault="004B1046" w:rsidP="004B1046">
      <w:pPr>
        <w:jc w:val="center"/>
        <w:rPr>
          <w:szCs w:val="24"/>
          <w:lang w:val="en-US"/>
        </w:rPr>
      </w:pPr>
      <w:r>
        <w:rPr>
          <w:rFonts w:ascii="Garamond" w:hAnsi="Garamond"/>
          <w:noProof/>
          <w:color w:val="1F497D"/>
          <w:lang w:val="en-US" w:eastAsia="zh-CN"/>
        </w:rPr>
        <w:drawing>
          <wp:inline distT="0" distB="0" distL="0" distR="0" wp14:anchorId="4A8C8695" wp14:editId="0C13E6FC">
            <wp:extent cx="3048000" cy="1819275"/>
            <wp:effectExtent l="0" t="0" r="0" b="9525"/>
            <wp:docPr id="19" name="Image 19" descr="cid:image002.pn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D7F.363DA4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4B1046" w:rsidRPr="00712AE5" w:rsidRDefault="004B1046" w:rsidP="004B1046">
      <w:pPr>
        <w:rPr>
          <w:szCs w:val="24"/>
          <w:lang w:val="en-US"/>
        </w:rPr>
      </w:pPr>
      <w:r w:rsidRPr="00712AE5">
        <w:rPr>
          <w:szCs w:val="24"/>
          <w:lang w:val="en-US"/>
        </w:rPr>
        <w:t xml:space="preserve">This approach leads to conclude that similarly to what was previously studied for </w:t>
      </w:r>
      <w:r>
        <w:rPr>
          <w:szCs w:val="24"/>
          <w:lang w:val="en-US"/>
        </w:rPr>
        <w:t xml:space="preserve">other </w:t>
      </w:r>
      <w:r w:rsidRPr="00712AE5">
        <w:rPr>
          <w:szCs w:val="24"/>
          <w:lang w:val="en-US"/>
        </w:rPr>
        <w:t>BSS systems (</w:t>
      </w:r>
      <w:r>
        <w:rPr>
          <w:szCs w:val="24"/>
          <w:lang w:val="en-US"/>
        </w:rPr>
        <w:t xml:space="preserve">i.e. for </w:t>
      </w:r>
      <w:r w:rsidRPr="00712AE5">
        <w:rPr>
          <w:szCs w:val="24"/>
          <w:lang w:val="en-US"/>
        </w:rPr>
        <w:t xml:space="preserve">satellites </w:t>
      </w:r>
      <w:r>
        <w:rPr>
          <w:szCs w:val="24"/>
          <w:lang w:val="en-US"/>
        </w:rPr>
        <w:t xml:space="preserve">using </w:t>
      </w:r>
      <w:r w:rsidRPr="00712AE5">
        <w:rPr>
          <w:szCs w:val="24"/>
          <w:lang w:val="en-US"/>
        </w:rPr>
        <w:t xml:space="preserve">fixed </w:t>
      </w:r>
      <w:r>
        <w:rPr>
          <w:szCs w:val="24"/>
          <w:lang w:val="en-US"/>
        </w:rPr>
        <w:t>beams</w:t>
      </w:r>
      <w:r w:rsidRPr="00712AE5">
        <w:rPr>
          <w:szCs w:val="24"/>
          <w:lang w:val="en-US"/>
        </w:rPr>
        <w:t xml:space="preserve">), the proposed pfd limit </w:t>
      </w:r>
      <w:r>
        <w:rPr>
          <w:szCs w:val="24"/>
          <w:lang w:val="en-US"/>
        </w:rPr>
        <w:t xml:space="preserve">of </w:t>
      </w:r>
      <w:r w:rsidRPr="00712AE5">
        <w:rPr>
          <w:szCs w:val="24"/>
          <w:lang w:val="en-US"/>
        </w:rPr>
        <w:t>-113</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 xml:space="preserve">MHz) does not cause additional constraint on the </w:t>
      </w:r>
      <w:r>
        <w:rPr>
          <w:szCs w:val="24"/>
          <w:lang w:val="en-US"/>
        </w:rPr>
        <w:t xml:space="preserve">BSS </w:t>
      </w:r>
      <w:r w:rsidRPr="00712AE5">
        <w:rPr>
          <w:szCs w:val="24"/>
          <w:lang w:val="en-US"/>
        </w:rPr>
        <w:t>operation</w:t>
      </w:r>
      <w:r>
        <w:rPr>
          <w:szCs w:val="24"/>
          <w:lang w:val="en-US"/>
        </w:rPr>
        <w:t>s</w:t>
      </w:r>
      <w:r w:rsidRPr="00712AE5">
        <w:rPr>
          <w:szCs w:val="24"/>
          <w:lang w:val="en-US"/>
        </w:rPr>
        <w:t xml:space="preserve"> for satellites equipped with </w:t>
      </w:r>
      <w:r>
        <w:rPr>
          <w:szCs w:val="24"/>
          <w:lang w:val="en-US"/>
        </w:rPr>
        <w:t>steerable spot beams</w:t>
      </w:r>
      <w:r w:rsidRPr="00712AE5">
        <w:rPr>
          <w:szCs w:val="24"/>
          <w:lang w:val="en-US"/>
        </w:rPr>
        <w:t>.</w:t>
      </w:r>
    </w:p>
    <w:p w:rsidR="004B1046" w:rsidRPr="00D32CED" w:rsidRDefault="004B1046" w:rsidP="004B1046">
      <w:pPr>
        <w:pStyle w:val="Heading1"/>
        <w:rPr>
          <w:lang w:val="en-US"/>
        </w:rPr>
      </w:pPr>
      <w:r>
        <w:rPr>
          <w:lang w:val="en-US"/>
        </w:rPr>
        <w:t>3</w:t>
      </w:r>
      <w:r>
        <w:rPr>
          <w:lang w:val="en-US"/>
        </w:rPr>
        <w:tab/>
      </w:r>
      <w:r w:rsidRPr="00D32CED">
        <w:rPr>
          <w:lang w:val="en-US"/>
        </w:rPr>
        <w:t xml:space="preserve">Conclusions </w:t>
      </w:r>
    </w:p>
    <w:p w:rsidR="004B1046" w:rsidRDefault="004B1046" w:rsidP="004B1046">
      <w:pPr>
        <w:rPr>
          <w:szCs w:val="24"/>
          <w:lang w:val="en-US"/>
        </w:rPr>
      </w:pPr>
      <w:r>
        <w:rPr>
          <w:szCs w:val="24"/>
          <w:lang w:val="en-US"/>
        </w:rPr>
        <w:t xml:space="preserve">This study shows that, based on existing coordination and notification information regarding BSS satellite networks in the frequency band 1 452-1 492 MHz, a proposed pfd limit of </w:t>
      </w:r>
      <w:r>
        <w:rPr>
          <w:szCs w:val="24"/>
          <w:lang w:val="en-US"/>
        </w:rPr>
        <w:noBreakHyphen/>
        <w:t>113 dBW/(m</w:t>
      </w:r>
      <w:r w:rsidRPr="00AF4D16">
        <w:rPr>
          <w:szCs w:val="24"/>
          <w:vertAlign w:val="superscript"/>
          <w:lang w:val="en-US"/>
        </w:rPr>
        <w:t>2</w:t>
      </w:r>
      <w:r>
        <w:rPr>
          <w:szCs w:val="24"/>
          <w:lang w:val="en-US"/>
        </w:rPr>
        <w:t xml:space="preserve">.MHz) will entail very limited </w:t>
      </w:r>
      <w:r w:rsidRPr="003A0A00">
        <w:rPr>
          <w:szCs w:val="24"/>
          <w:lang w:val="en-US"/>
        </w:rPr>
        <w:t>design constrain</w:t>
      </w:r>
      <w:r>
        <w:rPr>
          <w:szCs w:val="24"/>
          <w:lang w:val="en-US"/>
        </w:rPr>
        <w:t>ts for BSS systems</w:t>
      </w:r>
      <w:r w:rsidRPr="003A0A00">
        <w:rPr>
          <w:szCs w:val="24"/>
          <w:lang w:val="en-US"/>
        </w:rPr>
        <w:t xml:space="preserve">. </w:t>
      </w:r>
      <w:r>
        <w:rPr>
          <w:szCs w:val="24"/>
          <w:lang w:val="en-US"/>
        </w:rPr>
        <w:t>This pfd limit enables an appropriate protection of IMT terminal stations within the frequency band 1 452</w:t>
      </w:r>
      <w:r>
        <w:rPr>
          <w:szCs w:val="24"/>
          <w:lang w:val="en-US"/>
        </w:rPr>
        <w:noBreakHyphen/>
        <w:t>1 492 MHz, while enabling coverage of countries willing to be part of a BSS systems and therefore accepting that this pfd limit will be exceeded over their territories.</w:t>
      </w:r>
      <w:r w:rsidRPr="003A0A00">
        <w:rPr>
          <w:szCs w:val="24"/>
          <w:lang w:val="en-US"/>
        </w:rPr>
        <w:t xml:space="preserve"> </w:t>
      </w:r>
    </w:p>
    <w:p w:rsidR="004B1046" w:rsidRPr="004B1046" w:rsidRDefault="004B1046" w:rsidP="004B1046">
      <w:pPr>
        <w:pStyle w:val="Reasons"/>
        <w:rPr>
          <w:lang w:val="en-US"/>
        </w:rPr>
      </w:pPr>
    </w:p>
    <w:p w:rsidR="004B1046" w:rsidRDefault="004B1046" w:rsidP="004B1046">
      <w:pPr>
        <w:jc w:val="center"/>
      </w:pPr>
      <w:r>
        <w:t>______________</w:t>
      </w:r>
    </w:p>
    <w:p w:rsidR="004B1046" w:rsidRDefault="004B1046" w:rsidP="004B1046">
      <w:pPr>
        <w:rPr>
          <w:szCs w:val="24"/>
          <w:lang w:val="en-US"/>
        </w:rPr>
      </w:pPr>
    </w:p>
    <w:sectPr w:rsidR="004B1046">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9A" w:rsidRDefault="009D2A9A">
      <w:r>
        <w:separator/>
      </w:r>
    </w:p>
  </w:endnote>
  <w:endnote w:type="continuationSeparator" w:id="0">
    <w:p w:rsidR="009D2A9A" w:rsidRDefault="009D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33" w:rsidRDefault="00985F33">
    <w:pPr>
      <w:rPr>
        <w:lang w:val="en-US"/>
      </w:rPr>
    </w:pPr>
    <w:r>
      <w:fldChar w:fldCharType="begin"/>
    </w:r>
    <w:r>
      <w:rPr>
        <w:lang w:val="en-US"/>
      </w:rPr>
      <w:instrText xml:space="preserve"> FILENAME \p  \* MERGEFORMAT </w:instrText>
    </w:r>
    <w:r>
      <w:fldChar w:fldCharType="separate"/>
    </w:r>
    <w:r>
      <w:rPr>
        <w:noProof/>
        <w:lang w:val="en-US"/>
      </w:rPr>
      <w:t>Document3</w:t>
    </w:r>
    <w:r>
      <w:fldChar w:fldCharType="end"/>
    </w:r>
    <w:r>
      <w:rPr>
        <w:lang w:val="en-US"/>
      </w:rPr>
      <w:tab/>
    </w:r>
    <w:r>
      <w:fldChar w:fldCharType="begin"/>
    </w:r>
    <w:r>
      <w:instrText xml:space="preserve"> SAVEDATE \@ DD.MM.YY </w:instrText>
    </w:r>
    <w:r>
      <w:fldChar w:fldCharType="separate"/>
    </w:r>
    <w:r w:rsidR="003E28F5">
      <w:rPr>
        <w:noProof/>
      </w:rPr>
      <w:t>23.10.15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33" w:rsidRPr="00902B16" w:rsidRDefault="00985F33">
    <w:pPr>
      <w:pStyle w:val="Footer"/>
      <w:rPr>
        <w:lang w:val="es-ES_tradnl"/>
      </w:rPr>
    </w:pPr>
    <w:r>
      <w:fldChar w:fldCharType="begin"/>
    </w:r>
    <w:r w:rsidRPr="00902B16">
      <w:rPr>
        <w:lang w:val="es-ES_tradnl"/>
      </w:rPr>
      <w:instrText xml:space="preserve"> FILENAME \p  \* MERGEFORMAT </w:instrText>
    </w:r>
    <w:r>
      <w:fldChar w:fldCharType="separate"/>
    </w:r>
    <w:r w:rsidR="00902B16" w:rsidRPr="00902B16">
      <w:rPr>
        <w:lang w:val="es-ES_tradnl"/>
      </w:rPr>
      <w:t>P:\FRA\ITU-R\CONF-R\CMR15\000\072F.docx</w:t>
    </w:r>
    <w:r>
      <w:fldChar w:fldCharType="end"/>
    </w:r>
    <w:r w:rsidRPr="00902B16">
      <w:rPr>
        <w:lang w:val="es-ES_tradnl"/>
      </w:rPr>
      <w:t xml:space="preserve"> (388472)</w:t>
    </w:r>
    <w:r w:rsidRPr="00902B16">
      <w:rPr>
        <w:lang w:val="es-ES_tradnl"/>
      </w:rPr>
      <w:tab/>
    </w:r>
    <w:r>
      <w:fldChar w:fldCharType="begin"/>
    </w:r>
    <w:r>
      <w:instrText xml:space="preserve"> SAVEDATE \@ DD.MM.YY </w:instrText>
    </w:r>
    <w:r>
      <w:fldChar w:fldCharType="separate"/>
    </w:r>
    <w:r w:rsidR="003E28F5">
      <w:t>23.10.15</w:t>
    </w:r>
    <w:r>
      <w:fldChar w:fldCharType="end"/>
    </w:r>
    <w:r w:rsidRPr="00902B16">
      <w:rPr>
        <w:lang w:val="es-ES_tradnl"/>
      </w:rPr>
      <w:tab/>
    </w:r>
    <w:r>
      <w:fldChar w:fldCharType="begin"/>
    </w:r>
    <w:r>
      <w:instrText xml:space="preserve"> PRINTDATE \@ DD.MM.YY </w:instrText>
    </w:r>
    <w:r>
      <w:fldChar w:fldCharType="separate"/>
    </w:r>
    <w:r w:rsidR="00902B16">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33" w:rsidRPr="00902B16" w:rsidRDefault="00985F33">
    <w:pPr>
      <w:pStyle w:val="Footer"/>
      <w:rPr>
        <w:lang w:val="es-ES_tradnl"/>
      </w:rPr>
    </w:pPr>
    <w:r>
      <w:fldChar w:fldCharType="begin"/>
    </w:r>
    <w:r w:rsidRPr="00902B16">
      <w:rPr>
        <w:lang w:val="es-ES_tradnl"/>
      </w:rPr>
      <w:instrText xml:space="preserve"> FILENAME \p  \* MERGEFORMAT </w:instrText>
    </w:r>
    <w:r>
      <w:fldChar w:fldCharType="separate"/>
    </w:r>
    <w:r w:rsidR="00902B16" w:rsidRPr="00902B16">
      <w:rPr>
        <w:lang w:val="es-ES_tradnl"/>
      </w:rPr>
      <w:t>P:\FRA\ITU-R\CONF-R\CMR15\000\072F.docx</w:t>
    </w:r>
    <w:r>
      <w:fldChar w:fldCharType="end"/>
    </w:r>
    <w:r w:rsidRPr="00902B16">
      <w:rPr>
        <w:lang w:val="es-ES_tradnl"/>
      </w:rPr>
      <w:t xml:space="preserve"> (388472)</w:t>
    </w:r>
    <w:r w:rsidRPr="00902B16">
      <w:rPr>
        <w:lang w:val="es-ES_tradnl"/>
      </w:rPr>
      <w:tab/>
    </w:r>
    <w:r>
      <w:fldChar w:fldCharType="begin"/>
    </w:r>
    <w:r>
      <w:instrText xml:space="preserve"> SAVEDATE \@ DD.MM.YY </w:instrText>
    </w:r>
    <w:r>
      <w:fldChar w:fldCharType="separate"/>
    </w:r>
    <w:r w:rsidR="003E28F5">
      <w:t>23.10.15</w:t>
    </w:r>
    <w:r>
      <w:fldChar w:fldCharType="end"/>
    </w:r>
    <w:r w:rsidRPr="00902B16">
      <w:rPr>
        <w:lang w:val="es-ES_tradnl"/>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9A" w:rsidRDefault="009D2A9A">
      <w:r>
        <w:rPr>
          <w:b/>
        </w:rPr>
        <w:t>_______________</w:t>
      </w:r>
    </w:p>
  </w:footnote>
  <w:footnote w:type="continuationSeparator" w:id="0">
    <w:p w:rsidR="009D2A9A" w:rsidRDefault="009D2A9A">
      <w:r>
        <w:continuationSeparator/>
      </w:r>
    </w:p>
  </w:footnote>
  <w:footnote w:id="1">
    <w:p w:rsidR="00985F33" w:rsidRPr="004B1046" w:rsidRDefault="00985F33" w:rsidP="004B1046">
      <w:pPr>
        <w:pStyle w:val="FootnoteText"/>
        <w:rPr>
          <w:lang w:val="en-US"/>
        </w:rPr>
      </w:pPr>
      <w:r>
        <w:rPr>
          <w:rStyle w:val="FootnoteReference"/>
        </w:rPr>
        <w:footnoteRef/>
      </w:r>
      <w:r w:rsidRPr="004B1046">
        <w:rPr>
          <w:lang w:val="en-US"/>
        </w:rPr>
        <w:t xml:space="preserve"> N: Notification, C: Coordination Request</w:t>
      </w:r>
    </w:p>
  </w:footnote>
  <w:footnote w:id="2">
    <w:p w:rsidR="00985F33" w:rsidRPr="00C92058" w:rsidRDefault="00985F33" w:rsidP="004B1046">
      <w:pPr>
        <w:pStyle w:val="FootnoteText"/>
        <w:rPr>
          <w:lang w:val="en-US"/>
        </w:rPr>
      </w:pPr>
      <w:r>
        <w:rPr>
          <w:rStyle w:val="FootnoteReference"/>
        </w:rPr>
        <w:footnoteRef/>
      </w:r>
      <w:r w:rsidRPr="004B1046">
        <w:rPr>
          <w:lang w:val="en-US"/>
        </w:rPr>
        <w:t xml:space="preserve"> </w:t>
      </w:r>
      <w:hyperlink r:id="rId1" w:history="1">
        <w:r w:rsidRPr="004B1046">
          <w:rPr>
            <w:rStyle w:val="Hyperlink"/>
            <w:lang w:val="en-US"/>
          </w:rPr>
          <w:t>https://www.itu.int/online/sns</w:t>
        </w:r>
      </w:hyperlink>
      <w:r w:rsidRPr="004B1046">
        <w:rPr>
          <w:lang w:val="en-US"/>
        </w:rPr>
        <w:t xml:space="preserve"> select Query Builder option in the left menu</w:t>
      </w:r>
    </w:p>
  </w:footnote>
  <w:footnote w:id="3">
    <w:p w:rsidR="00985F33" w:rsidRPr="00B315AF" w:rsidRDefault="00985F33" w:rsidP="004B1046">
      <w:pPr>
        <w:pStyle w:val="FootnoteText"/>
        <w:rPr>
          <w:lang w:val="en-US"/>
        </w:rPr>
      </w:pPr>
      <w:r>
        <w:rPr>
          <w:rStyle w:val="FootnoteReference"/>
        </w:rPr>
        <w:footnoteRef/>
      </w:r>
      <w:r w:rsidRPr="004B1046">
        <w:rPr>
          <w:lang w:val="en-US"/>
        </w:rPr>
        <w:t xml:space="preserve"> </w:t>
      </w:r>
      <w:r w:rsidRPr="00B315AF">
        <w:rPr>
          <w:lang w:val="en-US"/>
        </w:rPr>
        <w:t xml:space="preserve">Graphical Interference Management System : </w:t>
      </w:r>
      <w:hyperlink r:id="rId2" w:history="1">
        <w:r w:rsidRPr="00EE7B21">
          <w:rPr>
            <w:rStyle w:val="Hyperlink"/>
            <w:lang w:val="en-US"/>
          </w:rPr>
          <w:t>http://www.itu.int/en/ITU-R/software/Pages/gims.aspx</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33" w:rsidRDefault="00985F33" w:rsidP="004F1F8E">
    <w:pPr>
      <w:pStyle w:val="Header"/>
    </w:pPr>
    <w:r>
      <w:fldChar w:fldCharType="begin"/>
    </w:r>
    <w:r>
      <w:instrText xml:space="preserve"> PAGE </w:instrText>
    </w:r>
    <w:r>
      <w:fldChar w:fldCharType="separate"/>
    </w:r>
    <w:r w:rsidR="00381C10">
      <w:rPr>
        <w:noProof/>
      </w:rPr>
      <w:t>11</w:t>
    </w:r>
    <w:r>
      <w:fldChar w:fldCharType="end"/>
    </w:r>
  </w:p>
  <w:p w:rsidR="00985F33" w:rsidRDefault="00985F33" w:rsidP="00CE2C8D">
    <w:pPr>
      <w:pStyle w:val="Header"/>
    </w:pPr>
    <w:r>
      <w:t>CMR15/72-F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892520"/>
    <w:multiLevelType w:val="hybridMultilevel"/>
    <w:tmpl w:val="D048D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9268B2"/>
    <w:multiLevelType w:val="hybridMultilevel"/>
    <w:tmpl w:val="9C14556E"/>
    <w:lvl w:ilvl="0" w:tplc="C436FEB8">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F2A342E"/>
    <w:multiLevelType w:val="hybridMultilevel"/>
    <w:tmpl w:val="9D822A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0F19CD"/>
    <w:multiLevelType w:val="hybridMultilevel"/>
    <w:tmpl w:val="8BA495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6026444"/>
    <w:multiLevelType w:val="hybridMultilevel"/>
    <w:tmpl w:val="075238D6"/>
    <w:lvl w:ilvl="0" w:tplc="67B88BC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D316EFF"/>
    <w:multiLevelType w:val="hybridMultilevel"/>
    <w:tmpl w:val="0F0ECAEA"/>
    <w:lvl w:ilvl="0" w:tplc="72FA3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FD4039"/>
    <w:multiLevelType w:val="hybridMultilevel"/>
    <w:tmpl w:val="279E2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77F1A"/>
    <w:multiLevelType w:val="hybridMultilevel"/>
    <w:tmpl w:val="2FD20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646B5A"/>
    <w:multiLevelType w:val="hybridMultilevel"/>
    <w:tmpl w:val="38126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F01B30"/>
    <w:multiLevelType w:val="hybridMultilevel"/>
    <w:tmpl w:val="141604F0"/>
    <w:lvl w:ilvl="0" w:tplc="7D3A980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9A2755"/>
    <w:multiLevelType w:val="hybridMultilevel"/>
    <w:tmpl w:val="9508DDE8"/>
    <w:lvl w:ilvl="0" w:tplc="A74A3D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2"/>
  </w:num>
  <w:num w:numId="6">
    <w:abstractNumId w:val="9"/>
  </w:num>
  <w:num w:numId="7">
    <w:abstractNumId w:val="3"/>
  </w:num>
  <w:num w:numId="8">
    <w:abstractNumId w:val="8"/>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142590-55CF-4344-AED2-CB9B1DAA7A2E}"/>
    <w:docVar w:name="dgnword-eventsink" w:val="77801816"/>
  </w:docVars>
  <w:rsids>
    <w:rsidRoot w:val="00DB165C"/>
    <w:rsid w:val="00016648"/>
    <w:rsid w:val="0003522F"/>
    <w:rsid w:val="00080E2C"/>
    <w:rsid w:val="000A4755"/>
    <w:rsid w:val="000B2E0C"/>
    <w:rsid w:val="000B3D0C"/>
    <w:rsid w:val="001167B9"/>
    <w:rsid w:val="001267A0"/>
    <w:rsid w:val="00160C64"/>
    <w:rsid w:val="0019352B"/>
    <w:rsid w:val="001960D0"/>
    <w:rsid w:val="00204C24"/>
    <w:rsid w:val="00232FD2"/>
    <w:rsid w:val="00263BF8"/>
    <w:rsid w:val="002A4622"/>
    <w:rsid w:val="002B17E5"/>
    <w:rsid w:val="002C0EBF"/>
    <w:rsid w:val="002C5FCD"/>
    <w:rsid w:val="00315AFE"/>
    <w:rsid w:val="003349CE"/>
    <w:rsid w:val="003606A6"/>
    <w:rsid w:val="0036650C"/>
    <w:rsid w:val="00381C10"/>
    <w:rsid w:val="003A583E"/>
    <w:rsid w:val="003A71FF"/>
    <w:rsid w:val="003E112B"/>
    <w:rsid w:val="003E28F5"/>
    <w:rsid w:val="00416F68"/>
    <w:rsid w:val="00466211"/>
    <w:rsid w:val="004B1046"/>
    <w:rsid w:val="004B4918"/>
    <w:rsid w:val="004D01FC"/>
    <w:rsid w:val="004E28C3"/>
    <w:rsid w:val="004F1F8E"/>
    <w:rsid w:val="00584FF8"/>
    <w:rsid w:val="00586CF2"/>
    <w:rsid w:val="005B39BB"/>
    <w:rsid w:val="005C3768"/>
    <w:rsid w:val="005C6C3F"/>
    <w:rsid w:val="00613635"/>
    <w:rsid w:val="0062093D"/>
    <w:rsid w:val="00620D8C"/>
    <w:rsid w:val="00637ECF"/>
    <w:rsid w:val="0064416A"/>
    <w:rsid w:val="00647B59"/>
    <w:rsid w:val="00701BAE"/>
    <w:rsid w:val="00730E95"/>
    <w:rsid w:val="00765D06"/>
    <w:rsid w:val="00774362"/>
    <w:rsid w:val="007A04E8"/>
    <w:rsid w:val="008947FD"/>
    <w:rsid w:val="008A3120"/>
    <w:rsid w:val="008C000E"/>
    <w:rsid w:val="008C6C7F"/>
    <w:rsid w:val="008D41BE"/>
    <w:rsid w:val="008D58D3"/>
    <w:rsid w:val="00902B16"/>
    <w:rsid w:val="00923064"/>
    <w:rsid w:val="00936D25"/>
    <w:rsid w:val="00937B93"/>
    <w:rsid w:val="00941EA5"/>
    <w:rsid w:val="009460C8"/>
    <w:rsid w:val="00966C16"/>
    <w:rsid w:val="00985F33"/>
    <w:rsid w:val="0098732F"/>
    <w:rsid w:val="009C7E7C"/>
    <w:rsid w:val="009D2A9A"/>
    <w:rsid w:val="00A00473"/>
    <w:rsid w:val="00A03C9B"/>
    <w:rsid w:val="00A606C3"/>
    <w:rsid w:val="00A83B09"/>
    <w:rsid w:val="00A84541"/>
    <w:rsid w:val="00AC5C7F"/>
    <w:rsid w:val="00AE36A0"/>
    <w:rsid w:val="00B00294"/>
    <w:rsid w:val="00B64FD0"/>
    <w:rsid w:val="00BF26E7"/>
    <w:rsid w:val="00C01C69"/>
    <w:rsid w:val="00C814B9"/>
    <w:rsid w:val="00CD516F"/>
    <w:rsid w:val="00CE2C8D"/>
    <w:rsid w:val="00CE6A1C"/>
    <w:rsid w:val="00D119A7"/>
    <w:rsid w:val="00D25FBA"/>
    <w:rsid w:val="00D66EAC"/>
    <w:rsid w:val="00D730DF"/>
    <w:rsid w:val="00D772F0"/>
    <w:rsid w:val="00D77BDC"/>
    <w:rsid w:val="00DB165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ECA0BFF-E1E5-4616-85A9-2A590B3F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ef"/>
    <w:qForma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qFormat/>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bChar">
    <w:name w:val="Heading_b Char"/>
    <w:link w:val="Headingb"/>
    <w:locked/>
    <w:rsid w:val="0064416A"/>
    <w:rPr>
      <w:rFonts w:ascii="Times New Roman" w:hAnsi="Times New Roman"/>
      <w:b/>
      <w:sz w:val="24"/>
      <w:lang w:val="fr-FR" w:eastAsia="en-US"/>
    </w:rPr>
  </w:style>
  <w:style w:type="character" w:customStyle="1" w:styleId="FooterChar">
    <w:name w:val="Footer Char"/>
    <w:basedOn w:val="DefaultParagraphFont"/>
    <w:link w:val="Footer"/>
    <w:uiPriority w:val="99"/>
    <w:rsid w:val="004B1046"/>
    <w:rPr>
      <w:rFonts w:ascii="Times New Roman" w:hAnsi="Times New Roman"/>
      <w:caps/>
      <w:noProof/>
      <w:sz w:val="16"/>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4B1046"/>
    <w:rPr>
      <w:rFonts w:ascii="Times New Roman" w:hAnsi="Times New Roman"/>
      <w:sz w:val="24"/>
      <w:lang w:val="fr-FR" w:eastAsia="en-US"/>
    </w:rPr>
  </w:style>
  <w:style w:type="paragraph" w:customStyle="1" w:styleId="Tableref">
    <w:name w:val="Table_ref"/>
    <w:basedOn w:val="Normal"/>
    <w:next w:val="Normal"/>
    <w:rsid w:val="004B1046"/>
    <w:pPr>
      <w:keepNext/>
      <w:spacing w:before="560"/>
      <w:jc w:val="center"/>
    </w:pPr>
    <w:rPr>
      <w:sz w:val="20"/>
      <w:lang w:val="en-GB"/>
    </w:rPr>
  </w:style>
  <w:style w:type="paragraph" w:customStyle="1" w:styleId="Partref">
    <w:name w:val="Part_ref"/>
    <w:basedOn w:val="Annexref"/>
    <w:next w:val="Normal"/>
    <w:rsid w:val="004B1046"/>
    <w:rPr>
      <w:lang w:val="en-GB"/>
    </w:rPr>
  </w:style>
  <w:style w:type="paragraph" w:customStyle="1" w:styleId="Committee">
    <w:name w:val="Committee"/>
    <w:basedOn w:val="Normal"/>
    <w:qFormat/>
    <w:rsid w:val="004B1046"/>
    <w:pPr>
      <w:framePr w:hSpace="180" w:wrap="around" w:hAnchor="margin" w:y="-675"/>
      <w:tabs>
        <w:tab w:val="left" w:pos="851"/>
      </w:tabs>
      <w:spacing w:before="0" w:line="240" w:lineRule="atLeast"/>
    </w:pPr>
    <w:rPr>
      <w:rFonts w:cstheme="minorHAnsi"/>
      <w:b/>
      <w:szCs w:val="24"/>
      <w:lang w:val="en-GB"/>
    </w:rPr>
  </w:style>
  <w:style w:type="paragraph" w:customStyle="1" w:styleId="Volumetitle">
    <w:name w:val="Volume_title"/>
    <w:basedOn w:val="Normal"/>
    <w:qFormat/>
    <w:rsid w:val="004B1046"/>
    <w:pPr>
      <w:jc w:val="center"/>
    </w:pPr>
    <w:rPr>
      <w:b/>
      <w:bCs/>
      <w:sz w:val="28"/>
      <w:szCs w:val="28"/>
      <w:lang w:val="en-GB"/>
    </w:rPr>
  </w:style>
  <w:style w:type="paragraph" w:styleId="BalloonText">
    <w:name w:val="Balloon Text"/>
    <w:basedOn w:val="Normal"/>
    <w:link w:val="BalloonTextChar"/>
    <w:uiPriority w:val="99"/>
    <w:semiHidden/>
    <w:unhideWhenUsed/>
    <w:rsid w:val="004B1046"/>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B1046"/>
    <w:rPr>
      <w:rFonts w:ascii="Tahoma" w:hAnsi="Tahoma" w:cs="Tahoma"/>
      <w:sz w:val="16"/>
      <w:szCs w:val="16"/>
      <w:lang w:val="en-GB" w:eastAsia="en-US"/>
    </w:rPr>
  </w:style>
  <w:style w:type="character" w:customStyle="1" w:styleId="TableNoChar">
    <w:name w:val="Table_No Char"/>
    <w:link w:val="TableNo"/>
    <w:locked/>
    <w:rsid w:val="004B1046"/>
    <w:rPr>
      <w:rFonts w:ascii="Times New Roman" w:hAnsi="Times New Roman"/>
      <w:caps/>
      <w:lang w:val="fr-FR" w:eastAsia="en-US"/>
    </w:rPr>
  </w:style>
  <w:style w:type="character" w:customStyle="1" w:styleId="TabletextChar">
    <w:name w:val="Table_text Char"/>
    <w:link w:val="Tabletext"/>
    <w:locked/>
    <w:rsid w:val="004B1046"/>
    <w:rPr>
      <w:rFonts w:ascii="Times New Roman" w:hAnsi="Times New Roman"/>
      <w:lang w:val="fr-FR" w:eastAsia="en-US"/>
    </w:rPr>
  </w:style>
  <w:style w:type="character" w:customStyle="1" w:styleId="TabletitleChar">
    <w:name w:val="Table_title Char"/>
    <w:link w:val="Tabletitle"/>
    <w:locked/>
    <w:rsid w:val="004B1046"/>
    <w:rPr>
      <w:rFonts w:ascii="Times New Roman Bold" w:hAnsi="Times New Roman Bold"/>
      <w:b/>
      <w:lang w:val="fr-FR" w:eastAsia="en-US"/>
    </w:rPr>
  </w:style>
  <w:style w:type="paragraph" w:styleId="ListParagraph">
    <w:name w:val="List Paragraph"/>
    <w:basedOn w:val="Normal"/>
    <w:uiPriority w:val="34"/>
    <w:qFormat/>
    <w:rsid w:val="004B1046"/>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B1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image001.jpg@01D0BD7F.363DA4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6.jpg@01D0BD7F.363DA410"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cid:image002.png@01D0BD7F.363DA4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oftware/Pages/gims.aspx" TargetMode="External"/><Relationship Id="rId1" Type="http://schemas.openxmlformats.org/officeDocument/2006/relationships/hyperlink" Target="https://www.itu.int/online/s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aufi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B7C2-5C40-4BE3-8AA3-8A2123E8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30</TotalTime>
  <Pages>11</Pages>
  <Words>2970</Words>
  <Characters>14979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17914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Montaufier, Sylvie</dc:creator>
  <cp:keywords/>
  <cp:lastModifiedBy>Brice, Corinne</cp:lastModifiedBy>
  <cp:revision>7</cp:revision>
  <cp:lastPrinted>2003-06-05T19:34:00Z</cp:lastPrinted>
  <dcterms:created xsi:type="dcterms:W3CDTF">2015-10-23T20:52:00Z</dcterms:created>
  <dcterms:modified xsi:type="dcterms:W3CDTF">2015-10-26T09:32:00Z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