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0F6F99">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0F6F99">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0F6F99">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0F6F99">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F6F99">
            <w:pPr>
              <w:rPr>
                <w:rFonts w:ascii="Verdana" w:hAnsi="Verdana"/>
                <w:b/>
                <w:bCs/>
                <w:sz w:val="20"/>
              </w:rPr>
            </w:pPr>
          </w:p>
        </w:tc>
        <w:tc>
          <w:tcPr>
            <w:tcW w:w="3120" w:type="dxa"/>
            <w:tcBorders>
              <w:top w:val="single" w:sz="12" w:space="0" w:color="auto"/>
            </w:tcBorders>
          </w:tcPr>
          <w:p w:rsidR="00622560" w:rsidRPr="00CB4E5A" w:rsidRDefault="00622560" w:rsidP="000F6F99">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F6F99">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0F6F99">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0F6F99">
            <w:pPr>
              <w:spacing w:before="0"/>
              <w:rPr>
                <w:rFonts w:ascii="Verdana" w:hAnsi="Verdana"/>
                <w:b/>
                <w:smallCaps/>
                <w:sz w:val="20"/>
              </w:rPr>
            </w:pPr>
          </w:p>
        </w:tc>
        <w:tc>
          <w:tcPr>
            <w:tcW w:w="3120" w:type="dxa"/>
            <w:shd w:val="clear" w:color="auto" w:fill="auto"/>
          </w:tcPr>
          <w:p w:rsidR="008221A4" w:rsidRPr="00622560" w:rsidRDefault="008221A4" w:rsidP="000F6F99">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0F6F99">
            <w:pPr>
              <w:spacing w:before="0"/>
              <w:rPr>
                <w:rFonts w:ascii="Verdana" w:hAnsi="Verdana"/>
                <w:b/>
                <w:bCs/>
                <w:sz w:val="20"/>
              </w:rPr>
            </w:pPr>
          </w:p>
        </w:tc>
        <w:tc>
          <w:tcPr>
            <w:tcW w:w="3120" w:type="dxa"/>
          </w:tcPr>
          <w:p w:rsidR="008221A4" w:rsidRPr="00622560" w:rsidRDefault="008221A4" w:rsidP="000F6F99">
            <w:pPr>
              <w:spacing w:before="0"/>
              <w:rPr>
                <w:rFonts w:ascii="Verdana" w:hAnsi="Verdana"/>
                <w:sz w:val="20"/>
              </w:rPr>
            </w:pPr>
            <w:r w:rsidRPr="000273B7">
              <w:rPr>
                <w:rFonts w:ascii="Verdana" w:hAnsi="Verdana"/>
                <w:b/>
                <w:bCs/>
                <w:sz w:val="20"/>
              </w:rPr>
              <w:t>原文：英文</w:t>
            </w:r>
          </w:p>
        </w:tc>
      </w:tr>
      <w:tr w:rsidR="008221A4" w:rsidRPr="00C324A8" w:rsidTr="001C689E">
        <w:trPr>
          <w:cantSplit/>
          <w:trHeight w:val="23"/>
        </w:trPr>
        <w:tc>
          <w:tcPr>
            <w:tcW w:w="10031" w:type="dxa"/>
            <w:gridSpan w:val="2"/>
          </w:tcPr>
          <w:p w:rsidR="008221A4" w:rsidRDefault="008221A4" w:rsidP="000F6F99">
            <w:pPr>
              <w:spacing w:before="0"/>
              <w:rPr>
                <w:rFonts w:ascii="Verdana" w:hAnsi="Verdana"/>
                <w:b/>
                <w:bCs/>
                <w:sz w:val="20"/>
              </w:rPr>
            </w:pPr>
          </w:p>
        </w:tc>
      </w:tr>
      <w:tr w:rsidR="008221A4">
        <w:trPr>
          <w:cantSplit/>
        </w:trPr>
        <w:tc>
          <w:tcPr>
            <w:tcW w:w="10031" w:type="dxa"/>
            <w:gridSpan w:val="2"/>
          </w:tcPr>
          <w:p w:rsidR="008221A4" w:rsidRDefault="008221A4" w:rsidP="000F6F99">
            <w:pPr>
              <w:pStyle w:val="Source"/>
              <w:rPr>
                <w:lang w:eastAsia="zh-CN"/>
              </w:rPr>
            </w:pPr>
            <w:bookmarkStart w:id="4" w:name="dsource" w:colFirst="0" w:colLast="0"/>
            <w:r w:rsidRPr="000273B7">
              <w:rPr>
                <w:lang w:eastAsia="zh-CN"/>
              </w:rPr>
              <w:t>德意志（联邦共和国）</w:t>
            </w:r>
            <w:r w:rsidRPr="000273B7">
              <w:rPr>
                <w:lang w:eastAsia="zh-CN"/>
              </w:rPr>
              <w:t>/</w:t>
            </w:r>
            <w:r w:rsidRPr="000273B7">
              <w:rPr>
                <w:lang w:eastAsia="zh-CN"/>
              </w:rPr>
              <w:t>法国</w:t>
            </w:r>
          </w:p>
        </w:tc>
      </w:tr>
      <w:tr w:rsidR="008221A4">
        <w:trPr>
          <w:cantSplit/>
        </w:trPr>
        <w:tc>
          <w:tcPr>
            <w:tcW w:w="10031" w:type="dxa"/>
            <w:gridSpan w:val="2"/>
          </w:tcPr>
          <w:p w:rsidR="008221A4" w:rsidRDefault="0094022B" w:rsidP="000F6F99">
            <w:pPr>
              <w:pStyle w:val="Title1"/>
              <w:rPr>
                <w:lang w:eastAsia="zh-CN"/>
              </w:rPr>
            </w:pPr>
            <w:bookmarkStart w:id="5" w:name="dtitle1" w:colFirst="0" w:colLast="0"/>
            <w:bookmarkEnd w:id="4"/>
            <w:r w:rsidRPr="00C76C39">
              <w:rPr>
                <w:lang w:eastAsia="zh-CN"/>
              </w:rPr>
              <w:t>−113 </w:t>
            </w:r>
            <w:r w:rsidRPr="00C76C39">
              <w:rPr>
                <w:caps w:val="0"/>
                <w:lang w:eastAsia="zh-CN"/>
              </w:rPr>
              <w:t>d</w:t>
            </w:r>
            <w:r w:rsidRPr="00C76C39">
              <w:rPr>
                <w:lang w:eastAsia="zh-CN"/>
              </w:rPr>
              <w:t>BW/(m</w:t>
            </w:r>
            <w:r w:rsidRPr="00FD4EB6">
              <w:rPr>
                <w:vertAlign w:val="superscript"/>
                <w:lang w:eastAsia="zh-CN"/>
              </w:rPr>
              <w:t>2</w:t>
            </w:r>
            <w:r w:rsidRPr="00C76C39">
              <w:rPr>
                <w:lang w:eastAsia="zh-CN"/>
              </w:rPr>
              <w:t> · MH</w:t>
            </w:r>
            <w:r w:rsidRPr="00C76C39">
              <w:rPr>
                <w:caps w:val="0"/>
                <w:lang w:eastAsia="zh-CN"/>
              </w:rPr>
              <w:t>z</w:t>
            </w:r>
            <w:r w:rsidR="00FE5917">
              <w:rPr>
                <w:lang w:eastAsia="zh-CN"/>
              </w:rPr>
              <w:t>)</w:t>
            </w:r>
            <w:r w:rsidR="00A12D2F">
              <w:rPr>
                <w:rFonts w:hint="eastAsia"/>
                <w:caps w:val="0"/>
                <w:lang w:eastAsia="zh-CN"/>
              </w:rPr>
              <w:t>的</w:t>
            </w:r>
            <w:r w:rsidR="00A12D2F" w:rsidRPr="00A12D2F">
              <w:rPr>
                <w:caps w:val="0"/>
                <w:lang w:eastAsia="zh-CN"/>
              </w:rPr>
              <w:t>pfd</w:t>
            </w:r>
            <w:r w:rsidR="00A12D2F">
              <w:rPr>
                <w:rFonts w:hint="eastAsia"/>
                <w:caps w:val="0"/>
                <w:lang w:eastAsia="zh-CN"/>
              </w:rPr>
              <w:t>限值</w:t>
            </w:r>
            <w:r w:rsidR="00A12D2F">
              <w:rPr>
                <w:caps w:val="0"/>
                <w:lang w:eastAsia="zh-CN"/>
              </w:rPr>
              <w:t>对</w:t>
            </w:r>
            <w:r w:rsidR="00A12D2F">
              <w:rPr>
                <w:lang w:eastAsia="zh-CN"/>
              </w:rPr>
              <w:t>1 452-1 492 MH</w:t>
            </w:r>
            <w:r w:rsidR="00A12D2F">
              <w:rPr>
                <w:caps w:val="0"/>
                <w:lang w:eastAsia="zh-CN"/>
              </w:rPr>
              <w:t>z</w:t>
            </w:r>
            <w:r w:rsidR="00A12D2F">
              <w:rPr>
                <w:rFonts w:hint="eastAsia"/>
                <w:caps w:val="0"/>
                <w:lang w:eastAsia="zh-CN"/>
              </w:rPr>
              <w:t>频段</w:t>
            </w:r>
            <w:r w:rsidR="000F6F99">
              <w:rPr>
                <w:caps w:val="0"/>
                <w:lang w:eastAsia="zh-CN"/>
              </w:rPr>
              <w:br/>
            </w:r>
            <w:r w:rsidR="00A12D2F">
              <w:rPr>
                <w:lang w:eastAsia="zh-CN"/>
              </w:rPr>
              <w:t>BSS</w:t>
            </w:r>
            <w:r w:rsidR="00A12D2F">
              <w:rPr>
                <w:rFonts w:hint="eastAsia"/>
                <w:lang w:eastAsia="zh-CN"/>
              </w:rPr>
              <w:t>操作</w:t>
            </w:r>
            <w:r w:rsidR="00A12D2F">
              <w:rPr>
                <w:lang w:eastAsia="zh-CN"/>
              </w:rPr>
              <w:t>的影响</w:t>
            </w:r>
          </w:p>
        </w:tc>
      </w:tr>
      <w:tr w:rsidR="008221A4">
        <w:trPr>
          <w:cantSplit/>
        </w:trPr>
        <w:tc>
          <w:tcPr>
            <w:tcW w:w="10031" w:type="dxa"/>
            <w:gridSpan w:val="2"/>
          </w:tcPr>
          <w:p w:rsidR="008221A4" w:rsidRDefault="008221A4" w:rsidP="000F6F99">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0F6F99">
            <w:pPr>
              <w:pStyle w:val="Agendaitem"/>
            </w:pPr>
            <w:bookmarkStart w:id="7" w:name="dtitle3" w:colFirst="0" w:colLast="0"/>
            <w:bookmarkEnd w:id="6"/>
            <w:r w:rsidRPr="000273B7">
              <w:t>议项</w:t>
            </w:r>
            <w:r w:rsidRPr="000273B7">
              <w:t>1.1</w:t>
            </w:r>
          </w:p>
        </w:tc>
      </w:tr>
    </w:tbl>
    <w:bookmarkEnd w:id="7"/>
    <w:p w:rsidR="001C689E" w:rsidRPr="00111152" w:rsidRDefault="001C689E" w:rsidP="000F6F99">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0F6F99">
      <w:pPr>
        <w:rPr>
          <w:lang w:eastAsia="zh-CN"/>
        </w:rPr>
      </w:pPr>
    </w:p>
    <w:p w:rsidR="00CE5B22" w:rsidRPr="009E389D" w:rsidRDefault="00A12D2F" w:rsidP="009E389D">
      <w:pPr>
        <w:pStyle w:val="Headingb"/>
      </w:pPr>
      <w:r w:rsidRPr="009E389D">
        <w:rPr>
          <w:rFonts w:hint="eastAsia"/>
        </w:rPr>
        <w:t>技术研究综述</w:t>
      </w:r>
    </w:p>
    <w:p w:rsidR="00CE5B22" w:rsidRPr="009E389D" w:rsidRDefault="00A12D2F" w:rsidP="009E389D">
      <w:pPr>
        <w:ind w:firstLineChars="200" w:firstLine="480"/>
        <w:rPr>
          <w:lang w:eastAsia="zh-CN"/>
        </w:rPr>
      </w:pPr>
      <w:r w:rsidRPr="009E389D">
        <w:rPr>
          <w:lang w:eastAsia="zh-CN"/>
        </w:rPr>
        <w:t>CPM</w:t>
      </w:r>
      <w:r w:rsidRPr="009E389D">
        <w:rPr>
          <w:rFonts w:hint="eastAsia"/>
          <w:lang w:eastAsia="zh-CN"/>
        </w:rPr>
        <w:t>案文</w:t>
      </w:r>
      <w:r w:rsidRPr="009E389D">
        <w:rPr>
          <w:lang w:eastAsia="zh-CN"/>
        </w:rPr>
        <w:t>有关</w:t>
      </w:r>
      <w:r w:rsidRPr="009E389D">
        <w:rPr>
          <w:lang w:eastAsia="zh-CN"/>
        </w:rPr>
        <w:t>1</w:t>
      </w:r>
      <w:r w:rsidR="00DC530B">
        <w:rPr>
          <w:lang w:eastAsia="zh-CN"/>
        </w:rPr>
        <w:t xml:space="preserve"> </w:t>
      </w:r>
      <w:r w:rsidRPr="009E389D">
        <w:rPr>
          <w:lang w:eastAsia="zh-CN"/>
        </w:rPr>
        <w:t>452-1</w:t>
      </w:r>
      <w:r w:rsidR="00DC530B">
        <w:rPr>
          <w:lang w:eastAsia="zh-CN"/>
        </w:rPr>
        <w:t xml:space="preserve"> </w:t>
      </w:r>
      <w:r w:rsidRPr="009E389D">
        <w:rPr>
          <w:lang w:eastAsia="zh-CN"/>
        </w:rPr>
        <w:t>492 MHz</w:t>
      </w:r>
      <w:r w:rsidRPr="009E389D">
        <w:rPr>
          <w:lang w:eastAsia="zh-CN"/>
        </w:rPr>
        <w:t>频段的</w:t>
      </w:r>
      <w:r w:rsidRPr="009E389D">
        <w:rPr>
          <w:rFonts w:hint="eastAsia"/>
          <w:lang w:eastAsia="zh-CN"/>
        </w:rPr>
        <w:t>方案</w:t>
      </w:r>
      <w:r w:rsidRPr="009E389D">
        <w:rPr>
          <w:lang w:eastAsia="zh-CN"/>
        </w:rPr>
        <w:t>C1</w:t>
      </w:r>
      <w:r w:rsidRPr="009E389D">
        <w:rPr>
          <w:rFonts w:hint="eastAsia"/>
          <w:lang w:eastAsia="zh-CN"/>
        </w:rPr>
        <w:t>建议</w:t>
      </w:r>
      <w:r w:rsidR="009E389D">
        <w:rPr>
          <w:rFonts w:hint="eastAsia"/>
          <w:lang w:eastAsia="zh-CN"/>
        </w:rPr>
        <w:t>：</w:t>
      </w:r>
    </w:p>
    <w:p w:rsidR="00CE5B22" w:rsidRPr="007A69DE" w:rsidRDefault="007A69DE" w:rsidP="007A69DE">
      <w:pPr>
        <w:pStyle w:val="enumlev1"/>
        <w:rPr>
          <w:rFonts w:ascii="STKaiti" w:eastAsia="STKaiti" w:hAnsi="STKaiti"/>
          <w:b/>
          <w:lang w:eastAsia="zh-CN"/>
        </w:rPr>
      </w:pPr>
      <w:r>
        <w:rPr>
          <w:rFonts w:ascii="STKaiti" w:eastAsia="STKaiti" w:hAnsi="STKaiti"/>
          <w:lang w:val="en-US" w:eastAsia="zh-CN"/>
        </w:rPr>
        <w:tab/>
      </w:r>
      <w:r w:rsidR="00100A0C" w:rsidRPr="007A69DE">
        <w:rPr>
          <w:rFonts w:ascii="STKaiti" w:eastAsia="STKaiti" w:hAnsi="STKaiti"/>
          <w:lang w:val="en-US" w:eastAsia="zh-CN"/>
        </w:rPr>
        <w:t>“</w:t>
      </w:r>
      <w:r w:rsidR="001C689E" w:rsidRPr="007A69DE">
        <w:rPr>
          <w:rFonts w:ascii="STKaiti" w:eastAsia="STKaiti" w:hAnsi="STKaiti"/>
          <w:lang w:eastAsia="zh-CN"/>
        </w:rPr>
        <w:t>为实现IMT和BSS在1 452-1 492 MHz频段的共存，应通过在《无线电规则》第21条中增加一pfd值[–113 dBW/m²/MHz]，修改规范BSS和地面业务之间关系的现行规则程序，以便向IMT提供更为平稳的（长期稳定的）环境。将通过修订《无线电规则》附录5，使希望继续实施《无线电规则》第9.11款所定协调程序的国家能够实现这一愿望。因此，除了继续实施要求更为苛刻的《无线电规则》第9.11款的国家外，一个pfd限值将适用于BSS相对于所有地面业务的情形（例如，以保护遥测系统）。</w:t>
      </w:r>
      <w:r w:rsidR="00100A0C" w:rsidRPr="007A69DE">
        <w:rPr>
          <w:rFonts w:ascii="STKaiti" w:eastAsia="STKaiti" w:hAnsi="STKaiti"/>
          <w:lang w:val="en-US" w:eastAsia="zh-CN"/>
        </w:rPr>
        <w:t>”</w:t>
      </w:r>
    </w:p>
    <w:p w:rsidR="00CE5B22" w:rsidRPr="009E389D" w:rsidRDefault="00A12D2F" w:rsidP="003F2FFC">
      <w:pPr>
        <w:ind w:firstLineChars="200" w:firstLine="480"/>
        <w:rPr>
          <w:lang w:eastAsia="zh-CN"/>
        </w:rPr>
      </w:pPr>
      <w:r w:rsidRPr="009E389D">
        <w:rPr>
          <w:lang w:eastAsia="zh-CN"/>
        </w:rPr>
        <w:t>JTG 4-5-6-7</w:t>
      </w:r>
      <w:r w:rsidRPr="009E389D">
        <w:rPr>
          <w:rFonts w:hint="eastAsia"/>
          <w:lang w:eastAsia="zh-CN"/>
        </w:rPr>
        <w:t>的</w:t>
      </w:r>
      <w:r w:rsidRPr="009E389D">
        <w:rPr>
          <w:lang w:eastAsia="zh-CN"/>
        </w:rPr>
        <w:t>报告中</w:t>
      </w:r>
      <w:r w:rsidRPr="009E389D">
        <w:rPr>
          <w:rFonts w:hint="eastAsia"/>
          <w:lang w:eastAsia="zh-CN"/>
        </w:rPr>
        <w:t>对</w:t>
      </w:r>
      <w:r w:rsidR="003F2FFC" w:rsidRPr="00C76C39">
        <w:rPr>
          <w:lang w:eastAsia="zh-CN"/>
        </w:rPr>
        <w:t>−113 dBW/(m</w:t>
      </w:r>
      <w:r w:rsidR="003F2FFC" w:rsidRPr="00D73BE8">
        <w:rPr>
          <w:vertAlign w:val="superscript"/>
          <w:lang w:eastAsia="zh-CN"/>
        </w:rPr>
        <w:t>2</w:t>
      </w:r>
      <w:r w:rsidR="003F2FFC" w:rsidRPr="00C76C39">
        <w:rPr>
          <w:lang w:eastAsia="zh-CN"/>
        </w:rPr>
        <w:t> · MHz)</w:t>
      </w:r>
      <w:r w:rsidR="002233B0" w:rsidRPr="009E389D">
        <w:rPr>
          <w:rFonts w:hint="eastAsia"/>
          <w:lang w:eastAsia="zh-CN"/>
        </w:rPr>
        <w:t>这一</w:t>
      </w:r>
      <w:r w:rsidRPr="009E389D">
        <w:rPr>
          <w:rFonts w:hint="eastAsia"/>
          <w:lang w:eastAsia="zh-CN"/>
        </w:rPr>
        <w:t>pfd</w:t>
      </w:r>
      <w:r w:rsidRPr="009E389D">
        <w:rPr>
          <w:rFonts w:hint="eastAsia"/>
          <w:lang w:eastAsia="zh-CN"/>
        </w:rPr>
        <w:t>值的</w:t>
      </w:r>
      <w:r w:rsidR="000F6F99" w:rsidRPr="009E389D">
        <w:rPr>
          <w:rFonts w:hint="eastAsia"/>
          <w:lang w:eastAsia="zh-CN"/>
        </w:rPr>
        <w:t>理论</w:t>
      </w:r>
      <w:r w:rsidR="000F6F99" w:rsidRPr="009E389D">
        <w:rPr>
          <w:lang w:eastAsia="zh-CN"/>
        </w:rPr>
        <w:t>基础</w:t>
      </w:r>
      <w:r w:rsidRPr="009E389D">
        <w:rPr>
          <w:rFonts w:hint="eastAsia"/>
          <w:lang w:eastAsia="zh-CN"/>
        </w:rPr>
        <w:t>进行了</w:t>
      </w:r>
      <w:r w:rsidR="002233B0" w:rsidRPr="009E389D">
        <w:rPr>
          <w:rFonts w:hint="eastAsia"/>
          <w:lang w:eastAsia="zh-CN"/>
        </w:rPr>
        <w:t>阐述</w:t>
      </w:r>
      <w:r w:rsidRPr="009E389D">
        <w:rPr>
          <w:rFonts w:hint="eastAsia"/>
          <w:lang w:eastAsia="zh-CN"/>
        </w:rPr>
        <w:t>。</w:t>
      </w:r>
      <w:r w:rsidR="000F6F99" w:rsidRPr="009E389D">
        <w:rPr>
          <w:rFonts w:hint="eastAsia"/>
          <w:lang w:eastAsia="zh-CN"/>
        </w:rPr>
        <w:t>这一</w:t>
      </w:r>
      <w:r w:rsidRPr="009E389D">
        <w:rPr>
          <w:lang w:eastAsia="zh-CN"/>
        </w:rPr>
        <w:t>pfd</w:t>
      </w:r>
      <w:r w:rsidRPr="009E389D">
        <w:rPr>
          <w:rFonts w:hint="eastAsia"/>
          <w:lang w:eastAsia="zh-CN"/>
        </w:rPr>
        <w:t>值</w:t>
      </w:r>
      <w:r w:rsidR="000F6F99" w:rsidRPr="009E389D">
        <w:rPr>
          <w:rFonts w:hint="eastAsia"/>
          <w:lang w:eastAsia="zh-CN"/>
        </w:rPr>
        <w:t>可</w:t>
      </w:r>
      <w:r w:rsidRPr="009E389D">
        <w:rPr>
          <w:rFonts w:hint="eastAsia"/>
          <w:lang w:eastAsia="zh-CN"/>
        </w:rPr>
        <w:t>为</w:t>
      </w:r>
      <w:r w:rsidRPr="009E389D">
        <w:rPr>
          <w:rFonts w:hint="eastAsia"/>
          <w:lang w:eastAsia="zh-CN"/>
        </w:rPr>
        <w:t>IMT</w:t>
      </w:r>
      <w:r w:rsidRPr="009E389D">
        <w:rPr>
          <w:rFonts w:hint="eastAsia"/>
          <w:lang w:eastAsia="zh-CN"/>
        </w:rPr>
        <w:t>用户设备提供适当的保护，比相邻或</w:t>
      </w:r>
      <w:r w:rsidR="002233B0" w:rsidRPr="009E389D">
        <w:rPr>
          <w:rFonts w:hint="eastAsia"/>
          <w:lang w:eastAsia="zh-CN"/>
        </w:rPr>
        <w:t>相</w:t>
      </w:r>
      <w:r w:rsidRPr="009E389D">
        <w:rPr>
          <w:rFonts w:hint="eastAsia"/>
          <w:lang w:eastAsia="zh-CN"/>
        </w:rPr>
        <w:t>近频段适用的</w:t>
      </w:r>
      <w:r w:rsidRPr="009E389D">
        <w:rPr>
          <w:rFonts w:hint="eastAsia"/>
          <w:lang w:eastAsia="zh-CN"/>
        </w:rPr>
        <w:t>pfd</w:t>
      </w:r>
      <w:r w:rsidRPr="009E389D">
        <w:rPr>
          <w:rFonts w:hint="eastAsia"/>
          <w:lang w:eastAsia="zh-CN"/>
        </w:rPr>
        <w:t>值宽松</w:t>
      </w:r>
      <w:r w:rsidRPr="009E389D">
        <w:rPr>
          <w:lang w:eastAsia="zh-CN"/>
        </w:rPr>
        <w:t>得多</w:t>
      </w:r>
      <w:r w:rsidRPr="009E389D">
        <w:rPr>
          <w:rFonts w:hint="eastAsia"/>
          <w:lang w:eastAsia="zh-CN"/>
        </w:rPr>
        <w:t>。</w:t>
      </w:r>
    </w:p>
    <w:p w:rsidR="00733A01" w:rsidRPr="009E389D" w:rsidRDefault="00A12D2F" w:rsidP="003F2FFC">
      <w:pPr>
        <w:ind w:firstLineChars="200" w:firstLine="480"/>
        <w:rPr>
          <w:lang w:eastAsia="zh-CN"/>
        </w:rPr>
      </w:pPr>
      <w:r w:rsidRPr="009E389D">
        <w:rPr>
          <w:rFonts w:hint="eastAsia"/>
          <w:lang w:eastAsia="zh-CN"/>
        </w:rPr>
        <w:t>本</w:t>
      </w:r>
      <w:r w:rsidRPr="009E389D">
        <w:rPr>
          <w:lang w:eastAsia="zh-CN"/>
        </w:rPr>
        <w:t>文件</w:t>
      </w:r>
      <w:r w:rsidRPr="009E389D">
        <w:rPr>
          <w:rFonts w:hint="eastAsia"/>
          <w:lang w:eastAsia="zh-CN"/>
        </w:rPr>
        <w:t>进行了进一步的分析</w:t>
      </w:r>
      <w:r w:rsidR="002233B0" w:rsidRPr="009E389D">
        <w:rPr>
          <w:rFonts w:hint="eastAsia"/>
          <w:lang w:eastAsia="zh-CN"/>
        </w:rPr>
        <w:t>，说明</w:t>
      </w:r>
      <w:r w:rsidR="000F6F99" w:rsidRPr="009E389D">
        <w:rPr>
          <w:rFonts w:hint="eastAsia"/>
          <w:lang w:eastAsia="zh-CN"/>
        </w:rPr>
        <w:t>这一</w:t>
      </w:r>
      <w:r w:rsidRPr="009E389D">
        <w:rPr>
          <w:lang w:eastAsia="zh-CN"/>
        </w:rPr>
        <w:t>pfd</w:t>
      </w:r>
      <w:r w:rsidRPr="009E389D">
        <w:rPr>
          <w:rFonts w:hint="eastAsia"/>
          <w:lang w:eastAsia="zh-CN"/>
        </w:rPr>
        <w:t>值对</w:t>
      </w:r>
      <w:r w:rsidRPr="009E389D">
        <w:rPr>
          <w:rFonts w:hint="eastAsia"/>
          <w:lang w:eastAsia="zh-CN"/>
        </w:rPr>
        <w:t>BSS</w:t>
      </w:r>
      <w:r w:rsidRPr="009E389D">
        <w:rPr>
          <w:rFonts w:hint="eastAsia"/>
          <w:lang w:eastAsia="zh-CN"/>
        </w:rPr>
        <w:t>系统的影响有限。研究表明，基于现有的关于</w:t>
      </w:r>
      <w:r w:rsidRPr="009E389D">
        <w:rPr>
          <w:lang w:eastAsia="zh-CN"/>
        </w:rPr>
        <w:t>1 452-1 492 MHz</w:t>
      </w:r>
      <w:r w:rsidRPr="009E389D">
        <w:rPr>
          <w:rFonts w:hint="eastAsia"/>
          <w:lang w:eastAsia="zh-CN"/>
        </w:rPr>
        <w:t>频段</w:t>
      </w:r>
      <w:r w:rsidRPr="009E389D">
        <w:rPr>
          <w:rFonts w:hint="eastAsia"/>
          <w:lang w:eastAsia="zh-CN"/>
        </w:rPr>
        <w:t>BSS</w:t>
      </w:r>
      <w:r w:rsidRPr="009E389D">
        <w:rPr>
          <w:rFonts w:hint="eastAsia"/>
          <w:lang w:eastAsia="zh-CN"/>
        </w:rPr>
        <w:t>卫星网络</w:t>
      </w:r>
      <w:r w:rsidR="002233B0" w:rsidRPr="009E389D">
        <w:rPr>
          <w:rFonts w:hint="eastAsia"/>
          <w:lang w:eastAsia="zh-CN"/>
        </w:rPr>
        <w:t>的</w:t>
      </w:r>
      <w:r w:rsidRPr="009E389D">
        <w:rPr>
          <w:rFonts w:hint="eastAsia"/>
          <w:lang w:eastAsia="zh-CN"/>
        </w:rPr>
        <w:t>协调和通知</w:t>
      </w:r>
      <w:r w:rsidR="008D17ED" w:rsidRPr="009E389D">
        <w:rPr>
          <w:rFonts w:hint="eastAsia"/>
          <w:lang w:eastAsia="zh-CN"/>
        </w:rPr>
        <w:t>资料</w:t>
      </w:r>
      <w:r w:rsidRPr="009E389D">
        <w:rPr>
          <w:rFonts w:hint="eastAsia"/>
          <w:lang w:eastAsia="zh-CN"/>
        </w:rPr>
        <w:t>，</w:t>
      </w:r>
      <w:r w:rsidR="008D17ED" w:rsidRPr="009E389D">
        <w:rPr>
          <w:rFonts w:hint="eastAsia"/>
          <w:lang w:eastAsia="zh-CN"/>
        </w:rPr>
        <w:t>拟议</w:t>
      </w:r>
      <w:r w:rsidR="008D17ED" w:rsidRPr="009E389D">
        <w:rPr>
          <w:lang w:eastAsia="zh-CN"/>
        </w:rPr>
        <w:t>的</w:t>
      </w:r>
      <w:r w:rsidR="003F2FFC" w:rsidRPr="00C76C39">
        <w:rPr>
          <w:lang w:eastAsia="zh-CN"/>
        </w:rPr>
        <w:t>−113 dBW/(m</w:t>
      </w:r>
      <w:r w:rsidR="003F2FFC" w:rsidRPr="00D73BE8">
        <w:rPr>
          <w:vertAlign w:val="superscript"/>
          <w:lang w:eastAsia="zh-CN"/>
        </w:rPr>
        <w:t>2</w:t>
      </w:r>
      <w:r w:rsidR="003F2FFC" w:rsidRPr="00C76C39">
        <w:rPr>
          <w:lang w:eastAsia="zh-CN"/>
        </w:rPr>
        <w:t> · MHz)</w:t>
      </w:r>
      <w:r w:rsidRPr="009E389D">
        <w:rPr>
          <w:rFonts w:hint="eastAsia"/>
          <w:lang w:eastAsia="zh-CN"/>
        </w:rPr>
        <w:t>的</w:t>
      </w:r>
      <w:r w:rsidRPr="009E389D">
        <w:rPr>
          <w:rFonts w:hint="eastAsia"/>
          <w:lang w:eastAsia="zh-CN"/>
        </w:rPr>
        <w:t>pfd</w:t>
      </w:r>
      <w:r w:rsidRPr="009E389D">
        <w:rPr>
          <w:rFonts w:hint="eastAsia"/>
          <w:lang w:eastAsia="zh-CN"/>
        </w:rPr>
        <w:t>限</w:t>
      </w:r>
      <w:r w:rsidR="008D17ED" w:rsidRPr="009E389D">
        <w:rPr>
          <w:rFonts w:hint="eastAsia"/>
          <w:lang w:eastAsia="zh-CN"/>
        </w:rPr>
        <w:t>值对</w:t>
      </w:r>
      <w:r w:rsidR="008D17ED" w:rsidRPr="009E389D">
        <w:rPr>
          <w:rFonts w:hint="eastAsia"/>
          <w:lang w:eastAsia="zh-CN"/>
        </w:rPr>
        <w:t>BSS</w:t>
      </w:r>
      <w:r w:rsidR="008D17ED" w:rsidRPr="009E389D">
        <w:rPr>
          <w:rFonts w:hint="eastAsia"/>
          <w:lang w:eastAsia="zh-CN"/>
        </w:rPr>
        <w:t>系统的</w:t>
      </w:r>
      <w:r w:rsidRPr="009E389D">
        <w:rPr>
          <w:rFonts w:hint="eastAsia"/>
          <w:lang w:eastAsia="zh-CN"/>
        </w:rPr>
        <w:t>设计</w:t>
      </w:r>
      <w:r w:rsidR="000F6F99" w:rsidRPr="009E389D">
        <w:rPr>
          <w:rFonts w:hint="eastAsia"/>
          <w:lang w:eastAsia="zh-CN"/>
        </w:rPr>
        <w:t>限制</w:t>
      </w:r>
      <w:r w:rsidR="008D17ED" w:rsidRPr="009E389D">
        <w:rPr>
          <w:lang w:eastAsia="zh-CN"/>
        </w:rPr>
        <w:t>非常有限</w:t>
      </w:r>
      <w:r w:rsidRPr="009E389D">
        <w:rPr>
          <w:rFonts w:hint="eastAsia"/>
          <w:lang w:eastAsia="zh-CN"/>
        </w:rPr>
        <w:t>。</w:t>
      </w:r>
      <w:r w:rsidR="002233B0" w:rsidRPr="009E389D">
        <w:rPr>
          <w:rFonts w:hint="eastAsia"/>
          <w:lang w:eastAsia="zh-CN"/>
        </w:rPr>
        <w:t>这一</w:t>
      </w:r>
      <w:r w:rsidR="008D17ED" w:rsidRPr="009E389D">
        <w:rPr>
          <w:rFonts w:hint="eastAsia"/>
          <w:lang w:eastAsia="zh-CN"/>
        </w:rPr>
        <w:t>pfd</w:t>
      </w:r>
      <w:r w:rsidR="008D17ED" w:rsidRPr="009E389D">
        <w:rPr>
          <w:rFonts w:hint="eastAsia"/>
          <w:lang w:eastAsia="zh-CN"/>
        </w:rPr>
        <w:t>限值</w:t>
      </w:r>
      <w:r w:rsidR="00EE5AD2" w:rsidRPr="009E389D">
        <w:rPr>
          <w:rFonts w:hint="eastAsia"/>
          <w:lang w:eastAsia="zh-CN"/>
        </w:rPr>
        <w:t>可以</w:t>
      </w:r>
      <w:r w:rsidR="00EE5AD2" w:rsidRPr="009E389D">
        <w:rPr>
          <w:lang w:eastAsia="zh-CN"/>
        </w:rPr>
        <w:t>确保</w:t>
      </w:r>
      <w:r w:rsidR="00EE5AD2" w:rsidRPr="009E389D">
        <w:rPr>
          <w:lang w:eastAsia="zh-CN"/>
        </w:rPr>
        <w:t>1 452</w:t>
      </w:r>
      <w:r w:rsidR="00EE5AD2" w:rsidRPr="009E389D">
        <w:rPr>
          <w:lang w:eastAsia="zh-CN"/>
        </w:rPr>
        <w:noBreakHyphen/>
        <w:t>1 492 MHz</w:t>
      </w:r>
      <w:r w:rsidR="00EE5AD2" w:rsidRPr="009E389D">
        <w:rPr>
          <w:rFonts w:hint="eastAsia"/>
          <w:lang w:eastAsia="zh-CN"/>
        </w:rPr>
        <w:t>频段</w:t>
      </w:r>
      <w:r w:rsidR="00EE5AD2" w:rsidRPr="009E389D">
        <w:rPr>
          <w:lang w:eastAsia="zh-CN"/>
        </w:rPr>
        <w:t>内的</w:t>
      </w:r>
      <w:r w:rsidRPr="009E389D">
        <w:rPr>
          <w:rFonts w:hint="eastAsia"/>
          <w:lang w:eastAsia="zh-CN"/>
        </w:rPr>
        <w:t>IMT</w:t>
      </w:r>
      <w:r w:rsidRPr="009E389D">
        <w:rPr>
          <w:rFonts w:hint="eastAsia"/>
          <w:lang w:eastAsia="zh-CN"/>
        </w:rPr>
        <w:t>终端</w:t>
      </w:r>
      <w:r w:rsidR="00EE5AD2" w:rsidRPr="009E389D">
        <w:rPr>
          <w:rFonts w:hint="eastAsia"/>
          <w:lang w:eastAsia="zh-CN"/>
        </w:rPr>
        <w:t>台</w:t>
      </w:r>
      <w:r w:rsidR="002233B0" w:rsidRPr="009E389D">
        <w:rPr>
          <w:rFonts w:hint="eastAsia"/>
          <w:lang w:eastAsia="zh-CN"/>
        </w:rPr>
        <w:t>站</w:t>
      </w:r>
      <w:r w:rsidR="00EE5AD2" w:rsidRPr="009E389D">
        <w:rPr>
          <w:rFonts w:hint="eastAsia"/>
          <w:lang w:eastAsia="zh-CN"/>
        </w:rPr>
        <w:t>得到</w:t>
      </w:r>
      <w:r w:rsidRPr="009E389D">
        <w:rPr>
          <w:rFonts w:hint="eastAsia"/>
          <w:lang w:eastAsia="zh-CN"/>
        </w:rPr>
        <w:t>适当的保护，同时</w:t>
      </w:r>
      <w:r w:rsidR="00EE5AD2" w:rsidRPr="009E389D">
        <w:rPr>
          <w:rFonts w:hint="eastAsia"/>
          <w:lang w:eastAsia="zh-CN"/>
        </w:rPr>
        <w:t>可以</w:t>
      </w:r>
      <w:r w:rsidRPr="009E389D">
        <w:rPr>
          <w:rFonts w:hint="eastAsia"/>
          <w:lang w:eastAsia="zh-CN"/>
        </w:rPr>
        <w:t>覆盖</w:t>
      </w:r>
      <w:r w:rsidR="00EE5AD2" w:rsidRPr="009E389D">
        <w:rPr>
          <w:rFonts w:hint="eastAsia"/>
          <w:lang w:eastAsia="zh-CN"/>
        </w:rPr>
        <w:t>希望成为</w:t>
      </w:r>
      <w:r w:rsidRPr="009E389D">
        <w:rPr>
          <w:rFonts w:hint="eastAsia"/>
          <w:lang w:eastAsia="zh-CN"/>
        </w:rPr>
        <w:t>BSS</w:t>
      </w:r>
      <w:r w:rsidRPr="009E389D">
        <w:rPr>
          <w:rFonts w:hint="eastAsia"/>
          <w:lang w:eastAsia="zh-CN"/>
        </w:rPr>
        <w:t>系统的一部分</w:t>
      </w:r>
      <w:r w:rsidR="00EE5AD2" w:rsidRPr="009E389D">
        <w:rPr>
          <w:rFonts w:hint="eastAsia"/>
          <w:lang w:eastAsia="zh-CN"/>
        </w:rPr>
        <w:t>、</w:t>
      </w:r>
      <w:r w:rsidRPr="009E389D">
        <w:rPr>
          <w:rFonts w:hint="eastAsia"/>
          <w:lang w:eastAsia="zh-CN"/>
        </w:rPr>
        <w:t>因此接受</w:t>
      </w:r>
      <w:r w:rsidR="002233B0" w:rsidRPr="009E389D">
        <w:rPr>
          <w:rFonts w:hint="eastAsia"/>
          <w:lang w:eastAsia="zh-CN"/>
        </w:rPr>
        <w:t>在</w:t>
      </w:r>
      <w:r w:rsidR="002233B0" w:rsidRPr="009E389D">
        <w:rPr>
          <w:lang w:eastAsia="zh-CN"/>
        </w:rPr>
        <w:t>其领土</w:t>
      </w:r>
      <w:r w:rsidR="002233B0" w:rsidRPr="009E389D">
        <w:rPr>
          <w:rFonts w:hint="eastAsia"/>
          <w:lang w:eastAsia="zh-CN"/>
        </w:rPr>
        <w:t>上</w:t>
      </w:r>
      <w:r w:rsidR="002233B0" w:rsidRPr="009E389D">
        <w:rPr>
          <w:lang w:eastAsia="zh-CN"/>
        </w:rPr>
        <w:t>将超出这一</w:t>
      </w:r>
      <w:r w:rsidR="00EE5AD2" w:rsidRPr="009E389D">
        <w:rPr>
          <w:rFonts w:hint="eastAsia"/>
          <w:lang w:eastAsia="zh-CN"/>
        </w:rPr>
        <w:t>pfd</w:t>
      </w:r>
      <w:r w:rsidR="00EE5AD2" w:rsidRPr="009E389D">
        <w:rPr>
          <w:rFonts w:hint="eastAsia"/>
          <w:lang w:eastAsia="zh-CN"/>
        </w:rPr>
        <w:t>限值</w:t>
      </w:r>
      <w:r w:rsidRPr="009E389D">
        <w:rPr>
          <w:rFonts w:hint="eastAsia"/>
          <w:lang w:eastAsia="zh-CN"/>
        </w:rPr>
        <w:t>的国家。</w:t>
      </w:r>
      <w:bookmarkStart w:id="8" w:name="_GoBack"/>
      <w:bookmarkEnd w:id="8"/>
    </w:p>
    <w:p w:rsidR="00CE5B22" w:rsidRDefault="00CE5B22" w:rsidP="000F6F99">
      <w:pPr>
        <w:pStyle w:val="AnnexNo"/>
        <w:rPr>
          <w:lang w:val="en-US"/>
        </w:rPr>
      </w:pPr>
      <w:r>
        <w:rPr>
          <w:lang w:val="en-US"/>
        </w:rPr>
        <w:lastRenderedPageBreak/>
        <w:t>Annex</w:t>
      </w:r>
    </w:p>
    <w:p w:rsidR="00CE5B22" w:rsidRPr="003C7190" w:rsidRDefault="00CE5B22" w:rsidP="000F6F99">
      <w:pPr>
        <w:jc w:val="center"/>
        <w:rPr>
          <w:lang w:val="en-US"/>
        </w:rPr>
      </w:pPr>
      <w:r>
        <w:rPr>
          <w:lang w:val="en-US"/>
        </w:rPr>
        <w:t>(English only)</w:t>
      </w:r>
    </w:p>
    <w:p w:rsidR="00CE5B22" w:rsidRDefault="00CE5B22" w:rsidP="000F6F99">
      <w:pPr>
        <w:pStyle w:val="Annextitle"/>
        <w:rPr>
          <w:rFonts w:hint="eastAsia"/>
          <w:szCs w:val="24"/>
          <w:lang w:val="en-US"/>
        </w:rPr>
      </w:pPr>
      <w:r>
        <w:t xml:space="preserve">Impact of a -113 dBW/(m².MHz) pfd limit on BSS operations </w:t>
      </w:r>
      <w:r>
        <w:br/>
        <w:t>in the band 1 452-1 492 MHz</w:t>
      </w:r>
    </w:p>
    <w:p w:rsidR="00CE5B22" w:rsidRDefault="00CE5B22" w:rsidP="000F6F99">
      <w:pPr>
        <w:pStyle w:val="Heading1"/>
        <w:rPr>
          <w:lang w:val="en-US"/>
        </w:rPr>
      </w:pPr>
      <w:r>
        <w:rPr>
          <w:lang w:val="en-US"/>
        </w:rPr>
        <w:t>1</w:t>
      </w:r>
      <w:r>
        <w:rPr>
          <w:lang w:val="en-US"/>
        </w:rPr>
        <w:tab/>
        <w:t>Introduction</w:t>
      </w:r>
    </w:p>
    <w:p w:rsidR="00CE5B22" w:rsidRPr="00F064D2" w:rsidRDefault="00CE5B22" w:rsidP="000F6F99">
      <w:pPr>
        <w:pStyle w:val="Headingb"/>
        <w:rPr>
          <w:b w:val="0"/>
          <w:lang w:val="en-US"/>
        </w:rPr>
      </w:pPr>
      <w:r w:rsidRPr="00F064D2">
        <w:rPr>
          <w:b w:val="0"/>
          <w:lang w:val="en-US"/>
        </w:rPr>
        <w:t>Option C1 of the CPM text on WRC-15 agenda item 1.1 for the band 1</w:t>
      </w:r>
      <w:r>
        <w:rPr>
          <w:b w:val="0"/>
          <w:lang w:val="en-US"/>
        </w:rPr>
        <w:t xml:space="preserve"> </w:t>
      </w:r>
      <w:r w:rsidRPr="00F064D2">
        <w:rPr>
          <w:b w:val="0"/>
          <w:lang w:val="en-US"/>
        </w:rPr>
        <w:t>452-1</w:t>
      </w:r>
      <w:r>
        <w:rPr>
          <w:b w:val="0"/>
          <w:lang w:val="en-US"/>
        </w:rPr>
        <w:t xml:space="preserve"> </w:t>
      </w:r>
      <w:r w:rsidRPr="00F064D2">
        <w:rPr>
          <w:b w:val="0"/>
          <w:lang w:val="en-US"/>
        </w:rPr>
        <w:t>492 MHz proposes to set a pfd value of -113 dBW/(m².MHz) in Article 21 of the Radio Regulations. This pfd value provides an appropriate protection of IMT user equipment</w:t>
      </w:r>
      <w:r w:rsidRPr="00EF6B75">
        <w:rPr>
          <w:b w:val="0"/>
          <w:lang w:val="en-US"/>
        </w:rPr>
        <w:t>.</w:t>
      </w:r>
      <w:r>
        <w:rPr>
          <w:b w:val="0"/>
          <w:lang w:val="en-US"/>
        </w:rPr>
        <w:t xml:space="preserve"> </w:t>
      </w:r>
      <w:r w:rsidRPr="00F064D2">
        <w:rPr>
          <w:b w:val="0"/>
          <w:lang w:val="en-US"/>
        </w:rPr>
        <w:t>The study contained in this Annex provides a further analysis showing the limited impact of this pfd value on BSS systems.</w:t>
      </w:r>
    </w:p>
    <w:p w:rsidR="00CE5B22" w:rsidRDefault="00CE5B22" w:rsidP="000F6F99">
      <w:pPr>
        <w:pStyle w:val="Heading1"/>
        <w:rPr>
          <w:lang w:val="en-US"/>
        </w:rPr>
      </w:pPr>
      <w:r>
        <w:rPr>
          <w:lang w:val="en-US"/>
        </w:rPr>
        <w:t>2</w:t>
      </w:r>
      <w:r>
        <w:rPr>
          <w:lang w:val="en-US"/>
        </w:rPr>
        <w:tab/>
        <w:t>Analysis of the coverage area of different BSS systems</w:t>
      </w:r>
    </w:p>
    <w:p w:rsidR="00CE5B22" w:rsidRPr="00C033FE" w:rsidRDefault="00CE5B22" w:rsidP="000F6F99">
      <w:pPr>
        <w:pStyle w:val="Heading2"/>
        <w:rPr>
          <w:lang w:val="en-US"/>
        </w:rPr>
      </w:pPr>
      <w:r>
        <w:rPr>
          <w:lang w:val="en-US"/>
        </w:rPr>
        <w:t>2.1</w:t>
      </w:r>
      <w:r>
        <w:rPr>
          <w:lang w:val="en-US"/>
        </w:rPr>
        <w:tab/>
      </w:r>
      <w:r w:rsidRPr="00C033FE">
        <w:rPr>
          <w:lang w:val="en-US"/>
        </w:rPr>
        <w:t>Characteristics of the BSS systems</w:t>
      </w:r>
    </w:p>
    <w:p w:rsidR="00CE5B22" w:rsidRDefault="00CE5B22" w:rsidP="000F6F99">
      <w:pPr>
        <w:rPr>
          <w:szCs w:val="24"/>
          <w:lang w:val="en-US"/>
        </w:rPr>
      </w:pPr>
      <w:r>
        <w:rPr>
          <w:szCs w:val="24"/>
          <w:lang w:val="en-US"/>
        </w:rPr>
        <w:t>The characteristics of the BSS satellite networks in the band 1 452-1 492 MHz that are studied in this document were taken from special sections published in BR IFIC. When a BSS satellite network uses multi spot beams and covers different areas, the study distinguishes among them the various cases in the following analysis. The following table lists all the cases that are addressed in this document.</w:t>
      </w:r>
    </w:p>
    <w:p w:rsidR="00CE5B22" w:rsidRDefault="00CE5B22" w:rsidP="000F6F99">
      <w:pPr>
        <w:pStyle w:val="TableNo"/>
        <w:rPr>
          <w:lang w:val="en-US"/>
        </w:rPr>
      </w:pPr>
      <w:r>
        <w:rPr>
          <w:lang w:val="en-US"/>
        </w:rPr>
        <w:t>Table 1</w:t>
      </w:r>
    </w:p>
    <w:p w:rsidR="00CE5B22" w:rsidRPr="00A40C32" w:rsidRDefault="00CE5B22" w:rsidP="000F6F99">
      <w:pPr>
        <w:pStyle w:val="Tabletitle"/>
        <w:rPr>
          <w:rFonts w:hint="eastAsia"/>
          <w:lang w:val="en-US"/>
        </w:rPr>
      </w:pPr>
      <w:r>
        <w:rPr>
          <w:lang w:val="en-US"/>
        </w:rPr>
        <w:t xml:space="preserve">List of studied BSS satellite networks in the band 1452-1492 MHz </w:t>
      </w:r>
    </w:p>
    <w:tbl>
      <w:tblPr>
        <w:tblStyle w:val="TableGrid"/>
        <w:tblW w:w="0" w:type="auto"/>
        <w:jc w:val="center"/>
        <w:tblLook w:val="04A0" w:firstRow="1" w:lastRow="0" w:firstColumn="1" w:lastColumn="0" w:noHBand="0" w:noVBand="1"/>
      </w:tblPr>
      <w:tblGrid>
        <w:gridCol w:w="1506"/>
        <w:gridCol w:w="1095"/>
        <w:gridCol w:w="1850"/>
        <w:gridCol w:w="840"/>
        <w:gridCol w:w="827"/>
        <w:gridCol w:w="799"/>
        <w:gridCol w:w="716"/>
        <w:gridCol w:w="668"/>
        <w:gridCol w:w="664"/>
        <w:gridCol w:w="664"/>
      </w:tblGrid>
      <w:tr w:rsidR="00CE5B22" w:rsidRPr="003C7190" w:rsidTr="001C689E">
        <w:trPr>
          <w:jc w:val="center"/>
        </w:trPr>
        <w:tc>
          <w:tcPr>
            <w:tcW w:w="1573" w:type="dxa"/>
          </w:tcPr>
          <w:p w:rsidR="00CE5B22" w:rsidRPr="003C7190" w:rsidRDefault="00CE5B22" w:rsidP="000F6F99">
            <w:pPr>
              <w:pStyle w:val="Tablehead"/>
            </w:pPr>
            <w:r w:rsidRPr="003C7190">
              <w:t>Satellite Name</w:t>
            </w:r>
          </w:p>
        </w:tc>
        <w:tc>
          <w:tcPr>
            <w:tcW w:w="1095" w:type="dxa"/>
          </w:tcPr>
          <w:p w:rsidR="00CE5B22" w:rsidRPr="003C7190" w:rsidRDefault="00CE5B22" w:rsidP="000F6F99">
            <w:pPr>
              <w:pStyle w:val="Tablehead"/>
            </w:pPr>
            <w:r w:rsidRPr="003C7190">
              <w:t>Longitude</w:t>
            </w:r>
          </w:p>
        </w:tc>
        <w:tc>
          <w:tcPr>
            <w:tcW w:w="2058" w:type="dxa"/>
          </w:tcPr>
          <w:p w:rsidR="00CE5B22" w:rsidRPr="003C7190" w:rsidRDefault="00CE5B22" w:rsidP="000F6F99">
            <w:pPr>
              <w:pStyle w:val="Tablehead"/>
            </w:pPr>
            <w:r w:rsidRPr="003C7190">
              <w:t>Notifying Administration</w:t>
            </w:r>
          </w:p>
        </w:tc>
        <w:tc>
          <w:tcPr>
            <w:tcW w:w="840" w:type="dxa"/>
          </w:tcPr>
          <w:p w:rsidR="00CE5B22" w:rsidRPr="003C7190" w:rsidRDefault="00CE5B22" w:rsidP="000F6F99">
            <w:pPr>
              <w:pStyle w:val="Tablehead"/>
            </w:pPr>
            <w:r w:rsidRPr="003C7190">
              <w:t>Status</w:t>
            </w:r>
            <w:r w:rsidRPr="003C7190">
              <w:rPr>
                <w:rStyle w:val="FootnoteReference"/>
              </w:rPr>
              <w:footnoteReference w:id="1"/>
            </w:r>
          </w:p>
        </w:tc>
        <w:tc>
          <w:tcPr>
            <w:tcW w:w="4543" w:type="dxa"/>
            <w:gridSpan w:val="6"/>
            <w:tcBorders>
              <w:bottom w:val="single" w:sz="4" w:space="0" w:color="auto"/>
            </w:tcBorders>
          </w:tcPr>
          <w:p w:rsidR="00CE5B22" w:rsidRPr="003C7190" w:rsidRDefault="00CE5B22" w:rsidP="000F6F99">
            <w:pPr>
              <w:pStyle w:val="Tablehead"/>
            </w:pPr>
            <w:r w:rsidRPr="003C7190">
              <w:t>Beam Name</w:t>
            </w:r>
          </w:p>
        </w:tc>
      </w:tr>
      <w:tr w:rsidR="00CE5B22" w:rsidRPr="00A40C32" w:rsidTr="001C689E">
        <w:trPr>
          <w:jc w:val="center"/>
        </w:trPr>
        <w:tc>
          <w:tcPr>
            <w:tcW w:w="1573" w:type="dxa"/>
          </w:tcPr>
          <w:p w:rsidR="00CE5B22" w:rsidRPr="00083501" w:rsidRDefault="00CE5B22" w:rsidP="000F6F99">
            <w:pPr>
              <w:pStyle w:val="Tabletext"/>
              <w:rPr>
                <w:lang w:val="en-US"/>
              </w:rPr>
            </w:pPr>
            <w:r w:rsidRPr="00083501">
              <w:rPr>
                <w:lang w:val="en-US"/>
              </w:rPr>
              <w:t>AFRIBSS</w:t>
            </w:r>
          </w:p>
        </w:tc>
        <w:tc>
          <w:tcPr>
            <w:tcW w:w="1095" w:type="dxa"/>
          </w:tcPr>
          <w:p w:rsidR="00CE5B22" w:rsidRPr="00083501" w:rsidRDefault="00CE5B22" w:rsidP="000F6F99">
            <w:pPr>
              <w:pStyle w:val="Tabletext"/>
              <w:rPr>
                <w:lang w:val="en-US"/>
              </w:rPr>
            </w:pPr>
            <w:r>
              <w:rPr>
                <w:lang w:val="en-US"/>
              </w:rPr>
              <w:t>21°E</w:t>
            </w:r>
          </w:p>
        </w:tc>
        <w:tc>
          <w:tcPr>
            <w:tcW w:w="2058" w:type="dxa"/>
          </w:tcPr>
          <w:p w:rsidR="00CE5B22" w:rsidRPr="00083501" w:rsidRDefault="00CE5B22" w:rsidP="000F6F99">
            <w:pPr>
              <w:pStyle w:val="Tabletext"/>
              <w:rPr>
                <w:lang w:val="en-US"/>
              </w:rPr>
            </w:pPr>
            <w:r>
              <w:rPr>
                <w:lang w:val="en-US"/>
              </w:rPr>
              <w:t>USA</w:t>
            </w:r>
          </w:p>
        </w:tc>
        <w:tc>
          <w:tcPr>
            <w:tcW w:w="840" w:type="dxa"/>
            <w:tcBorders>
              <w:right w:val="single" w:sz="4" w:space="0" w:color="auto"/>
            </w:tcBorders>
          </w:tcPr>
          <w:p w:rsidR="00CE5B22" w:rsidRPr="00083501" w:rsidRDefault="00CE5B22" w:rsidP="000F6F99">
            <w:pPr>
              <w:pStyle w:val="Tabletext"/>
              <w:rPr>
                <w:lang w:val="en-US"/>
              </w:rPr>
            </w:pPr>
            <w:r>
              <w:rPr>
                <w:lang w:val="en-US"/>
              </w:rPr>
              <w:t>N</w:t>
            </w:r>
          </w:p>
        </w:tc>
        <w:tc>
          <w:tcPr>
            <w:tcW w:w="870" w:type="dxa"/>
            <w:tcBorders>
              <w:top w:val="single" w:sz="4" w:space="0" w:color="auto"/>
              <w:left w:val="single" w:sz="4" w:space="0" w:color="auto"/>
              <w:bottom w:val="single" w:sz="4" w:space="0" w:color="auto"/>
              <w:right w:val="single" w:sz="4" w:space="0" w:color="auto"/>
            </w:tcBorders>
          </w:tcPr>
          <w:p w:rsidR="00CE5B22" w:rsidRPr="00083501" w:rsidRDefault="00CE5B22" w:rsidP="000F6F99">
            <w:pPr>
              <w:pStyle w:val="Tabletext"/>
              <w:rPr>
                <w:lang w:val="en-US"/>
              </w:rPr>
            </w:pPr>
            <w:r w:rsidRPr="00083501">
              <w:rPr>
                <w:lang w:val="en-US"/>
              </w:rPr>
              <w:t>AD</w:t>
            </w:r>
          </w:p>
        </w:tc>
        <w:tc>
          <w:tcPr>
            <w:tcW w:w="831" w:type="dxa"/>
            <w:tcBorders>
              <w:top w:val="single" w:sz="4" w:space="0" w:color="auto"/>
              <w:left w:val="single" w:sz="4" w:space="0" w:color="auto"/>
              <w:bottom w:val="single" w:sz="4" w:space="0" w:color="auto"/>
              <w:right w:val="single" w:sz="4" w:space="0" w:color="auto"/>
            </w:tcBorders>
          </w:tcPr>
          <w:p w:rsidR="00CE5B22" w:rsidRPr="00083501" w:rsidRDefault="00CE5B22" w:rsidP="000F6F99">
            <w:pPr>
              <w:pStyle w:val="Tabletext"/>
              <w:rPr>
                <w:lang w:val="en-US"/>
              </w:rPr>
            </w:pPr>
            <w:r w:rsidRPr="00083501">
              <w:rPr>
                <w:lang w:val="en-US"/>
              </w:rPr>
              <w:t>CD</w:t>
            </w:r>
          </w:p>
        </w:tc>
        <w:tc>
          <w:tcPr>
            <w:tcW w:w="716" w:type="dxa"/>
            <w:tcBorders>
              <w:top w:val="single" w:sz="4" w:space="0" w:color="auto"/>
              <w:left w:val="single" w:sz="4" w:space="0" w:color="auto"/>
              <w:bottom w:val="single" w:sz="4" w:space="0" w:color="auto"/>
              <w:right w:val="single" w:sz="4" w:space="0" w:color="auto"/>
            </w:tcBorders>
          </w:tcPr>
          <w:p w:rsidR="00CE5B22" w:rsidRPr="00083501" w:rsidRDefault="00CE5B22" w:rsidP="000F6F99">
            <w:pPr>
              <w:pStyle w:val="Tabletext"/>
              <w:rPr>
                <w:lang w:val="en-US"/>
              </w:rPr>
            </w:pPr>
            <w:r w:rsidRPr="00083501">
              <w:rPr>
                <w:lang w:val="en-US"/>
              </w:rPr>
              <w:t>BD</w:t>
            </w:r>
          </w:p>
        </w:tc>
        <w:tc>
          <w:tcPr>
            <w:tcW w:w="708" w:type="dxa"/>
            <w:tcBorders>
              <w:top w:val="single" w:sz="4" w:space="0" w:color="auto"/>
              <w:left w:val="single" w:sz="4" w:space="0" w:color="auto"/>
              <w:bottom w:val="single" w:sz="4" w:space="0" w:color="auto"/>
              <w:right w:val="single" w:sz="4" w:space="0" w:color="auto"/>
            </w:tcBorders>
          </w:tcPr>
          <w:p w:rsidR="00CE5B22" w:rsidRPr="00083501" w:rsidRDefault="00CE5B22" w:rsidP="000F6F99">
            <w:pPr>
              <w:pStyle w:val="Tabletext"/>
              <w:rPr>
                <w:lang w:val="en-US"/>
              </w:rPr>
            </w:pPr>
            <w:r w:rsidRPr="00083501">
              <w:rPr>
                <w:lang w:val="en-US"/>
              </w:rPr>
              <w:t>AD2</w:t>
            </w:r>
          </w:p>
        </w:tc>
        <w:tc>
          <w:tcPr>
            <w:tcW w:w="709" w:type="dxa"/>
            <w:tcBorders>
              <w:top w:val="single" w:sz="4" w:space="0" w:color="auto"/>
              <w:left w:val="single" w:sz="4" w:space="0" w:color="auto"/>
              <w:bottom w:val="single" w:sz="4" w:space="0" w:color="auto"/>
              <w:right w:val="single" w:sz="4" w:space="0" w:color="auto"/>
            </w:tcBorders>
          </w:tcPr>
          <w:p w:rsidR="00CE5B22" w:rsidRPr="00083501" w:rsidRDefault="00CE5B22" w:rsidP="000F6F99">
            <w:pPr>
              <w:pStyle w:val="Tabletext"/>
              <w:rPr>
                <w:lang w:val="en-US"/>
              </w:rPr>
            </w:pPr>
            <w:r w:rsidRPr="00083501">
              <w:rPr>
                <w:lang w:val="en-US"/>
              </w:rPr>
              <w:t>CD2</w:t>
            </w:r>
          </w:p>
        </w:tc>
        <w:tc>
          <w:tcPr>
            <w:tcW w:w="709" w:type="dxa"/>
            <w:tcBorders>
              <w:top w:val="single" w:sz="4" w:space="0" w:color="auto"/>
              <w:left w:val="single" w:sz="4" w:space="0" w:color="auto"/>
              <w:bottom w:val="single" w:sz="4" w:space="0" w:color="auto"/>
              <w:right w:val="single" w:sz="4" w:space="0" w:color="auto"/>
            </w:tcBorders>
          </w:tcPr>
          <w:p w:rsidR="00CE5B22" w:rsidRPr="00083501" w:rsidRDefault="00CE5B22" w:rsidP="000F6F99">
            <w:pPr>
              <w:pStyle w:val="Tabletext"/>
              <w:rPr>
                <w:lang w:val="en-US"/>
              </w:rPr>
            </w:pPr>
            <w:r w:rsidRPr="00083501">
              <w:rPr>
                <w:lang w:val="en-US"/>
              </w:rPr>
              <w:t>BD2</w:t>
            </w:r>
          </w:p>
        </w:tc>
      </w:tr>
      <w:tr w:rsidR="00CE5B22" w:rsidRPr="00A40C32" w:rsidTr="001C689E">
        <w:trPr>
          <w:jc w:val="center"/>
        </w:trPr>
        <w:tc>
          <w:tcPr>
            <w:tcW w:w="1573" w:type="dxa"/>
          </w:tcPr>
          <w:p w:rsidR="00CE5B22" w:rsidRPr="00083501" w:rsidRDefault="00CE5B22" w:rsidP="000F6F99">
            <w:pPr>
              <w:pStyle w:val="Tabletext"/>
              <w:rPr>
                <w:lang w:val="en-US"/>
              </w:rPr>
            </w:pPr>
            <w:r w:rsidRPr="00083501">
              <w:rPr>
                <w:lang w:val="en-US"/>
              </w:rPr>
              <w:t>ASIABSS</w:t>
            </w:r>
          </w:p>
        </w:tc>
        <w:tc>
          <w:tcPr>
            <w:tcW w:w="1095" w:type="dxa"/>
          </w:tcPr>
          <w:p w:rsidR="00CE5B22" w:rsidRPr="00083501" w:rsidRDefault="00CE5B22" w:rsidP="000F6F99">
            <w:pPr>
              <w:pStyle w:val="Tabletext"/>
              <w:rPr>
                <w:lang w:val="en-US"/>
              </w:rPr>
            </w:pPr>
            <w:r>
              <w:rPr>
                <w:lang w:val="en-US"/>
              </w:rPr>
              <w:t>105°E</w:t>
            </w:r>
          </w:p>
        </w:tc>
        <w:tc>
          <w:tcPr>
            <w:tcW w:w="2058" w:type="dxa"/>
          </w:tcPr>
          <w:p w:rsidR="00CE5B22" w:rsidRPr="00083501" w:rsidRDefault="00CE5B22" w:rsidP="000F6F99">
            <w:pPr>
              <w:pStyle w:val="Tabletext"/>
              <w:rPr>
                <w:lang w:val="en-US"/>
              </w:rPr>
            </w:pPr>
            <w:r>
              <w:rPr>
                <w:lang w:val="en-US"/>
              </w:rPr>
              <w:t>Australia</w:t>
            </w:r>
          </w:p>
        </w:tc>
        <w:tc>
          <w:tcPr>
            <w:tcW w:w="840" w:type="dxa"/>
          </w:tcPr>
          <w:p w:rsidR="00CE5B22" w:rsidRPr="00083501" w:rsidRDefault="00CE5B22" w:rsidP="000F6F99">
            <w:pPr>
              <w:pStyle w:val="Tabletext"/>
              <w:rPr>
                <w:lang w:val="en-US"/>
              </w:rPr>
            </w:pPr>
            <w:r>
              <w:rPr>
                <w:lang w:val="en-US"/>
              </w:rPr>
              <w:t>N</w:t>
            </w:r>
          </w:p>
        </w:tc>
        <w:tc>
          <w:tcPr>
            <w:tcW w:w="870" w:type="dxa"/>
            <w:tcBorders>
              <w:top w:val="single" w:sz="4" w:space="0" w:color="auto"/>
            </w:tcBorders>
          </w:tcPr>
          <w:p w:rsidR="00CE5B22" w:rsidRPr="00083501" w:rsidRDefault="00CE5B22" w:rsidP="000F6F99">
            <w:pPr>
              <w:pStyle w:val="Tabletext"/>
              <w:rPr>
                <w:lang w:val="en-US"/>
              </w:rPr>
            </w:pPr>
            <w:r w:rsidRPr="00083501">
              <w:rPr>
                <w:lang w:val="en-US"/>
              </w:rPr>
              <w:t>AD</w:t>
            </w:r>
          </w:p>
        </w:tc>
        <w:tc>
          <w:tcPr>
            <w:tcW w:w="831" w:type="dxa"/>
            <w:tcBorders>
              <w:top w:val="single" w:sz="4" w:space="0" w:color="auto"/>
            </w:tcBorders>
          </w:tcPr>
          <w:p w:rsidR="00CE5B22" w:rsidRPr="00083501" w:rsidRDefault="00CE5B22" w:rsidP="000F6F99">
            <w:pPr>
              <w:pStyle w:val="Tabletext"/>
              <w:rPr>
                <w:lang w:val="en-US"/>
              </w:rPr>
            </w:pPr>
            <w:r w:rsidRPr="00083501">
              <w:rPr>
                <w:lang w:val="en-US"/>
              </w:rPr>
              <w:t>CD</w:t>
            </w:r>
          </w:p>
        </w:tc>
        <w:tc>
          <w:tcPr>
            <w:tcW w:w="716" w:type="dxa"/>
            <w:tcBorders>
              <w:top w:val="single" w:sz="4" w:space="0" w:color="auto"/>
            </w:tcBorders>
          </w:tcPr>
          <w:p w:rsidR="00CE5B22" w:rsidRPr="00083501" w:rsidRDefault="00CE5B22" w:rsidP="000F6F99">
            <w:pPr>
              <w:pStyle w:val="Tabletext"/>
              <w:rPr>
                <w:lang w:val="en-US"/>
              </w:rPr>
            </w:pPr>
            <w:r w:rsidRPr="00083501">
              <w:rPr>
                <w:lang w:val="en-US"/>
              </w:rPr>
              <w:t>BD</w:t>
            </w:r>
          </w:p>
        </w:tc>
        <w:tc>
          <w:tcPr>
            <w:tcW w:w="708" w:type="dxa"/>
            <w:tcBorders>
              <w:top w:val="single" w:sz="4" w:space="0" w:color="auto"/>
            </w:tcBorders>
          </w:tcPr>
          <w:p w:rsidR="00CE5B22" w:rsidRPr="00083501" w:rsidRDefault="00CE5B22" w:rsidP="000F6F99">
            <w:pPr>
              <w:pStyle w:val="Tabletext"/>
              <w:rPr>
                <w:lang w:val="en-US"/>
              </w:rPr>
            </w:pPr>
          </w:p>
        </w:tc>
        <w:tc>
          <w:tcPr>
            <w:tcW w:w="709" w:type="dxa"/>
            <w:tcBorders>
              <w:top w:val="single" w:sz="4" w:space="0" w:color="auto"/>
            </w:tcBorders>
          </w:tcPr>
          <w:p w:rsidR="00CE5B22" w:rsidRPr="00083501" w:rsidRDefault="00CE5B22" w:rsidP="000F6F99">
            <w:pPr>
              <w:pStyle w:val="Tabletext"/>
              <w:rPr>
                <w:lang w:val="en-US"/>
              </w:rPr>
            </w:pPr>
          </w:p>
        </w:tc>
        <w:tc>
          <w:tcPr>
            <w:tcW w:w="709" w:type="dxa"/>
            <w:tcBorders>
              <w:top w:val="single" w:sz="4" w:space="0" w:color="auto"/>
            </w:tcBorders>
          </w:tcPr>
          <w:p w:rsidR="00CE5B22" w:rsidRPr="00083501" w:rsidRDefault="00CE5B22" w:rsidP="000F6F99">
            <w:pPr>
              <w:pStyle w:val="Tabletext"/>
              <w:rPr>
                <w:lang w:val="en-US"/>
              </w:rPr>
            </w:pPr>
          </w:p>
        </w:tc>
      </w:tr>
      <w:tr w:rsidR="00CE5B22" w:rsidRPr="00A40C32" w:rsidTr="001C689E">
        <w:trPr>
          <w:trHeight w:val="3020"/>
          <w:jc w:val="center"/>
        </w:trPr>
        <w:tc>
          <w:tcPr>
            <w:tcW w:w="1573" w:type="dxa"/>
            <w:shd w:val="clear" w:color="auto" w:fill="auto"/>
          </w:tcPr>
          <w:p w:rsidR="00CE5B22" w:rsidRPr="00083501" w:rsidRDefault="00CE5B22" w:rsidP="000F6F99">
            <w:pPr>
              <w:pStyle w:val="Tabletext"/>
              <w:rPr>
                <w:lang w:val="en-US"/>
              </w:rPr>
            </w:pPr>
            <w:r>
              <w:rPr>
                <w:lang w:val="en-US"/>
              </w:rPr>
              <w:t>CHINASAT-xx</w:t>
            </w:r>
          </w:p>
        </w:tc>
        <w:tc>
          <w:tcPr>
            <w:tcW w:w="1095" w:type="dxa"/>
          </w:tcPr>
          <w:p w:rsidR="00CE5B22" w:rsidRPr="00CE5B22" w:rsidRDefault="00CE5B22" w:rsidP="000F6F99">
            <w:pPr>
              <w:pStyle w:val="Tabletext"/>
              <w:rPr>
                <w:lang w:val="es-ES"/>
              </w:rPr>
            </w:pPr>
            <w:r w:rsidRPr="00CE5B22">
              <w:rPr>
                <w:lang w:val="es-ES"/>
              </w:rPr>
              <w:t>92.2°E</w:t>
            </w:r>
          </w:p>
          <w:p w:rsidR="00CE5B22" w:rsidRPr="00CE5B22" w:rsidRDefault="00CE5B22" w:rsidP="000F6F99">
            <w:pPr>
              <w:pStyle w:val="Tabletext"/>
              <w:rPr>
                <w:lang w:val="es-ES"/>
              </w:rPr>
            </w:pPr>
            <w:r w:rsidRPr="00CE5B22">
              <w:rPr>
                <w:lang w:val="es-ES"/>
              </w:rPr>
              <w:t>87.5°E</w:t>
            </w:r>
          </w:p>
          <w:p w:rsidR="00CE5B22" w:rsidRPr="00CE5B22" w:rsidRDefault="00CE5B22" w:rsidP="000F6F99">
            <w:pPr>
              <w:pStyle w:val="Tabletext"/>
              <w:rPr>
                <w:lang w:val="es-ES"/>
              </w:rPr>
            </w:pPr>
            <w:r w:rsidRPr="00CE5B22">
              <w:rPr>
                <w:lang w:val="es-ES"/>
              </w:rPr>
              <w:t>126°E</w:t>
            </w:r>
          </w:p>
          <w:p w:rsidR="00CE5B22" w:rsidRPr="00CE5B22" w:rsidRDefault="00CE5B22" w:rsidP="000F6F99">
            <w:pPr>
              <w:pStyle w:val="Tabletext"/>
              <w:rPr>
                <w:lang w:val="es-ES"/>
              </w:rPr>
            </w:pPr>
            <w:r w:rsidRPr="00CE5B22">
              <w:rPr>
                <w:lang w:val="es-ES"/>
              </w:rPr>
              <w:t>136°E</w:t>
            </w:r>
          </w:p>
          <w:p w:rsidR="00CE5B22" w:rsidRPr="00CE5B22" w:rsidRDefault="00CE5B22" w:rsidP="000F6F99">
            <w:pPr>
              <w:pStyle w:val="Tabletext"/>
              <w:rPr>
                <w:lang w:val="es-ES"/>
              </w:rPr>
            </w:pPr>
            <w:r w:rsidRPr="00CE5B22">
              <w:rPr>
                <w:lang w:val="es-ES"/>
              </w:rPr>
              <w:t>163°E</w:t>
            </w:r>
          </w:p>
          <w:p w:rsidR="00CE5B22" w:rsidRPr="00CE5B22" w:rsidRDefault="00CE5B22" w:rsidP="000F6F99">
            <w:pPr>
              <w:pStyle w:val="Tabletext"/>
              <w:rPr>
                <w:lang w:val="es-ES"/>
              </w:rPr>
            </w:pPr>
            <w:r w:rsidRPr="00CE5B22">
              <w:rPr>
                <w:lang w:val="es-ES"/>
              </w:rPr>
              <w:t>51.5°E</w:t>
            </w:r>
          </w:p>
          <w:p w:rsidR="00CE5B22" w:rsidRPr="00CE5B22" w:rsidRDefault="00CE5B22" w:rsidP="000F6F99">
            <w:pPr>
              <w:pStyle w:val="Tabletext"/>
              <w:rPr>
                <w:lang w:val="es-ES"/>
              </w:rPr>
            </w:pPr>
            <w:r w:rsidRPr="00CE5B22">
              <w:rPr>
                <w:lang w:val="es-ES"/>
              </w:rPr>
              <w:t>110.5°E</w:t>
            </w:r>
          </w:p>
          <w:p w:rsidR="00CE5B22" w:rsidRPr="00CE5B22" w:rsidRDefault="00CE5B22" w:rsidP="000F6F99">
            <w:pPr>
              <w:pStyle w:val="Tabletext"/>
              <w:rPr>
                <w:lang w:val="es-ES"/>
              </w:rPr>
            </w:pPr>
            <w:r w:rsidRPr="00CE5B22">
              <w:rPr>
                <w:lang w:val="es-ES"/>
              </w:rPr>
              <w:t>125°E</w:t>
            </w:r>
          </w:p>
          <w:p w:rsidR="00CE5B22" w:rsidRPr="00CE5B22" w:rsidRDefault="00CE5B22" w:rsidP="000F6F99">
            <w:pPr>
              <w:pStyle w:val="Tabletext"/>
              <w:rPr>
                <w:lang w:val="es-ES"/>
              </w:rPr>
            </w:pPr>
            <w:r w:rsidRPr="00CE5B22">
              <w:rPr>
                <w:lang w:val="es-ES"/>
              </w:rPr>
              <w:t>163°E</w:t>
            </w:r>
          </w:p>
          <w:p w:rsidR="00CE5B22" w:rsidRPr="00CE5B22" w:rsidRDefault="00CE5B22" w:rsidP="000F6F99">
            <w:pPr>
              <w:pStyle w:val="Tabletext"/>
              <w:rPr>
                <w:lang w:val="es-ES"/>
              </w:rPr>
            </w:pPr>
            <w:r w:rsidRPr="00CE5B22">
              <w:rPr>
                <w:lang w:val="es-ES"/>
              </w:rPr>
              <w:t>87.5°E</w:t>
            </w:r>
          </w:p>
          <w:p w:rsidR="00CE5B22" w:rsidRPr="00CE5B22" w:rsidRDefault="00CE5B22" w:rsidP="000F6F99">
            <w:pPr>
              <w:pStyle w:val="Tabletext"/>
              <w:rPr>
                <w:lang w:val="es-ES"/>
              </w:rPr>
            </w:pPr>
            <w:r w:rsidRPr="00CE5B22">
              <w:rPr>
                <w:lang w:val="es-ES"/>
              </w:rPr>
              <w:t>115.5°E</w:t>
            </w:r>
          </w:p>
        </w:tc>
        <w:tc>
          <w:tcPr>
            <w:tcW w:w="2058" w:type="dxa"/>
          </w:tcPr>
          <w:p w:rsidR="00CE5B22" w:rsidRPr="00083501" w:rsidRDefault="00CE5B22" w:rsidP="000F6F99">
            <w:pPr>
              <w:pStyle w:val="Tabletext"/>
              <w:rPr>
                <w:lang w:val="en-US"/>
              </w:rPr>
            </w:pPr>
            <w:r>
              <w:rPr>
                <w:lang w:val="en-US"/>
              </w:rPr>
              <w:t>China</w:t>
            </w:r>
          </w:p>
        </w:tc>
        <w:tc>
          <w:tcPr>
            <w:tcW w:w="840" w:type="dxa"/>
          </w:tcPr>
          <w:p w:rsidR="00CE5B22" w:rsidRDefault="00CE5B22" w:rsidP="000F6F99">
            <w:pPr>
              <w:pStyle w:val="Tabletext"/>
              <w:rPr>
                <w:lang w:val="en-US"/>
              </w:rPr>
            </w:pPr>
            <w:r>
              <w:rPr>
                <w:lang w:val="en-US"/>
              </w:rPr>
              <w:t>N</w:t>
            </w:r>
          </w:p>
          <w:p w:rsidR="00CE5B22" w:rsidRDefault="00CE5B22" w:rsidP="000F6F99">
            <w:pPr>
              <w:pStyle w:val="Tabletext"/>
              <w:rPr>
                <w:lang w:val="en-US"/>
              </w:rPr>
            </w:pPr>
            <w:r>
              <w:rPr>
                <w:lang w:val="en-US"/>
              </w:rPr>
              <w:t>C</w:t>
            </w:r>
          </w:p>
          <w:p w:rsidR="00CE5B22" w:rsidRDefault="00CE5B22" w:rsidP="000F6F99">
            <w:pPr>
              <w:pStyle w:val="Tabletext"/>
              <w:rPr>
                <w:lang w:val="en-US"/>
              </w:rPr>
            </w:pPr>
            <w:r>
              <w:rPr>
                <w:lang w:val="en-US"/>
              </w:rPr>
              <w:t>C</w:t>
            </w:r>
          </w:p>
          <w:p w:rsidR="00CE5B22" w:rsidRDefault="00CE5B22" w:rsidP="000F6F99">
            <w:pPr>
              <w:pStyle w:val="Tabletext"/>
              <w:rPr>
                <w:lang w:val="en-US"/>
              </w:rPr>
            </w:pPr>
            <w:r>
              <w:rPr>
                <w:lang w:val="en-US"/>
              </w:rPr>
              <w:t>C</w:t>
            </w:r>
          </w:p>
          <w:p w:rsidR="00CE5B22" w:rsidRDefault="00CE5B22" w:rsidP="000F6F99">
            <w:pPr>
              <w:pStyle w:val="Tabletext"/>
              <w:rPr>
                <w:lang w:val="en-US"/>
              </w:rPr>
            </w:pPr>
            <w:r>
              <w:rPr>
                <w:lang w:val="en-US"/>
              </w:rPr>
              <w:t>C</w:t>
            </w:r>
          </w:p>
          <w:p w:rsidR="00CE5B22" w:rsidRDefault="00CE5B22" w:rsidP="000F6F99">
            <w:pPr>
              <w:pStyle w:val="Tabletext"/>
              <w:rPr>
                <w:lang w:val="en-US"/>
              </w:rPr>
            </w:pPr>
            <w:r>
              <w:rPr>
                <w:lang w:val="en-US"/>
              </w:rPr>
              <w:t>C</w:t>
            </w:r>
          </w:p>
          <w:p w:rsidR="00CE5B22" w:rsidRDefault="00CE5B22" w:rsidP="000F6F99">
            <w:pPr>
              <w:pStyle w:val="Tabletext"/>
              <w:rPr>
                <w:lang w:val="en-US"/>
              </w:rPr>
            </w:pPr>
            <w:r>
              <w:rPr>
                <w:lang w:val="en-US"/>
              </w:rPr>
              <w:t>C</w:t>
            </w:r>
          </w:p>
          <w:p w:rsidR="00CE5B22" w:rsidRDefault="00CE5B22" w:rsidP="000F6F99">
            <w:pPr>
              <w:pStyle w:val="Tabletext"/>
              <w:rPr>
                <w:lang w:val="en-US"/>
              </w:rPr>
            </w:pPr>
            <w:r>
              <w:rPr>
                <w:lang w:val="en-US"/>
              </w:rPr>
              <w:t>C</w:t>
            </w:r>
          </w:p>
          <w:p w:rsidR="00CE5B22" w:rsidRDefault="00CE5B22" w:rsidP="000F6F99">
            <w:pPr>
              <w:pStyle w:val="Tabletext"/>
              <w:rPr>
                <w:lang w:val="en-US"/>
              </w:rPr>
            </w:pPr>
            <w:r>
              <w:rPr>
                <w:lang w:val="en-US"/>
              </w:rPr>
              <w:t>C</w:t>
            </w:r>
          </w:p>
          <w:p w:rsidR="00CE5B22" w:rsidRDefault="00CE5B22" w:rsidP="000F6F99">
            <w:pPr>
              <w:pStyle w:val="Tabletext"/>
              <w:rPr>
                <w:lang w:val="en-US"/>
              </w:rPr>
            </w:pPr>
            <w:r>
              <w:rPr>
                <w:lang w:val="en-US"/>
              </w:rPr>
              <w:t>C</w:t>
            </w:r>
          </w:p>
          <w:p w:rsidR="00CE5B22" w:rsidRPr="00083501" w:rsidRDefault="00CE5B22" w:rsidP="000F6F99">
            <w:pPr>
              <w:pStyle w:val="Tabletext"/>
              <w:rPr>
                <w:lang w:val="en-US"/>
              </w:rPr>
            </w:pPr>
            <w:r>
              <w:rPr>
                <w:lang w:val="en-US"/>
              </w:rPr>
              <w:t>C</w:t>
            </w:r>
          </w:p>
        </w:tc>
        <w:tc>
          <w:tcPr>
            <w:tcW w:w="870" w:type="dxa"/>
          </w:tcPr>
          <w:p w:rsidR="00CE5B22" w:rsidRDefault="00CE5B22" w:rsidP="000F6F99">
            <w:pPr>
              <w:pStyle w:val="Tabletext"/>
              <w:rPr>
                <w:lang w:val="en-US"/>
              </w:rPr>
            </w:pPr>
            <w:r w:rsidRPr="00083501">
              <w:rPr>
                <w:lang w:val="en-US"/>
              </w:rPr>
              <w:t>LDCN</w:t>
            </w:r>
          </w:p>
          <w:p w:rsidR="00CE5B22" w:rsidRDefault="00CE5B22" w:rsidP="000F6F99">
            <w:pPr>
              <w:pStyle w:val="Tabletext"/>
              <w:rPr>
                <w:lang w:val="en-US"/>
              </w:rPr>
            </w:pPr>
            <w:r>
              <w:rPr>
                <w:lang w:val="en-US"/>
              </w:rPr>
              <w:t>LD1R</w:t>
            </w:r>
          </w:p>
          <w:p w:rsidR="00CE5B22" w:rsidRDefault="00CE5B22" w:rsidP="000F6F99">
            <w:pPr>
              <w:pStyle w:val="Tabletext"/>
              <w:rPr>
                <w:lang w:val="en-US"/>
              </w:rPr>
            </w:pPr>
            <w:r>
              <w:rPr>
                <w:lang w:val="en-US"/>
              </w:rPr>
              <w:t>LBDR</w:t>
            </w:r>
          </w:p>
          <w:p w:rsidR="00CE5B22" w:rsidRDefault="00CE5B22" w:rsidP="000F6F99">
            <w:pPr>
              <w:pStyle w:val="Tabletext"/>
              <w:rPr>
                <w:lang w:val="en-US"/>
              </w:rPr>
            </w:pPr>
            <w:r>
              <w:rPr>
                <w:lang w:val="en-US"/>
              </w:rPr>
              <w:t>LBDR</w:t>
            </w:r>
          </w:p>
          <w:p w:rsidR="00CE5B22" w:rsidRDefault="00CE5B22" w:rsidP="000F6F99">
            <w:pPr>
              <w:pStyle w:val="Tabletext"/>
              <w:rPr>
                <w:lang w:val="en-US"/>
              </w:rPr>
            </w:pPr>
            <w:r>
              <w:rPr>
                <w:lang w:val="en-US"/>
              </w:rPr>
              <w:t>LDR</w:t>
            </w:r>
          </w:p>
          <w:p w:rsidR="00CE5B22" w:rsidRDefault="00CE5B22" w:rsidP="000F6F99">
            <w:pPr>
              <w:pStyle w:val="Tabletext"/>
              <w:rPr>
                <w:lang w:val="en-US"/>
              </w:rPr>
            </w:pPr>
            <w:r>
              <w:rPr>
                <w:lang w:val="en-US"/>
              </w:rPr>
              <w:t>LDR</w:t>
            </w:r>
          </w:p>
          <w:p w:rsidR="00CE5B22" w:rsidRDefault="00CE5B22" w:rsidP="000F6F99">
            <w:pPr>
              <w:pStyle w:val="Tabletext"/>
              <w:rPr>
                <w:lang w:val="en-US"/>
              </w:rPr>
            </w:pPr>
            <w:r>
              <w:rPr>
                <w:lang w:val="en-US"/>
              </w:rPr>
              <w:t>LBDG</w:t>
            </w:r>
          </w:p>
          <w:p w:rsidR="00CE5B22" w:rsidRDefault="00CE5B22" w:rsidP="000F6F99">
            <w:pPr>
              <w:pStyle w:val="Tabletext"/>
              <w:rPr>
                <w:lang w:val="en-US"/>
              </w:rPr>
            </w:pPr>
            <w:r>
              <w:rPr>
                <w:lang w:val="en-US"/>
              </w:rPr>
              <w:t>LBDG</w:t>
            </w:r>
          </w:p>
          <w:p w:rsidR="00CE5B22" w:rsidRDefault="00CE5B22" w:rsidP="000F6F99">
            <w:pPr>
              <w:pStyle w:val="Tabletext"/>
              <w:rPr>
                <w:lang w:val="en-US"/>
              </w:rPr>
            </w:pPr>
            <w:r>
              <w:rPr>
                <w:lang w:val="en-US"/>
              </w:rPr>
              <w:t>LBDG</w:t>
            </w:r>
          </w:p>
          <w:p w:rsidR="00CE5B22" w:rsidRDefault="00CE5B22" w:rsidP="000F6F99">
            <w:pPr>
              <w:pStyle w:val="Tabletext"/>
              <w:rPr>
                <w:lang w:val="en-US"/>
              </w:rPr>
            </w:pPr>
            <w:r>
              <w:rPr>
                <w:lang w:val="en-US"/>
              </w:rPr>
              <w:t>LBDG</w:t>
            </w:r>
          </w:p>
          <w:p w:rsidR="00CE5B22" w:rsidRPr="00083501" w:rsidRDefault="00CE5B22" w:rsidP="000F6F99">
            <w:pPr>
              <w:pStyle w:val="Tabletext"/>
              <w:rPr>
                <w:lang w:val="en-US"/>
              </w:rPr>
            </w:pPr>
            <w:r>
              <w:rPr>
                <w:lang w:val="en-US"/>
              </w:rPr>
              <w:t>LBDR</w:t>
            </w:r>
          </w:p>
        </w:tc>
        <w:tc>
          <w:tcPr>
            <w:tcW w:w="831" w:type="dxa"/>
          </w:tcPr>
          <w:p w:rsidR="00CE5B22" w:rsidRDefault="00CE5B22" w:rsidP="000F6F99">
            <w:pPr>
              <w:pStyle w:val="Tabletext"/>
              <w:rPr>
                <w:lang w:val="en-US"/>
              </w:rPr>
            </w:pPr>
          </w:p>
          <w:p w:rsidR="00CE5B22" w:rsidRDefault="00CE5B22" w:rsidP="000F6F99">
            <w:pPr>
              <w:pStyle w:val="Tabletext"/>
              <w:rPr>
                <w:lang w:val="en-US"/>
              </w:rPr>
            </w:pPr>
            <w:r>
              <w:rPr>
                <w:lang w:val="en-US"/>
              </w:rPr>
              <w:t>LD2R</w:t>
            </w:r>
          </w:p>
          <w:p w:rsidR="00CE5B22" w:rsidRDefault="00CE5B22" w:rsidP="000F6F99">
            <w:pPr>
              <w:pStyle w:val="Tabletext"/>
              <w:rPr>
                <w:lang w:val="en-US"/>
              </w:rPr>
            </w:pPr>
          </w:p>
          <w:p w:rsidR="00CE5B22" w:rsidRDefault="00CE5B22" w:rsidP="000F6F99">
            <w:pPr>
              <w:pStyle w:val="Tabletext"/>
              <w:rPr>
                <w:lang w:val="en-US"/>
              </w:rPr>
            </w:pPr>
          </w:p>
          <w:p w:rsidR="00CE5B22" w:rsidRDefault="00CE5B22" w:rsidP="000F6F99">
            <w:pPr>
              <w:pStyle w:val="Tabletext"/>
              <w:rPr>
                <w:lang w:val="en-US"/>
              </w:rPr>
            </w:pPr>
          </w:p>
          <w:p w:rsidR="00CE5B22" w:rsidRDefault="00CE5B22" w:rsidP="000F6F99">
            <w:pPr>
              <w:pStyle w:val="Tabletext"/>
              <w:rPr>
                <w:lang w:val="en-US"/>
              </w:rPr>
            </w:pPr>
          </w:p>
          <w:p w:rsidR="00CE5B22" w:rsidRDefault="00CE5B22" w:rsidP="000F6F99">
            <w:pPr>
              <w:pStyle w:val="Tabletext"/>
              <w:rPr>
                <w:lang w:val="en-US"/>
              </w:rPr>
            </w:pPr>
            <w:r>
              <w:rPr>
                <w:lang w:val="en-US"/>
              </w:rPr>
              <w:t>LBDR</w:t>
            </w:r>
          </w:p>
          <w:p w:rsidR="00CE5B22" w:rsidRDefault="00CE5B22" w:rsidP="000F6F99">
            <w:pPr>
              <w:pStyle w:val="Tabletext"/>
              <w:rPr>
                <w:lang w:val="en-US"/>
              </w:rPr>
            </w:pPr>
            <w:r>
              <w:rPr>
                <w:lang w:val="en-US"/>
              </w:rPr>
              <w:t>LBDR</w:t>
            </w:r>
          </w:p>
          <w:p w:rsidR="00CE5B22" w:rsidRDefault="00CE5B22" w:rsidP="000F6F99">
            <w:pPr>
              <w:pStyle w:val="Tabletext"/>
              <w:rPr>
                <w:lang w:val="en-US"/>
              </w:rPr>
            </w:pPr>
            <w:r>
              <w:rPr>
                <w:lang w:val="en-US"/>
              </w:rPr>
              <w:t>LBDR</w:t>
            </w:r>
          </w:p>
          <w:p w:rsidR="00CE5B22" w:rsidRPr="00083501" w:rsidRDefault="00CE5B22" w:rsidP="000F6F99">
            <w:pPr>
              <w:pStyle w:val="Tabletext"/>
              <w:rPr>
                <w:lang w:val="en-US"/>
              </w:rPr>
            </w:pPr>
            <w:r>
              <w:rPr>
                <w:lang w:val="en-US"/>
              </w:rPr>
              <w:t>LBDR</w:t>
            </w:r>
          </w:p>
        </w:tc>
        <w:tc>
          <w:tcPr>
            <w:tcW w:w="716" w:type="dxa"/>
          </w:tcPr>
          <w:p w:rsidR="00CE5B22" w:rsidRDefault="00CE5B22" w:rsidP="000F6F99">
            <w:pPr>
              <w:pStyle w:val="Tabletext"/>
              <w:rPr>
                <w:lang w:val="en-US"/>
              </w:rPr>
            </w:pPr>
          </w:p>
          <w:p w:rsidR="00CE5B22" w:rsidRPr="00083501" w:rsidRDefault="00CE5B22" w:rsidP="000F6F99">
            <w:pPr>
              <w:pStyle w:val="Tabletext"/>
              <w:rPr>
                <w:lang w:val="en-US"/>
              </w:rPr>
            </w:pPr>
            <w:r>
              <w:rPr>
                <w:lang w:val="en-US"/>
              </w:rPr>
              <w:t>LD3R</w:t>
            </w:r>
          </w:p>
        </w:tc>
        <w:tc>
          <w:tcPr>
            <w:tcW w:w="708" w:type="dxa"/>
          </w:tcPr>
          <w:p w:rsidR="00CE5B22" w:rsidRPr="00083501" w:rsidRDefault="00CE5B22" w:rsidP="000F6F99">
            <w:pPr>
              <w:pStyle w:val="Tabletext"/>
              <w:rPr>
                <w:lang w:val="en-US"/>
              </w:rPr>
            </w:pPr>
          </w:p>
        </w:tc>
        <w:tc>
          <w:tcPr>
            <w:tcW w:w="709" w:type="dxa"/>
          </w:tcPr>
          <w:p w:rsidR="00CE5B22" w:rsidRPr="00083501" w:rsidRDefault="00CE5B22" w:rsidP="000F6F99">
            <w:pPr>
              <w:pStyle w:val="Tabletext"/>
              <w:rPr>
                <w:lang w:val="en-US"/>
              </w:rPr>
            </w:pPr>
          </w:p>
        </w:tc>
        <w:tc>
          <w:tcPr>
            <w:tcW w:w="709" w:type="dxa"/>
          </w:tcPr>
          <w:p w:rsidR="00CE5B22" w:rsidRPr="00083501" w:rsidRDefault="00CE5B22" w:rsidP="000F6F99">
            <w:pPr>
              <w:pStyle w:val="Tabletext"/>
              <w:rPr>
                <w:lang w:val="en-US"/>
              </w:rPr>
            </w:pPr>
          </w:p>
        </w:tc>
      </w:tr>
      <w:tr w:rsidR="00CE5B22" w:rsidRPr="00A40C32" w:rsidTr="001C689E">
        <w:trPr>
          <w:jc w:val="center"/>
        </w:trPr>
        <w:tc>
          <w:tcPr>
            <w:tcW w:w="1573" w:type="dxa"/>
          </w:tcPr>
          <w:p w:rsidR="00CE5B22" w:rsidRPr="00083501" w:rsidRDefault="00CE5B22" w:rsidP="000F6F99">
            <w:pPr>
              <w:pStyle w:val="Tabletext"/>
              <w:rPr>
                <w:lang w:val="en-US"/>
              </w:rPr>
            </w:pPr>
            <w:r w:rsidRPr="004F1137">
              <w:rPr>
                <w:sz w:val="22"/>
                <w:lang w:val="en-US"/>
              </w:rPr>
              <w:t>DFH</w:t>
            </w:r>
            <w:r w:rsidRPr="00083501">
              <w:rPr>
                <w:lang w:val="en-US"/>
              </w:rPr>
              <w:t>-3-OC M</w:t>
            </w:r>
          </w:p>
        </w:tc>
        <w:tc>
          <w:tcPr>
            <w:tcW w:w="1095" w:type="dxa"/>
          </w:tcPr>
          <w:p w:rsidR="00CE5B22" w:rsidRPr="00083501" w:rsidRDefault="00CE5B22" w:rsidP="000F6F99">
            <w:pPr>
              <w:pStyle w:val="Tabletext"/>
              <w:rPr>
                <w:lang w:val="en-US"/>
              </w:rPr>
            </w:pPr>
            <w:r>
              <w:rPr>
                <w:lang w:val="en-US"/>
              </w:rPr>
              <w:t>87.5°E</w:t>
            </w:r>
          </w:p>
        </w:tc>
        <w:tc>
          <w:tcPr>
            <w:tcW w:w="2058" w:type="dxa"/>
          </w:tcPr>
          <w:p w:rsidR="00CE5B22" w:rsidRPr="00083501" w:rsidRDefault="00CE5B22" w:rsidP="000F6F99">
            <w:pPr>
              <w:pStyle w:val="Tabletext"/>
              <w:rPr>
                <w:lang w:val="en-US"/>
              </w:rPr>
            </w:pPr>
            <w:r>
              <w:rPr>
                <w:lang w:val="en-US"/>
              </w:rPr>
              <w:t>China</w:t>
            </w:r>
          </w:p>
        </w:tc>
        <w:tc>
          <w:tcPr>
            <w:tcW w:w="840" w:type="dxa"/>
          </w:tcPr>
          <w:p w:rsidR="00CE5B22" w:rsidRPr="00083501" w:rsidRDefault="00CE5B22" w:rsidP="000F6F99">
            <w:pPr>
              <w:pStyle w:val="Tabletext"/>
              <w:rPr>
                <w:lang w:val="en-US"/>
              </w:rPr>
            </w:pPr>
            <w:r>
              <w:rPr>
                <w:lang w:val="en-US"/>
              </w:rPr>
              <w:t>N</w:t>
            </w:r>
          </w:p>
        </w:tc>
        <w:tc>
          <w:tcPr>
            <w:tcW w:w="870" w:type="dxa"/>
          </w:tcPr>
          <w:p w:rsidR="00CE5B22" w:rsidRPr="00083501" w:rsidRDefault="00CE5B22" w:rsidP="000F6F99">
            <w:pPr>
              <w:pStyle w:val="Tabletext"/>
              <w:rPr>
                <w:lang w:val="en-US"/>
              </w:rPr>
            </w:pPr>
            <w:r w:rsidRPr="00083501">
              <w:rPr>
                <w:lang w:val="en-US"/>
              </w:rPr>
              <w:t>EL1</w:t>
            </w:r>
          </w:p>
        </w:tc>
        <w:tc>
          <w:tcPr>
            <w:tcW w:w="831" w:type="dxa"/>
          </w:tcPr>
          <w:p w:rsidR="00CE5B22" w:rsidRPr="00083501" w:rsidRDefault="00CE5B22" w:rsidP="000F6F99">
            <w:pPr>
              <w:pStyle w:val="Tabletext"/>
              <w:rPr>
                <w:lang w:val="en-US"/>
              </w:rPr>
            </w:pPr>
          </w:p>
        </w:tc>
        <w:tc>
          <w:tcPr>
            <w:tcW w:w="716" w:type="dxa"/>
          </w:tcPr>
          <w:p w:rsidR="00CE5B22" w:rsidRPr="00083501" w:rsidRDefault="00CE5B22" w:rsidP="000F6F99">
            <w:pPr>
              <w:pStyle w:val="Tabletext"/>
              <w:rPr>
                <w:lang w:val="en-US"/>
              </w:rPr>
            </w:pPr>
          </w:p>
        </w:tc>
        <w:tc>
          <w:tcPr>
            <w:tcW w:w="708" w:type="dxa"/>
          </w:tcPr>
          <w:p w:rsidR="00CE5B22" w:rsidRPr="00083501" w:rsidRDefault="00CE5B22" w:rsidP="000F6F99">
            <w:pPr>
              <w:pStyle w:val="Tabletext"/>
              <w:rPr>
                <w:lang w:val="en-US"/>
              </w:rPr>
            </w:pPr>
          </w:p>
        </w:tc>
        <w:tc>
          <w:tcPr>
            <w:tcW w:w="709" w:type="dxa"/>
          </w:tcPr>
          <w:p w:rsidR="00CE5B22" w:rsidRPr="00083501" w:rsidRDefault="00CE5B22" w:rsidP="000F6F99">
            <w:pPr>
              <w:pStyle w:val="Tabletext"/>
              <w:rPr>
                <w:lang w:val="en-US"/>
              </w:rPr>
            </w:pPr>
          </w:p>
        </w:tc>
        <w:tc>
          <w:tcPr>
            <w:tcW w:w="709" w:type="dxa"/>
          </w:tcPr>
          <w:p w:rsidR="00CE5B22" w:rsidRPr="00083501" w:rsidRDefault="00CE5B22" w:rsidP="000F6F99">
            <w:pPr>
              <w:pStyle w:val="Tabletext"/>
              <w:rPr>
                <w:lang w:val="en-US"/>
              </w:rPr>
            </w:pPr>
          </w:p>
        </w:tc>
      </w:tr>
      <w:tr w:rsidR="00CE5B22" w:rsidTr="001C689E">
        <w:trPr>
          <w:jc w:val="center"/>
        </w:trPr>
        <w:tc>
          <w:tcPr>
            <w:tcW w:w="1573" w:type="dxa"/>
          </w:tcPr>
          <w:p w:rsidR="00CE5B22" w:rsidRPr="00083501" w:rsidRDefault="00CE5B22" w:rsidP="000F6F99">
            <w:pPr>
              <w:pStyle w:val="Tabletext"/>
              <w:rPr>
                <w:lang w:val="en-US"/>
              </w:rPr>
            </w:pPr>
            <w:r w:rsidRPr="00083501">
              <w:rPr>
                <w:lang w:val="en-US"/>
              </w:rPr>
              <w:t>SADKO</w:t>
            </w:r>
          </w:p>
        </w:tc>
        <w:tc>
          <w:tcPr>
            <w:tcW w:w="1095" w:type="dxa"/>
          </w:tcPr>
          <w:p w:rsidR="00CE5B22" w:rsidRPr="00083501" w:rsidRDefault="00CE5B22" w:rsidP="000F6F99">
            <w:pPr>
              <w:pStyle w:val="Tabletext"/>
              <w:rPr>
                <w:lang w:val="en-US"/>
              </w:rPr>
            </w:pPr>
            <w:r>
              <w:rPr>
                <w:lang w:val="en-US"/>
              </w:rPr>
              <w:t>85.4°E</w:t>
            </w:r>
          </w:p>
        </w:tc>
        <w:tc>
          <w:tcPr>
            <w:tcW w:w="2058" w:type="dxa"/>
          </w:tcPr>
          <w:p w:rsidR="00CE5B22" w:rsidRPr="00083501" w:rsidRDefault="00CE5B22" w:rsidP="000F6F99">
            <w:pPr>
              <w:pStyle w:val="Tabletext"/>
              <w:rPr>
                <w:lang w:val="en-US"/>
              </w:rPr>
            </w:pPr>
            <w:r>
              <w:rPr>
                <w:lang w:val="en-US"/>
              </w:rPr>
              <w:t>Russian Federation</w:t>
            </w:r>
          </w:p>
        </w:tc>
        <w:tc>
          <w:tcPr>
            <w:tcW w:w="840" w:type="dxa"/>
          </w:tcPr>
          <w:p w:rsidR="00CE5B22" w:rsidRPr="00083501" w:rsidRDefault="00CE5B22" w:rsidP="000F6F99">
            <w:pPr>
              <w:pStyle w:val="Tabletext"/>
              <w:rPr>
                <w:lang w:val="en-US"/>
              </w:rPr>
            </w:pPr>
            <w:r>
              <w:rPr>
                <w:lang w:val="en-US"/>
              </w:rPr>
              <w:t>N</w:t>
            </w:r>
          </w:p>
        </w:tc>
        <w:tc>
          <w:tcPr>
            <w:tcW w:w="870" w:type="dxa"/>
          </w:tcPr>
          <w:p w:rsidR="00CE5B22" w:rsidRPr="00083501" w:rsidRDefault="00CE5B22" w:rsidP="000F6F99">
            <w:pPr>
              <w:pStyle w:val="Tabletext"/>
              <w:rPr>
                <w:lang w:val="en-US"/>
              </w:rPr>
            </w:pPr>
            <w:r w:rsidRPr="00083501">
              <w:rPr>
                <w:lang w:val="en-US"/>
              </w:rPr>
              <w:t>LEBR</w:t>
            </w:r>
          </w:p>
        </w:tc>
        <w:tc>
          <w:tcPr>
            <w:tcW w:w="831" w:type="dxa"/>
          </w:tcPr>
          <w:p w:rsidR="00CE5B22" w:rsidRPr="00083501" w:rsidRDefault="00CE5B22" w:rsidP="000F6F99">
            <w:pPr>
              <w:pStyle w:val="Tabletext"/>
              <w:rPr>
                <w:lang w:val="en-US"/>
              </w:rPr>
            </w:pPr>
          </w:p>
        </w:tc>
        <w:tc>
          <w:tcPr>
            <w:tcW w:w="716" w:type="dxa"/>
          </w:tcPr>
          <w:p w:rsidR="00CE5B22" w:rsidRPr="00083501" w:rsidRDefault="00CE5B22" w:rsidP="000F6F99">
            <w:pPr>
              <w:pStyle w:val="Tabletext"/>
              <w:rPr>
                <w:lang w:val="en-US"/>
              </w:rPr>
            </w:pPr>
          </w:p>
        </w:tc>
        <w:tc>
          <w:tcPr>
            <w:tcW w:w="708" w:type="dxa"/>
          </w:tcPr>
          <w:p w:rsidR="00CE5B22" w:rsidRPr="00083501" w:rsidRDefault="00CE5B22" w:rsidP="000F6F99">
            <w:pPr>
              <w:pStyle w:val="Tabletext"/>
              <w:rPr>
                <w:lang w:val="en-US"/>
              </w:rPr>
            </w:pPr>
          </w:p>
        </w:tc>
        <w:tc>
          <w:tcPr>
            <w:tcW w:w="709" w:type="dxa"/>
          </w:tcPr>
          <w:p w:rsidR="00CE5B22" w:rsidRPr="00083501" w:rsidRDefault="00CE5B22" w:rsidP="000F6F99">
            <w:pPr>
              <w:pStyle w:val="Tabletext"/>
              <w:rPr>
                <w:lang w:val="en-US"/>
              </w:rPr>
            </w:pPr>
          </w:p>
        </w:tc>
        <w:tc>
          <w:tcPr>
            <w:tcW w:w="709" w:type="dxa"/>
          </w:tcPr>
          <w:p w:rsidR="00CE5B22" w:rsidRPr="00083501" w:rsidRDefault="00CE5B22" w:rsidP="000F6F99">
            <w:pPr>
              <w:pStyle w:val="Tabletext"/>
              <w:rPr>
                <w:lang w:val="en-US"/>
              </w:rPr>
            </w:pPr>
          </w:p>
        </w:tc>
      </w:tr>
      <w:tr w:rsidR="00CE5B22" w:rsidTr="001C689E">
        <w:trPr>
          <w:jc w:val="center"/>
        </w:trPr>
        <w:tc>
          <w:tcPr>
            <w:tcW w:w="1573" w:type="dxa"/>
          </w:tcPr>
          <w:p w:rsidR="00CE5B22" w:rsidRPr="00DD6827" w:rsidRDefault="00CE5B22" w:rsidP="000F6F99">
            <w:pPr>
              <w:pStyle w:val="Tabletext"/>
              <w:rPr>
                <w:sz w:val="22"/>
                <w:lang w:val="en-US"/>
              </w:rPr>
            </w:pPr>
            <w:r w:rsidRPr="00DD6827">
              <w:rPr>
                <w:sz w:val="22"/>
                <w:lang w:val="en-US"/>
              </w:rPr>
              <w:t>INDOSTAR-1</w:t>
            </w:r>
          </w:p>
          <w:p w:rsidR="00CE5B22" w:rsidRPr="00DD6827" w:rsidRDefault="00CE5B22" w:rsidP="000F6F99">
            <w:pPr>
              <w:pStyle w:val="Tabletext"/>
              <w:rPr>
                <w:sz w:val="22"/>
                <w:lang w:val="en-US"/>
              </w:rPr>
            </w:pPr>
            <w:r w:rsidRPr="00DD6827">
              <w:rPr>
                <w:sz w:val="22"/>
                <w:lang w:val="en-US"/>
              </w:rPr>
              <w:lastRenderedPageBreak/>
              <w:t>INDOSTAR-2</w:t>
            </w:r>
          </w:p>
          <w:p w:rsidR="00CE5B22" w:rsidRPr="00712AE5" w:rsidRDefault="00CE5B22" w:rsidP="000F6F99">
            <w:pPr>
              <w:pStyle w:val="Tabletext"/>
              <w:rPr>
                <w:lang w:val="en-US"/>
              </w:rPr>
            </w:pPr>
            <w:r w:rsidRPr="00DD6827">
              <w:rPr>
                <w:sz w:val="22"/>
                <w:lang w:val="en-US"/>
              </w:rPr>
              <w:t>INDOSTAR</w:t>
            </w:r>
            <w:r w:rsidRPr="00712AE5">
              <w:rPr>
                <w:lang w:val="en-US"/>
              </w:rPr>
              <w:t>-3</w:t>
            </w:r>
          </w:p>
          <w:p w:rsidR="00CE5B22" w:rsidRPr="00083501" w:rsidRDefault="00CE5B22" w:rsidP="000F6F99">
            <w:pPr>
              <w:pStyle w:val="Tabletext"/>
              <w:rPr>
                <w:lang w:val="en-US"/>
              </w:rPr>
            </w:pPr>
            <w:r w:rsidRPr="00DD6827">
              <w:rPr>
                <w:sz w:val="22"/>
                <w:lang w:val="en-US"/>
              </w:rPr>
              <w:t>INDOSTAR</w:t>
            </w:r>
            <w:r w:rsidRPr="00712AE5">
              <w:rPr>
                <w:lang w:val="en-US"/>
              </w:rPr>
              <w:t>-4</w:t>
            </w:r>
          </w:p>
        </w:tc>
        <w:tc>
          <w:tcPr>
            <w:tcW w:w="1095" w:type="dxa"/>
          </w:tcPr>
          <w:p w:rsidR="00CE5B22" w:rsidRDefault="00CE5B22" w:rsidP="000F6F99">
            <w:pPr>
              <w:pStyle w:val="Tabletext"/>
              <w:rPr>
                <w:lang w:val="en-US"/>
              </w:rPr>
            </w:pPr>
            <w:r>
              <w:rPr>
                <w:lang w:val="en-US"/>
              </w:rPr>
              <w:lastRenderedPageBreak/>
              <w:t>107.7°E</w:t>
            </w:r>
          </w:p>
          <w:p w:rsidR="00CE5B22" w:rsidRDefault="00CE5B22" w:rsidP="000F6F99">
            <w:pPr>
              <w:pStyle w:val="Tabletext"/>
              <w:rPr>
                <w:lang w:val="en-US"/>
              </w:rPr>
            </w:pPr>
            <w:r>
              <w:rPr>
                <w:lang w:val="en-US"/>
              </w:rPr>
              <w:t>119.1°E</w:t>
            </w:r>
          </w:p>
          <w:p w:rsidR="00CE5B22" w:rsidRDefault="00CE5B22" w:rsidP="000F6F99">
            <w:pPr>
              <w:pStyle w:val="Tabletext"/>
              <w:rPr>
                <w:lang w:val="en-US"/>
              </w:rPr>
            </w:pPr>
            <w:r>
              <w:rPr>
                <w:lang w:val="en-US"/>
              </w:rPr>
              <w:t>107.5°E</w:t>
            </w:r>
          </w:p>
          <w:p w:rsidR="00CE5B22" w:rsidRPr="00083501" w:rsidRDefault="00CE5B22" w:rsidP="000F6F99">
            <w:pPr>
              <w:pStyle w:val="Tabletext"/>
              <w:rPr>
                <w:lang w:val="en-US"/>
              </w:rPr>
            </w:pPr>
            <w:r>
              <w:rPr>
                <w:lang w:val="en-US"/>
              </w:rPr>
              <w:lastRenderedPageBreak/>
              <w:t>118.9°E</w:t>
            </w:r>
          </w:p>
        </w:tc>
        <w:tc>
          <w:tcPr>
            <w:tcW w:w="2058" w:type="dxa"/>
          </w:tcPr>
          <w:p w:rsidR="00CE5B22" w:rsidRPr="00083501" w:rsidRDefault="00CE5B22" w:rsidP="000F6F99">
            <w:pPr>
              <w:pStyle w:val="Tabletext"/>
              <w:rPr>
                <w:lang w:val="en-US"/>
              </w:rPr>
            </w:pPr>
            <w:r>
              <w:rPr>
                <w:lang w:val="en-US"/>
              </w:rPr>
              <w:lastRenderedPageBreak/>
              <w:t>Indonesia</w:t>
            </w:r>
          </w:p>
        </w:tc>
        <w:tc>
          <w:tcPr>
            <w:tcW w:w="840" w:type="dxa"/>
          </w:tcPr>
          <w:p w:rsidR="00CE5B22" w:rsidRDefault="00CE5B22" w:rsidP="000F6F99">
            <w:pPr>
              <w:pStyle w:val="Tabletext"/>
              <w:rPr>
                <w:lang w:val="en-US"/>
              </w:rPr>
            </w:pPr>
            <w:r>
              <w:rPr>
                <w:lang w:val="en-US"/>
              </w:rPr>
              <w:t>N</w:t>
            </w:r>
          </w:p>
          <w:p w:rsidR="00CE5B22" w:rsidRDefault="00CE5B22" w:rsidP="000F6F99">
            <w:pPr>
              <w:pStyle w:val="Tabletext"/>
              <w:rPr>
                <w:lang w:val="en-US"/>
              </w:rPr>
            </w:pPr>
            <w:r>
              <w:rPr>
                <w:lang w:val="en-US"/>
              </w:rPr>
              <w:t>N</w:t>
            </w:r>
          </w:p>
          <w:p w:rsidR="00CE5B22" w:rsidRDefault="00CE5B22" w:rsidP="000F6F99">
            <w:pPr>
              <w:pStyle w:val="Tabletext"/>
              <w:rPr>
                <w:lang w:val="en-US"/>
              </w:rPr>
            </w:pPr>
            <w:r>
              <w:rPr>
                <w:lang w:val="en-US"/>
              </w:rPr>
              <w:t>N</w:t>
            </w:r>
          </w:p>
          <w:p w:rsidR="00CE5B22" w:rsidRPr="00083501" w:rsidRDefault="00CE5B22" w:rsidP="000F6F99">
            <w:pPr>
              <w:pStyle w:val="Tabletext"/>
              <w:rPr>
                <w:lang w:val="en-US"/>
              </w:rPr>
            </w:pPr>
            <w:r>
              <w:rPr>
                <w:lang w:val="en-US"/>
              </w:rPr>
              <w:lastRenderedPageBreak/>
              <w:t>N</w:t>
            </w:r>
          </w:p>
        </w:tc>
        <w:tc>
          <w:tcPr>
            <w:tcW w:w="870" w:type="dxa"/>
          </w:tcPr>
          <w:p w:rsidR="00CE5B22" w:rsidRPr="00083501" w:rsidRDefault="00CE5B22" w:rsidP="000F6F99">
            <w:pPr>
              <w:pStyle w:val="Tabletext"/>
              <w:rPr>
                <w:lang w:val="en-US"/>
              </w:rPr>
            </w:pPr>
            <w:r w:rsidRPr="00083501">
              <w:rPr>
                <w:lang w:val="en-US"/>
              </w:rPr>
              <w:lastRenderedPageBreak/>
              <w:t>LBN</w:t>
            </w:r>
          </w:p>
        </w:tc>
        <w:tc>
          <w:tcPr>
            <w:tcW w:w="831" w:type="dxa"/>
          </w:tcPr>
          <w:p w:rsidR="00CE5B22" w:rsidRPr="00083501" w:rsidRDefault="00CE5B22" w:rsidP="000F6F99">
            <w:pPr>
              <w:pStyle w:val="Tabletext"/>
              <w:rPr>
                <w:lang w:val="en-US"/>
              </w:rPr>
            </w:pPr>
          </w:p>
        </w:tc>
        <w:tc>
          <w:tcPr>
            <w:tcW w:w="716" w:type="dxa"/>
          </w:tcPr>
          <w:p w:rsidR="00CE5B22" w:rsidRPr="00083501" w:rsidRDefault="00CE5B22" w:rsidP="000F6F99">
            <w:pPr>
              <w:pStyle w:val="Tabletext"/>
              <w:rPr>
                <w:lang w:val="en-US"/>
              </w:rPr>
            </w:pPr>
          </w:p>
        </w:tc>
        <w:tc>
          <w:tcPr>
            <w:tcW w:w="708" w:type="dxa"/>
          </w:tcPr>
          <w:p w:rsidR="00CE5B22" w:rsidRPr="00083501" w:rsidRDefault="00CE5B22" w:rsidP="000F6F99">
            <w:pPr>
              <w:pStyle w:val="Tabletext"/>
              <w:rPr>
                <w:lang w:val="en-US"/>
              </w:rPr>
            </w:pPr>
          </w:p>
        </w:tc>
        <w:tc>
          <w:tcPr>
            <w:tcW w:w="709" w:type="dxa"/>
          </w:tcPr>
          <w:p w:rsidR="00CE5B22" w:rsidRPr="00083501" w:rsidRDefault="00CE5B22" w:rsidP="000F6F99">
            <w:pPr>
              <w:pStyle w:val="Tabletext"/>
              <w:rPr>
                <w:lang w:val="en-US"/>
              </w:rPr>
            </w:pPr>
          </w:p>
        </w:tc>
        <w:tc>
          <w:tcPr>
            <w:tcW w:w="709" w:type="dxa"/>
          </w:tcPr>
          <w:p w:rsidR="00CE5B22" w:rsidRPr="00083501" w:rsidRDefault="00CE5B22" w:rsidP="000F6F99">
            <w:pPr>
              <w:pStyle w:val="Tabletext"/>
              <w:rPr>
                <w:lang w:val="en-US"/>
              </w:rPr>
            </w:pPr>
          </w:p>
        </w:tc>
      </w:tr>
    </w:tbl>
    <w:p w:rsidR="00CE5B22" w:rsidRDefault="00CE5B22" w:rsidP="000F6F99">
      <w:pPr>
        <w:rPr>
          <w:szCs w:val="24"/>
          <w:lang w:val="en-US"/>
        </w:rPr>
      </w:pPr>
      <w:r>
        <w:rPr>
          <w:szCs w:val="24"/>
          <w:lang w:val="en-US"/>
        </w:rPr>
        <w:lastRenderedPageBreak/>
        <w:t xml:space="preserve">The purpose of the study is to evaluate </w:t>
      </w:r>
      <w:r w:rsidRPr="005955F1">
        <w:rPr>
          <w:szCs w:val="24"/>
          <w:lang w:val="en-US"/>
        </w:rPr>
        <w:t>if the proposed pfd limit included in the CPM</w:t>
      </w:r>
      <w:r w:rsidRPr="000B0E05">
        <w:rPr>
          <w:szCs w:val="24"/>
          <w:lang w:val="en-US"/>
        </w:rPr>
        <w:t xml:space="preserve"> Report </w:t>
      </w:r>
      <w:r w:rsidRPr="00AF4D16">
        <w:rPr>
          <w:szCs w:val="24"/>
          <w:lang w:val="en-US"/>
        </w:rPr>
        <w:t>on WRC-15 agenda item 1.1 (i.e. -113dBW/(m</w:t>
      </w:r>
      <w:r w:rsidRPr="00AF4D16">
        <w:rPr>
          <w:szCs w:val="24"/>
          <w:vertAlign w:val="superscript"/>
          <w:lang w:val="en-US"/>
        </w:rPr>
        <w:t>2</w:t>
      </w:r>
      <w:r w:rsidRPr="00AF4D16">
        <w:rPr>
          <w:szCs w:val="24"/>
          <w:lang w:val="en-US"/>
        </w:rPr>
        <w:t>.MHz)) has an impact on the coverage requirements of the intended service areas of BSS systems operating within the band 1</w:t>
      </w:r>
      <w:r>
        <w:rPr>
          <w:szCs w:val="24"/>
          <w:lang w:val="en-US"/>
        </w:rPr>
        <w:t xml:space="preserve"> </w:t>
      </w:r>
      <w:r w:rsidRPr="00AF4D16">
        <w:rPr>
          <w:szCs w:val="24"/>
          <w:lang w:val="en-US"/>
        </w:rPr>
        <w:t>452-1</w:t>
      </w:r>
      <w:r>
        <w:rPr>
          <w:szCs w:val="24"/>
          <w:lang w:val="en-US"/>
        </w:rPr>
        <w:t xml:space="preserve"> </w:t>
      </w:r>
      <w:r w:rsidRPr="00AF4D16">
        <w:rPr>
          <w:szCs w:val="24"/>
          <w:lang w:val="en-US"/>
        </w:rPr>
        <w:t>492 MHz</w:t>
      </w:r>
      <w:r>
        <w:rPr>
          <w:szCs w:val="24"/>
          <w:lang w:val="en-US"/>
        </w:rPr>
        <w:t>.</w:t>
      </w:r>
    </w:p>
    <w:p w:rsidR="00CE5B22" w:rsidRDefault="00CE5B22" w:rsidP="000F6F99">
      <w:pPr>
        <w:rPr>
          <w:szCs w:val="24"/>
          <w:lang w:val="en-US"/>
        </w:rPr>
      </w:pPr>
      <w:r>
        <w:rPr>
          <w:szCs w:val="24"/>
          <w:lang w:val="en-US"/>
        </w:rPr>
        <w:t>Technical characteristics of BSS satellite networks were extracted from the SRS database through the SNS Query Builder software</w:t>
      </w:r>
      <w:r>
        <w:rPr>
          <w:rStyle w:val="FootnoteReference"/>
          <w:szCs w:val="24"/>
          <w:lang w:val="en-US"/>
        </w:rPr>
        <w:footnoteReference w:id="2"/>
      </w:r>
      <w:r>
        <w:rPr>
          <w:szCs w:val="24"/>
          <w:lang w:val="en-US"/>
        </w:rPr>
        <w:t xml:space="preserve"> and are shown in Table 2 below.</w:t>
      </w:r>
    </w:p>
    <w:p w:rsidR="00CE5B22" w:rsidRDefault="00CE5B22" w:rsidP="000F6F99">
      <w:pPr>
        <w:pStyle w:val="TableNo"/>
        <w:rPr>
          <w:lang w:val="en-US"/>
        </w:rPr>
      </w:pPr>
      <w:r>
        <w:rPr>
          <w:lang w:val="en-US"/>
        </w:rPr>
        <w:t>Table 2</w:t>
      </w:r>
    </w:p>
    <w:p w:rsidR="00CE5B22" w:rsidRPr="00A40C32" w:rsidRDefault="00CE5B22" w:rsidP="000F6F99">
      <w:pPr>
        <w:pStyle w:val="Tabletitle"/>
        <w:rPr>
          <w:rFonts w:hint="eastAsia"/>
          <w:lang w:val="en-US"/>
        </w:rPr>
      </w:pPr>
      <w:r>
        <w:rPr>
          <w:lang w:val="en-US"/>
        </w:rPr>
        <w:t>Characteristics of BSS satellite networks in the band 1452-1492 MHz</w:t>
      </w:r>
    </w:p>
    <w:p w:rsidR="00CE5B22" w:rsidRPr="00712AE5" w:rsidRDefault="00CE5B22" w:rsidP="000F6F99">
      <w:pPr>
        <w:rPr>
          <w:szCs w:val="24"/>
          <w:lang w:val="en-US"/>
        </w:rPr>
      </w:pPr>
    </w:p>
    <w:tbl>
      <w:tblPr>
        <w:tblStyle w:val="TableGrid"/>
        <w:tblW w:w="9855" w:type="dxa"/>
        <w:jc w:val="center"/>
        <w:tblLook w:val="04A0" w:firstRow="1" w:lastRow="0" w:firstColumn="1" w:lastColumn="0" w:noHBand="0" w:noVBand="1"/>
      </w:tblPr>
      <w:tblGrid>
        <w:gridCol w:w="3226"/>
        <w:gridCol w:w="1139"/>
        <w:gridCol w:w="1196"/>
        <w:gridCol w:w="950"/>
        <w:gridCol w:w="1139"/>
        <w:gridCol w:w="1139"/>
        <w:gridCol w:w="1066"/>
      </w:tblGrid>
      <w:tr w:rsidR="00CE5B22" w:rsidRPr="00E3143E" w:rsidTr="001C689E">
        <w:trPr>
          <w:trHeight w:val="420"/>
          <w:jc w:val="center"/>
        </w:trPr>
        <w:tc>
          <w:tcPr>
            <w:tcW w:w="3226" w:type="dxa"/>
          </w:tcPr>
          <w:p w:rsidR="00CE5B22" w:rsidRPr="00A1572A" w:rsidRDefault="00CE5B22" w:rsidP="000F6F99">
            <w:pPr>
              <w:pStyle w:val="Tablehead"/>
              <w:rPr>
                <w:lang w:val="en-US"/>
              </w:rPr>
            </w:pPr>
            <w:r w:rsidRPr="00A1572A">
              <w:rPr>
                <w:lang w:val="en-US"/>
              </w:rPr>
              <w:t>Sat</w:t>
            </w:r>
            <w:r>
              <w:rPr>
                <w:lang w:val="en-US"/>
              </w:rPr>
              <w:t>ellite and</w:t>
            </w:r>
            <w:r w:rsidRPr="00A1572A">
              <w:rPr>
                <w:lang w:val="en-US"/>
              </w:rPr>
              <w:t>/</w:t>
            </w:r>
            <w:r>
              <w:rPr>
                <w:lang w:val="en-US"/>
              </w:rPr>
              <w:t xml:space="preserve">or </w:t>
            </w:r>
            <w:r w:rsidRPr="00A1572A">
              <w:rPr>
                <w:lang w:val="en-US"/>
              </w:rPr>
              <w:t>Beam Name</w:t>
            </w:r>
          </w:p>
        </w:tc>
        <w:tc>
          <w:tcPr>
            <w:tcW w:w="1139" w:type="dxa"/>
          </w:tcPr>
          <w:p w:rsidR="00CE5B22" w:rsidRPr="00A1572A" w:rsidRDefault="00CE5B22" w:rsidP="000F6F99">
            <w:pPr>
              <w:pStyle w:val="Tablehead"/>
              <w:rPr>
                <w:lang w:val="en-US"/>
              </w:rPr>
            </w:pPr>
            <w:r w:rsidRPr="00A1572A">
              <w:rPr>
                <w:lang w:val="en-US"/>
              </w:rPr>
              <w:t>P</w:t>
            </w:r>
            <w:r w:rsidRPr="00A1572A">
              <w:rPr>
                <w:vertAlign w:val="subscript"/>
                <w:lang w:val="en-US"/>
              </w:rPr>
              <w:t>e max</w:t>
            </w:r>
          </w:p>
        </w:tc>
        <w:tc>
          <w:tcPr>
            <w:tcW w:w="1196" w:type="dxa"/>
          </w:tcPr>
          <w:p w:rsidR="00CE5B22" w:rsidRPr="00A1572A" w:rsidRDefault="00CE5B22" w:rsidP="000F6F99">
            <w:pPr>
              <w:pStyle w:val="Tablehead"/>
              <w:rPr>
                <w:lang w:val="en-US"/>
              </w:rPr>
            </w:pPr>
            <w:r w:rsidRPr="00A1572A">
              <w:rPr>
                <w:lang w:val="en-US"/>
              </w:rPr>
              <w:t>P</w:t>
            </w:r>
            <w:r w:rsidRPr="00A1572A">
              <w:rPr>
                <w:vertAlign w:val="subscript"/>
                <w:lang w:val="en-US"/>
              </w:rPr>
              <w:t>e min</w:t>
            </w:r>
          </w:p>
        </w:tc>
        <w:tc>
          <w:tcPr>
            <w:tcW w:w="950" w:type="dxa"/>
          </w:tcPr>
          <w:p w:rsidR="00CE5B22" w:rsidRPr="00A1572A" w:rsidRDefault="00CE5B22" w:rsidP="000F6F99">
            <w:pPr>
              <w:pStyle w:val="Tablehead"/>
              <w:rPr>
                <w:lang w:val="en-US"/>
              </w:rPr>
            </w:pPr>
            <w:r w:rsidRPr="00A1572A">
              <w:rPr>
                <w:lang w:val="en-US"/>
              </w:rPr>
              <w:t>G</w:t>
            </w:r>
            <w:r w:rsidRPr="00A1572A">
              <w:rPr>
                <w:vertAlign w:val="subscript"/>
                <w:lang w:val="en-US"/>
              </w:rPr>
              <w:t>Tx</w:t>
            </w:r>
          </w:p>
        </w:tc>
        <w:tc>
          <w:tcPr>
            <w:tcW w:w="1139" w:type="dxa"/>
          </w:tcPr>
          <w:p w:rsidR="00CE5B22" w:rsidRPr="00A1572A" w:rsidRDefault="00CE5B22" w:rsidP="000F6F99">
            <w:pPr>
              <w:pStyle w:val="Tablehead"/>
              <w:rPr>
                <w:lang w:val="en-US"/>
              </w:rPr>
            </w:pPr>
            <w:r w:rsidRPr="00A1572A">
              <w:rPr>
                <w:lang w:val="en-US"/>
              </w:rPr>
              <w:t>EIRP</w:t>
            </w:r>
            <w:r w:rsidRPr="00A1572A">
              <w:rPr>
                <w:vertAlign w:val="subscript"/>
                <w:lang w:val="en-US"/>
              </w:rPr>
              <w:t>max</w:t>
            </w:r>
          </w:p>
        </w:tc>
        <w:tc>
          <w:tcPr>
            <w:tcW w:w="1139" w:type="dxa"/>
          </w:tcPr>
          <w:p w:rsidR="00CE5B22" w:rsidRPr="00A1572A" w:rsidRDefault="00CE5B22" w:rsidP="000F6F99">
            <w:pPr>
              <w:pStyle w:val="Tablehead"/>
              <w:rPr>
                <w:lang w:val="en-US"/>
              </w:rPr>
            </w:pPr>
            <w:r w:rsidRPr="00A1572A">
              <w:rPr>
                <w:lang w:val="en-US"/>
              </w:rPr>
              <w:t>EIRP</w:t>
            </w:r>
            <w:r w:rsidRPr="00A1572A">
              <w:rPr>
                <w:vertAlign w:val="subscript"/>
                <w:lang w:val="en-US"/>
              </w:rPr>
              <w:t>min</w:t>
            </w:r>
          </w:p>
        </w:tc>
        <w:tc>
          <w:tcPr>
            <w:tcW w:w="1066" w:type="dxa"/>
          </w:tcPr>
          <w:p w:rsidR="00CE5B22" w:rsidRPr="00A1572A" w:rsidRDefault="00CE5B22" w:rsidP="000F6F99">
            <w:pPr>
              <w:pStyle w:val="Tablehead"/>
              <w:rPr>
                <w:lang w:val="en-US"/>
              </w:rPr>
            </w:pPr>
            <w:r w:rsidRPr="00A1572A">
              <w:rPr>
                <w:lang w:val="en-US"/>
              </w:rPr>
              <w:t>B (MHz)</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AD AFRIBSS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10.7</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29</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52.8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39.7</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3</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BD AFRIBSS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10</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29.7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53.5</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39.7</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3</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CD AFRIBSS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10.7</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29</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52.8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39.7</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3</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AD2 AFRIBSS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2.5</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30</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53.8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Pr>
                <w:lang w:val="en-US"/>
              </w:rPr>
              <w:t>32.5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BD2 AFRIBSS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9.2</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30.5</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54.3</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Pr>
                <w:lang w:val="en-US"/>
              </w:rPr>
              <w:t>39.7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CD2 AFRIBSS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2.5</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30</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53.8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Pr>
                <w:lang w:val="en-US"/>
              </w:rPr>
              <w:t>32.5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AD ASIABSS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19.8</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30</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53.8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Pr>
                <w:lang w:val="en-US"/>
              </w:rPr>
              <w:t>49.8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BD ASIABSS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19.8</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30.5</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54.3</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Pr>
                <w:lang w:val="en-US"/>
              </w:rPr>
              <w:t>50.3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CD ASIABSS</w:t>
            </w:r>
          </w:p>
        </w:tc>
        <w:tc>
          <w:tcPr>
            <w:tcW w:w="1139" w:type="dxa"/>
          </w:tcPr>
          <w:p w:rsidR="00CE5B22" w:rsidRPr="00A1572A" w:rsidRDefault="00CE5B22" w:rsidP="000F6F99">
            <w:pPr>
              <w:pStyle w:val="Tabletext"/>
              <w:rPr>
                <w:lang w:val="en-US"/>
              </w:rPr>
            </w:pPr>
            <w:r w:rsidRPr="00A1572A">
              <w:rPr>
                <w:lang w:val="en-US"/>
              </w:rPr>
              <w:t>23.8</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19.8</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30</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53.8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Pr>
                <w:lang w:val="en-US"/>
              </w:rPr>
              <w:t>49.8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LDCN CHINASAT-92.2E</w:t>
            </w:r>
          </w:p>
        </w:tc>
        <w:tc>
          <w:tcPr>
            <w:tcW w:w="1139" w:type="dxa"/>
          </w:tcPr>
          <w:p w:rsidR="00CE5B22" w:rsidRPr="00A1572A" w:rsidRDefault="00CE5B22" w:rsidP="000F6F99">
            <w:pPr>
              <w:pStyle w:val="Tabletext"/>
              <w:rPr>
                <w:lang w:val="en-US"/>
              </w:rPr>
            </w:pPr>
            <w:r w:rsidRPr="00A1572A">
              <w:rPr>
                <w:lang w:val="en-US"/>
              </w:rPr>
              <w:t>25</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21</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29</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54</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 xml:space="preserve">50 </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CHINASAT-A5 (87.5) LD1R/LD2R/LD3R</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2.6-17</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CHINASAT-C20 (126)</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CHINASAT-C21 (136)</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CHINASAT-CL11 (163)</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CHINASAT-CL2 (51.5)</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CHINASAT-D-110 (110.5)</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 xml:space="preserve">CHINASAT-125E </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CHINASAT-163E</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CHINASAT-87.5E</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CHINASAT-DL4 (110.5)</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CHINASAT-DL5 (115.5)</w:t>
            </w:r>
          </w:p>
        </w:tc>
        <w:tc>
          <w:tcPr>
            <w:tcW w:w="1139" w:type="dxa"/>
          </w:tcPr>
          <w:p w:rsidR="00CE5B22" w:rsidRPr="00A1572A" w:rsidRDefault="00CE5B22" w:rsidP="000F6F99">
            <w:pPr>
              <w:pStyle w:val="Tabletext"/>
              <w:rPr>
                <w:lang w:val="en-US"/>
              </w:rPr>
            </w:pPr>
            <w:r w:rsidRPr="00A1572A">
              <w:rPr>
                <w:lang w:val="en-US"/>
              </w:rPr>
              <w:t>31.8</w:t>
            </w:r>
            <w:r>
              <w:rPr>
                <w:lang w:val="en-US"/>
              </w:rPr>
              <w:t xml:space="preserve"> dB</w:t>
            </w:r>
            <w:r w:rsidRPr="00A1572A">
              <w:rPr>
                <w:lang w:val="en-US"/>
              </w:rPr>
              <w:t>W</w:t>
            </w:r>
          </w:p>
        </w:tc>
        <w:tc>
          <w:tcPr>
            <w:tcW w:w="1196" w:type="dxa"/>
          </w:tcPr>
          <w:p w:rsidR="00CE5B22" w:rsidRPr="00A1572A" w:rsidRDefault="00CE5B22" w:rsidP="000F6F99">
            <w:pPr>
              <w:pStyle w:val="Tabletext"/>
              <w:rPr>
                <w:sz w:val="18"/>
                <w:szCs w:val="18"/>
                <w:lang w:val="en-US"/>
              </w:rPr>
            </w:pPr>
            <w:r w:rsidRPr="00A1572A">
              <w:rPr>
                <w:sz w:val="18"/>
                <w:szCs w:val="18"/>
                <w:lang w:val="en-US"/>
              </w:rPr>
              <w:t>2.6-20</w:t>
            </w:r>
            <w:r>
              <w:rPr>
                <w:sz w:val="18"/>
                <w:szCs w:val="18"/>
                <w:lang w:val="en-US"/>
              </w:rPr>
              <w:t xml:space="preserve"> dB</w:t>
            </w:r>
            <w:r w:rsidRPr="00A1572A">
              <w:rPr>
                <w:sz w:val="18"/>
                <w:szCs w:val="18"/>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68.8</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39.6</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CHINASAT-DL6 (125)</w:t>
            </w:r>
          </w:p>
        </w:tc>
        <w:tc>
          <w:tcPr>
            <w:tcW w:w="1139" w:type="dxa"/>
          </w:tcPr>
          <w:p w:rsidR="00CE5B22" w:rsidRPr="00A1572A" w:rsidRDefault="00CE5B22" w:rsidP="000F6F99">
            <w:pPr>
              <w:pStyle w:val="Tabletext"/>
              <w:rPr>
                <w:lang w:val="en-US"/>
              </w:rPr>
            </w:pPr>
            <w:r w:rsidRPr="00A1572A">
              <w:rPr>
                <w:lang w:val="en-US"/>
              </w:rPr>
              <w:t>27.7</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17.7</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37</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64.7</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54.7</w:t>
            </w:r>
            <w:r>
              <w:rPr>
                <w:lang w:val="en-US"/>
              </w:rPr>
              <w:t xml:space="preserve">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5</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 xml:space="preserve">EL1 DFH-3-OC </w:t>
            </w:r>
          </w:p>
        </w:tc>
        <w:tc>
          <w:tcPr>
            <w:tcW w:w="1139" w:type="dxa"/>
          </w:tcPr>
          <w:p w:rsidR="00CE5B22" w:rsidRPr="00A1572A" w:rsidRDefault="00CE5B22" w:rsidP="000F6F99">
            <w:pPr>
              <w:pStyle w:val="Tabletext"/>
              <w:rPr>
                <w:lang w:val="en-US"/>
              </w:rPr>
            </w:pPr>
            <w:r w:rsidRPr="00A1572A">
              <w:rPr>
                <w:lang w:val="en-US"/>
              </w:rPr>
              <w:t>19.9</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11.9</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39</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58.9</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Pr>
                <w:lang w:val="en-US"/>
              </w:rPr>
              <w:t>50.9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2.6</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LEBR SADKO-1</w:t>
            </w:r>
          </w:p>
        </w:tc>
        <w:tc>
          <w:tcPr>
            <w:tcW w:w="1139" w:type="dxa"/>
          </w:tcPr>
          <w:p w:rsidR="00CE5B22" w:rsidRPr="00A1572A" w:rsidRDefault="00CE5B22" w:rsidP="000F6F99">
            <w:pPr>
              <w:pStyle w:val="Tabletext"/>
              <w:rPr>
                <w:lang w:val="en-US"/>
              </w:rPr>
            </w:pPr>
            <w:r w:rsidRPr="00A1572A">
              <w:rPr>
                <w:lang w:val="en-US"/>
              </w:rPr>
              <w:t>16</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13</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43</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59</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sidRPr="00A1572A">
              <w:rPr>
                <w:lang w:val="en-US"/>
              </w:rPr>
              <w:t xml:space="preserve">56 </w:t>
            </w:r>
            <w:r>
              <w:rPr>
                <w:lang w:val="en-US"/>
              </w:rPr>
              <w:t>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1.35</w:t>
            </w:r>
          </w:p>
        </w:tc>
      </w:tr>
      <w:tr w:rsidR="00CE5B22" w:rsidTr="001C689E">
        <w:trPr>
          <w:jc w:val="center"/>
        </w:trPr>
        <w:tc>
          <w:tcPr>
            <w:tcW w:w="3226" w:type="dxa"/>
          </w:tcPr>
          <w:p w:rsidR="00CE5B22" w:rsidRPr="00A1572A" w:rsidRDefault="00CE5B22" w:rsidP="000F6F99">
            <w:pPr>
              <w:pStyle w:val="Tabletext"/>
              <w:rPr>
                <w:lang w:val="en-US"/>
              </w:rPr>
            </w:pPr>
            <w:r w:rsidRPr="00A1572A">
              <w:rPr>
                <w:lang w:val="en-US"/>
              </w:rPr>
              <w:t>LBN INDOSTAR-1,2,3,4</w:t>
            </w:r>
          </w:p>
        </w:tc>
        <w:tc>
          <w:tcPr>
            <w:tcW w:w="1139" w:type="dxa"/>
          </w:tcPr>
          <w:p w:rsidR="00CE5B22" w:rsidRPr="00A1572A" w:rsidRDefault="00CE5B22" w:rsidP="000F6F99">
            <w:pPr>
              <w:pStyle w:val="Tabletext"/>
              <w:rPr>
                <w:lang w:val="en-US"/>
              </w:rPr>
            </w:pPr>
            <w:r w:rsidRPr="00A1572A">
              <w:rPr>
                <w:lang w:val="en-US"/>
              </w:rPr>
              <w:t>15</w:t>
            </w:r>
            <w:r>
              <w:rPr>
                <w:lang w:val="en-US"/>
              </w:rPr>
              <w:t xml:space="preserve"> dB</w:t>
            </w:r>
            <w:r w:rsidRPr="00A1572A">
              <w:rPr>
                <w:lang w:val="en-US"/>
              </w:rPr>
              <w:t>W</w:t>
            </w:r>
          </w:p>
        </w:tc>
        <w:tc>
          <w:tcPr>
            <w:tcW w:w="1196" w:type="dxa"/>
          </w:tcPr>
          <w:p w:rsidR="00CE5B22" w:rsidRPr="00A1572A" w:rsidRDefault="00CE5B22" w:rsidP="000F6F99">
            <w:pPr>
              <w:pStyle w:val="Tabletext"/>
              <w:rPr>
                <w:lang w:val="en-US"/>
              </w:rPr>
            </w:pPr>
            <w:r w:rsidRPr="00A1572A">
              <w:rPr>
                <w:lang w:val="en-US"/>
              </w:rPr>
              <w:t>15</w:t>
            </w:r>
            <w:r>
              <w:rPr>
                <w:lang w:val="en-US"/>
              </w:rPr>
              <w:t xml:space="preserve"> dB</w:t>
            </w:r>
            <w:r w:rsidRPr="00A1572A">
              <w:rPr>
                <w:lang w:val="en-US"/>
              </w:rPr>
              <w:t>W</w:t>
            </w:r>
          </w:p>
        </w:tc>
        <w:tc>
          <w:tcPr>
            <w:tcW w:w="950" w:type="dxa"/>
          </w:tcPr>
          <w:p w:rsidR="00CE5B22" w:rsidRPr="00A1572A" w:rsidRDefault="00CE5B22" w:rsidP="000F6F99">
            <w:pPr>
              <w:pStyle w:val="Tabletext"/>
              <w:rPr>
                <w:lang w:val="en-US"/>
              </w:rPr>
            </w:pPr>
            <w:r w:rsidRPr="00A1572A">
              <w:rPr>
                <w:lang w:val="en-US"/>
              </w:rPr>
              <w:t>28.9</w:t>
            </w:r>
            <w:r>
              <w:rPr>
                <w:lang w:val="en-US"/>
              </w:rPr>
              <w:t xml:space="preserve"> dB</w:t>
            </w:r>
          </w:p>
        </w:tc>
        <w:tc>
          <w:tcPr>
            <w:tcW w:w="1139" w:type="dxa"/>
          </w:tcPr>
          <w:p w:rsidR="00CE5B22" w:rsidRPr="00A1572A" w:rsidRDefault="00CE5B22" w:rsidP="000F6F99">
            <w:pPr>
              <w:pStyle w:val="Tabletext"/>
              <w:rPr>
                <w:lang w:val="en-US"/>
              </w:rPr>
            </w:pPr>
            <w:r w:rsidRPr="00A1572A">
              <w:rPr>
                <w:lang w:val="en-US"/>
              </w:rPr>
              <w:t>43.9</w:t>
            </w:r>
            <w:r>
              <w:rPr>
                <w:lang w:val="en-US"/>
              </w:rPr>
              <w:t xml:space="preserve"> dB</w:t>
            </w:r>
            <w:r w:rsidRPr="00A1572A">
              <w:rPr>
                <w:lang w:val="en-US"/>
              </w:rPr>
              <w:t>W</w:t>
            </w:r>
          </w:p>
        </w:tc>
        <w:tc>
          <w:tcPr>
            <w:tcW w:w="1139" w:type="dxa"/>
          </w:tcPr>
          <w:p w:rsidR="00CE5B22" w:rsidRPr="00A1572A" w:rsidRDefault="00CE5B22" w:rsidP="000F6F99">
            <w:pPr>
              <w:pStyle w:val="Tabletext"/>
              <w:rPr>
                <w:lang w:val="en-US"/>
              </w:rPr>
            </w:pPr>
            <w:r>
              <w:rPr>
                <w:lang w:val="en-US"/>
              </w:rPr>
              <w:t>43.9 dB</w:t>
            </w:r>
            <w:r w:rsidRPr="00A1572A">
              <w:rPr>
                <w:lang w:val="en-US"/>
              </w:rPr>
              <w:t>W</w:t>
            </w:r>
          </w:p>
        </w:tc>
        <w:tc>
          <w:tcPr>
            <w:tcW w:w="1066" w:type="dxa"/>
          </w:tcPr>
          <w:p w:rsidR="00CE5B22" w:rsidRPr="00A1572A" w:rsidRDefault="00CE5B22" w:rsidP="000F6F99">
            <w:pPr>
              <w:pStyle w:val="Tabletext"/>
              <w:rPr>
                <w:lang w:val="en-US"/>
              </w:rPr>
            </w:pPr>
            <w:r w:rsidRPr="00A1572A">
              <w:rPr>
                <w:lang w:val="en-US"/>
              </w:rPr>
              <w:t>0.3</w:t>
            </w:r>
          </w:p>
        </w:tc>
      </w:tr>
    </w:tbl>
    <w:p w:rsidR="00CE5B22" w:rsidRPr="008F676A" w:rsidRDefault="00CE5B22" w:rsidP="000F6F99">
      <w:pPr>
        <w:pStyle w:val="Heading2"/>
        <w:rPr>
          <w:lang w:val="en-US"/>
        </w:rPr>
      </w:pPr>
      <w:r>
        <w:rPr>
          <w:lang w:val="en-US"/>
        </w:rPr>
        <w:lastRenderedPageBreak/>
        <w:t>2.2</w:t>
      </w:r>
      <w:r>
        <w:rPr>
          <w:lang w:val="en-US"/>
        </w:rPr>
        <w:tab/>
      </w:r>
      <w:r w:rsidRPr="008F676A">
        <w:rPr>
          <w:lang w:val="en-US"/>
        </w:rPr>
        <w:t>Methodology for performing the coverage area of the BSS</w:t>
      </w:r>
    </w:p>
    <w:p w:rsidR="00CE5B22" w:rsidRPr="00CB5A76" w:rsidRDefault="00CE5B22" w:rsidP="000F6F99">
      <w:pPr>
        <w:rPr>
          <w:szCs w:val="24"/>
          <w:lang w:val="en-US"/>
        </w:rPr>
      </w:pPr>
      <w:r>
        <w:rPr>
          <w:szCs w:val="24"/>
          <w:lang w:val="en-US"/>
        </w:rPr>
        <w:t xml:space="preserve">Based on the technical characteristics of BSS satellite networks that were published in the BR IFIC and using the </w:t>
      </w:r>
      <w:r w:rsidRPr="00CB5A76">
        <w:rPr>
          <w:szCs w:val="24"/>
          <w:lang w:val="en-US"/>
        </w:rPr>
        <w:t>ITU-R Software GIMS</w:t>
      </w:r>
      <w:r>
        <w:rPr>
          <w:rStyle w:val="FootnoteReference"/>
          <w:szCs w:val="24"/>
          <w:lang w:val="en-US"/>
        </w:rPr>
        <w:footnoteReference w:id="3"/>
      </w:r>
      <w:r>
        <w:rPr>
          <w:szCs w:val="24"/>
          <w:lang w:val="en-US"/>
        </w:rPr>
        <w:t xml:space="preserve">, </w:t>
      </w:r>
      <w:r w:rsidRPr="00CB5A76">
        <w:rPr>
          <w:szCs w:val="24"/>
          <w:lang w:val="en-US"/>
        </w:rPr>
        <w:t xml:space="preserve">pfd values over </w:t>
      </w:r>
      <w:r>
        <w:rPr>
          <w:szCs w:val="24"/>
          <w:lang w:val="en-US"/>
        </w:rPr>
        <w:t xml:space="preserve">geographic areas </w:t>
      </w:r>
      <w:r w:rsidRPr="00CB5A76">
        <w:rPr>
          <w:szCs w:val="24"/>
          <w:lang w:val="en-US"/>
        </w:rPr>
        <w:t xml:space="preserve">of the Earth </w:t>
      </w:r>
      <w:r>
        <w:rPr>
          <w:szCs w:val="24"/>
          <w:lang w:val="en-US"/>
        </w:rPr>
        <w:t xml:space="preserve">have been derived </w:t>
      </w:r>
      <w:r w:rsidRPr="00CB5A76">
        <w:rPr>
          <w:szCs w:val="24"/>
          <w:lang w:val="en-US"/>
        </w:rPr>
        <w:t xml:space="preserve">for each satellite </w:t>
      </w:r>
      <w:r>
        <w:rPr>
          <w:szCs w:val="24"/>
          <w:lang w:val="en-US"/>
        </w:rPr>
        <w:t xml:space="preserve">network and </w:t>
      </w:r>
      <w:r w:rsidRPr="00CB5A76">
        <w:rPr>
          <w:szCs w:val="24"/>
          <w:lang w:val="en-US"/>
        </w:rPr>
        <w:t>beam.</w:t>
      </w:r>
    </w:p>
    <w:p w:rsidR="00CE5B22" w:rsidRDefault="00CE5B22" w:rsidP="000F6F99">
      <w:pPr>
        <w:rPr>
          <w:szCs w:val="24"/>
          <w:lang w:val="en-US"/>
        </w:rPr>
      </w:pPr>
      <w:r w:rsidRPr="00C60181">
        <w:rPr>
          <w:szCs w:val="24"/>
          <w:lang w:val="en-US"/>
        </w:rPr>
        <w:t xml:space="preserve">As an example, the following figure depicts the service area (left-hand side, </w:t>
      </w:r>
      <w:r w:rsidRPr="00AF4D16">
        <w:rPr>
          <w:szCs w:val="24"/>
          <w:lang w:val="en-US"/>
        </w:rPr>
        <w:t>bold orange curve)</w:t>
      </w:r>
      <w:r w:rsidRPr="00C60181">
        <w:rPr>
          <w:szCs w:val="24"/>
          <w:lang w:val="en-US"/>
        </w:rPr>
        <w:t xml:space="preserve"> and the coverage area (left side, </w:t>
      </w:r>
      <w:r w:rsidRPr="00AF4D16">
        <w:rPr>
          <w:szCs w:val="24"/>
          <w:lang w:val="en-US"/>
        </w:rPr>
        <w:t>red curve</w:t>
      </w:r>
      <w:r w:rsidRPr="00C60181">
        <w:rPr>
          <w:szCs w:val="24"/>
          <w:lang w:val="en-US"/>
        </w:rPr>
        <w:t>) of the CHINASAT-</w:t>
      </w:r>
      <w:r w:rsidRPr="00AF4D16">
        <w:rPr>
          <w:szCs w:val="24"/>
          <w:lang w:val="en-US"/>
        </w:rPr>
        <w:t xml:space="preserve">92.2E </w:t>
      </w:r>
      <w:r w:rsidRPr="00C60181">
        <w:rPr>
          <w:szCs w:val="24"/>
          <w:lang w:val="en-US"/>
        </w:rPr>
        <w:t xml:space="preserve">satellite network. </w:t>
      </w:r>
      <w:r>
        <w:rPr>
          <w:szCs w:val="24"/>
          <w:lang w:val="en-US"/>
        </w:rPr>
        <w:t xml:space="preserve">GIMS </w:t>
      </w:r>
      <w:r w:rsidRPr="00CB5A76">
        <w:rPr>
          <w:szCs w:val="24"/>
          <w:lang w:val="en-US"/>
        </w:rPr>
        <w:t>also enables to display the zone corresponding to a constant pfd value (right</w:t>
      </w:r>
      <w:r>
        <w:rPr>
          <w:szCs w:val="24"/>
          <w:lang w:val="en-US"/>
        </w:rPr>
        <w:t>-hand</w:t>
      </w:r>
      <w:r w:rsidRPr="00CB5A76">
        <w:rPr>
          <w:szCs w:val="24"/>
          <w:lang w:val="en-US"/>
        </w:rPr>
        <w:t xml:space="preserve"> sid</w:t>
      </w:r>
      <w:r>
        <w:rPr>
          <w:szCs w:val="24"/>
          <w:lang w:val="en-US"/>
        </w:rPr>
        <w:t xml:space="preserve">e, </w:t>
      </w:r>
      <w:r w:rsidRPr="00C60181">
        <w:rPr>
          <w:szCs w:val="24"/>
          <w:lang w:val="en-US"/>
        </w:rPr>
        <w:t>small red bold circle</w:t>
      </w:r>
      <w:r w:rsidRPr="00AF4D16">
        <w:rPr>
          <w:b/>
          <w:szCs w:val="24"/>
          <w:lang w:val="en-US"/>
        </w:rPr>
        <w:t xml:space="preserve"> </w:t>
      </w:r>
      <w:r>
        <w:rPr>
          <w:color w:val="000000" w:themeColor="text1"/>
          <w:szCs w:val="24"/>
          <w:lang w:val="en-US"/>
        </w:rPr>
        <w:t>corresponding to a pfd value of -113dBW/(m</w:t>
      </w:r>
      <w:r w:rsidRPr="00053093">
        <w:rPr>
          <w:color w:val="000000" w:themeColor="text1"/>
          <w:szCs w:val="24"/>
          <w:vertAlign w:val="superscript"/>
          <w:lang w:val="en-US"/>
        </w:rPr>
        <w:t>2</w:t>
      </w:r>
      <w:r>
        <w:rPr>
          <w:color w:val="000000" w:themeColor="text1"/>
          <w:szCs w:val="24"/>
          <w:lang w:val="en-US"/>
        </w:rPr>
        <w:t>.MHz)</w:t>
      </w:r>
      <w:r>
        <w:rPr>
          <w:szCs w:val="24"/>
          <w:lang w:val="en-US"/>
        </w:rPr>
        <w:t>).</w:t>
      </w:r>
    </w:p>
    <w:p w:rsidR="00CE5B22" w:rsidRDefault="00CE5B22" w:rsidP="000F6F99">
      <w:pPr>
        <w:pStyle w:val="FigureNo"/>
        <w:rPr>
          <w:lang w:val="en-US"/>
        </w:rPr>
      </w:pPr>
      <w:r>
        <w:rPr>
          <w:lang w:val="en-US"/>
        </w:rPr>
        <w:t>Figure 1</w:t>
      </w:r>
    </w:p>
    <w:p w:rsidR="00CE5B22" w:rsidRDefault="00CE5B22" w:rsidP="000F6F99">
      <w:pPr>
        <w:pStyle w:val="Figuretitle"/>
        <w:rPr>
          <w:rFonts w:hint="eastAsia"/>
          <w:lang w:val="en-US"/>
        </w:rPr>
      </w:pPr>
      <w:r>
        <w:rPr>
          <w:lang w:val="en-US"/>
        </w:rPr>
        <w:t xml:space="preserve">Examples of service area, coverage area </w:t>
      </w:r>
      <w:r w:rsidRPr="00CB5A76">
        <w:rPr>
          <w:lang w:val="en-US"/>
        </w:rPr>
        <w:t xml:space="preserve">constant pfd </w:t>
      </w:r>
      <w:r>
        <w:rPr>
          <w:lang w:val="en-US"/>
        </w:rPr>
        <w:t>area of a BSS satellite network</w:t>
      </w:r>
    </w:p>
    <w:p w:rsidR="00CE5B22" w:rsidRPr="009D7AB6" w:rsidRDefault="00CE5B22" w:rsidP="000F6F99">
      <w:pPr>
        <w:pStyle w:val="Figure"/>
        <w:rPr>
          <w:lang w:val="en-US"/>
        </w:rPr>
      </w:pPr>
      <w:r w:rsidRPr="005955F1">
        <w:rPr>
          <w:noProof/>
          <w:lang w:val="en-US" w:eastAsia="zh-CN"/>
        </w:rPr>
        <w:drawing>
          <wp:inline distT="0" distB="0" distL="0" distR="0" wp14:anchorId="5A50E1D3" wp14:editId="6BF44EBD">
            <wp:extent cx="5029200" cy="13023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0945" cy="1302780"/>
                    </a:xfrm>
                    <a:prstGeom prst="rect">
                      <a:avLst/>
                    </a:prstGeom>
                    <a:noFill/>
                    <a:ln>
                      <a:noFill/>
                    </a:ln>
                  </pic:spPr>
                </pic:pic>
              </a:graphicData>
            </a:graphic>
          </wp:inline>
        </w:drawing>
      </w:r>
    </w:p>
    <w:p w:rsidR="00CE5B22" w:rsidRDefault="00CE5B22" w:rsidP="000F6F99">
      <w:pPr>
        <w:pStyle w:val="Heading2"/>
        <w:rPr>
          <w:lang w:val="en-US"/>
        </w:rPr>
      </w:pPr>
    </w:p>
    <w:p w:rsidR="00CE5B22" w:rsidRPr="00D32CED" w:rsidRDefault="00CE5B22" w:rsidP="000F6F99">
      <w:pPr>
        <w:pStyle w:val="Heading2"/>
        <w:rPr>
          <w:lang w:val="en-US"/>
        </w:rPr>
      </w:pPr>
      <w:r>
        <w:rPr>
          <w:lang w:val="en-US"/>
        </w:rPr>
        <w:t>2.3</w:t>
      </w:r>
      <w:r>
        <w:rPr>
          <w:lang w:val="en-US"/>
        </w:rPr>
        <w:tab/>
      </w:r>
      <w:r w:rsidRPr="00D32CED">
        <w:rPr>
          <w:lang w:val="en-US"/>
        </w:rPr>
        <w:t xml:space="preserve">Results </w:t>
      </w:r>
    </w:p>
    <w:p w:rsidR="00CE5B22" w:rsidRDefault="00CE5B22" w:rsidP="000F6F99">
      <w:pPr>
        <w:rPr>
          <w:szCs w:val="24"/>
          <w:lang w:val="en-US"/>
        </w:rPr>
      </w:pPr>
      <w:r>
        <w:rPr>
          <w:szCs w:val="24"/>
          <w:lang w:val="en-US"/>
        </w:rPr>
        <w:t xml:space="preserve">Based on the previous assumptions, results of the analysis are provided in Table 3 below for the satellite networks that were listed in Table 1. </w:t>
      </w:r>
    </w:p>
    <w:p w:rsidR="00CE5B22" w:rsidRDefault="00CE5B22" w:rsidP="000F6F99">
      <w:pPr>
        <w:rPr>
          <w:szCs w:val="24"/>
          <w:lang w:val="en-US"/>
        </w:rPr>
      </w:pPr>
      <w:r>
        <w:rPr>
          <w:szCs w:val="24"/>
          <w:lang w:val="en-US"/>
        </w:rPr>
        <w:t xml:space="preserve">Recalling the </w:t>
      </w:r>
      <w:r w:rsidRPr="00AF4D16">
        <w:rPr>
          <w:szCs w:val="24"/>
          <w:lang w:val="en-US"/>
        </w:rPr>
        <w:t>pfd</w:t>
      </w:r>
      <w:r>
        <w:rPr>
          <w:szCs w:val="24"/>
          <w:lang w:val="en-US"/>
        </w:rPr>
        <w:t xml:space="preserve"> formula:  </w:t>
      </w:r>
      <m:oMath>
        <m:r>
          <w:rPr>
            <w:rFonts w:ascii="Cambria Math" w:hAnsi="Cambria Math"/>
            <w:szCs w:val="24"/>
            <w:lang w:val="en-US"/>
          </w:rPr>
          <m:t>pfd=EIRP+10</m:t>
        </m:r>
        <m:sSub>
          <m:sSubPr>
            <m:ctrlPr>
              <w:rPr>
                <w:rFonts w:ascii="Cambria Math" w:hAnsi="Cambria Math"/>
                <w:i/>
                <w:szCs w:val="24"/>
                <w:lang w:val="en-US"/>
              </w:rPr>
            </m:ctrlPr>
          </m:sSubPr>
          <m:e>
            <m:r>
              <w:rPr>
                <w:rFonts w:ascii="Cambria Math" w:hAnsi="Cambria Math"/>
                <w:szCs w:val="24"/>
                <w:lang w:val="en-US"/>
              </w:rPr>
              <m:t>log</m:t>
            </m:r>
          </m:e>
          <m:sub>
            <m:r>
              <w:rPr>
                <w:rFonts w:ascii="Cambria Math" w:hAnsi="Cambria Math"/>
                <w:szCs w:val="24"/>
                <w:lang w:val="en-US"/>
              </w:rPr>
              <m:t>10</m:t>
            </m:r>
          </m:sub>
        </m:sSub>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4π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lang w:val="en-US"/>
                      </w:rPr>
                      <m:t>2</m:t>
                    </m:r>
                  </m:sup>
                </m:sSup>
              </m:den>
            </m:f>
          </m:e>
        </m:d>
      </m:oMath>
      <w:r>
        <w:rPr>
          <w:szCs w:val="24"/>
          <w:lang w:val="en-US"/>
        </w:rPr>
        <w:t xml:space="preserve">, </w:t>
      </w:r>
      <w:r>
        <w:rPr>
          <w:rFonts w:eastAsiaTheme="minorEastAsia"/>
          <w:szCs w:val="24"/>
          <w:lang w:val="en-US"/>
        </w:rPr>
        <w:t xml:space="preserve">where d is the distance between the BSS satellite and the point of the Earth where the pfd is computed. </w:t>
      </w:r>
      <w:r>
        <w:rPr>
          <w:szCs w:val="24"/>
          <w:lang w:val="en-US"/>
        </w:rPr>
        <w:t xml:space="preserve">maximum </w:t>
      </w:r>
      <w:r w:rsidRPr="00AF4D16">
        <w:rPr>
          <w:szCs w:val="24"/>
          <w:lang w:val="en-US"/>
        </w:rPr>
        <w:t>pfd</w:t>
      </w:r>
      <w:r>
        <w:rPr>
          <w:szCs w:val="24"/>
          <w:lang w:val="en-US"/>
        </w:rPr>
        <w:t xml:space="preserve"> value within the service area and at its border is computed for each satellite and/or beam</w:t>
      </w:r>
      <w:r w:rsidRPr="00426404">
        <w:rPr>
          <w:szCs w:val="24"/>
          <w:lang w:val="en-US"/>
        </w:rPr>
        <w:t xml:space="preserve"> </w:t>
      </w:r>
      <w:r>
        <w:rPr>
          <w:szCs w:val="24"/>
          <w:lang w:val="en-US"/>
        </w:rPr>
        <w:t>(although there may be some different (EIRP</w:t>
      </w:r>
      <w:r w:rsidRPr="00846670">
        <w:rPr>
          <w:szCs w:val="24"/>
          <w:vertAlign w:val="subscript"/>
          <w:lang w:val="en-US"/>
        </w:rPr>
        <w:t>max</w:t>
      </w:r>
      <w:r>
        <w:rPr>
          <w:szCs w:val="24"/>
          <w:lang w:val="en-US"/>
        </w:rPr>
        <w:t xml:space="preserve">, B) combinations for the same beam in the BR IFIC special sections, only one value is retained for each beam in the following table and corresponds to the worst case of the highest power spectral density value). Note that the results may change with different beams of the same satellite network. </w:t>
      </w:r>
    </w:p>
    <w:p w:rsidR="00CE5B22" w:rsidRDefault="00CE5B22" w:rsidP="000F6F99">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CE5B22" w:rsidRDefault="00CE5B22" w:rsidP="000F6F99">
      <w:pPr>
        <w:pStyle w:val="TableNo"/>
        <w:rPr>
          <w:lang w:val="en-US"/>
        </w:rPr>
      </w:pPr>
      <w:r>
        <w:rPr>
          <w:lang w:val="en-US"/>
        </w:rPr>
        <w:lastRenderedPageBreak/>
        <w:t>Table 3</w:t>
      </w:r>
    </w:p>
    <w:p w:rsidR="00CE5B22" w:rsidRPr="007E28D0" w:rsidRDefault="00CE5B22" w:rsidP="000F6F99">
      <w:pPr>
        <w:pStyle w:val="Tabletitle"/>
        <w:rPr>
          <w:rFonts w:eastAsiaTheme="minorEastAsia" w:hint="eastAsia"/>
          <w:lang w:val="en-US"/>
        </w:rPr>
      </w:pPr>
      <w:r>
        <w:rPr>
          <w:lang w:val="en-US"/>
        </w:rPr>
        <w:t>pfd values within and outside service areas of BSS satellite networks in the band 1452-1492 MHz</w:t>
      </w:r>
    </w:p>
    <w:tbl>
      <w:tblPr>
        <w:tblStyle w:val="TableGrid"/>
        <w:tblW w:w="0" w:type="auto"/>
        <w:jc w:val="center"/>
        <w:tblLayout w:type="fixed"/>
        <w:tblLook w:val="04A0" w:firstRow="1" w:lastRow="0" w:firstColumn="1" w:lastColumn="0" w:noHBand="0" w:noVBand="1"/>
      </w:tblPr>
      <w:tblGrid>
        <w:gridCol w:w="2611"/>
        <w:gridCol w:w="1272"/>
        <w:gridCol w:w="1161"/>
        <w:gridCol w:w="1861"/>
        <w:gridCol w:w="2415"/>
      </w:tblGrid>
      <w:tr w:rsidR="00CE5B22" w:rsidRPr="00154501" w:rsidTr="001C689E">
        <w:trPr>
          <w:jc w:val="center"/>
        </w:trPr>
        <w:tc>
          <w:tcPr>
            <w:tcW w:w="2611" w:type="dxa"/>
          </w:tcPr>
          <w:p w:rsidR="00CE5B22" w:rsidRPr="00780A3F" w:rsidRDefault="00CE5B22" w:rsidP="000F6F99">
            <w:pPr>
              <w:pStyle w:val="Tablehead"/>
              <w:rPr>
                <w:lang w:val="en-US"/>
              </w:rPr>
            </w:pPr>
            <w:r w:rsidRPr="00780A3F">
              <w:rPr>
                <w:lang w:val="en-US"/>
              </w:rPr>
              <w:t>Sat</w:t>
            </w:r>
            <w:r>
              <w:rPr>
                <w:lang w:val="en-US"/>
              </w:rPr>
              <w:t>ellite and</w:t>
            </w:r>
            <w:r w:rsidRPr="00780A3F">
              <w:rPr>
                <w:lang w:val="en-US"/>
              </w:rPr>
              <w:t>/</w:t>
            </w:r>
            <w:r>
              <w:rPr>
                <w:lang w:val="en-US"/>
              </w:rPr>
              <w:t xml:space="preserve">or </w:t>
            </w:r>
            <w:r w:rsidRPr="00780A3F">
              <w:rPr>
                <w:lang w:val="en-US"/>
              </w:rPr>
              <w:t>Beam Name</w:t>
            </w:r>
          </w:p>
        </w:tc>
        <w:tc>
          <w:tcPr>
            <w:tcW w:w="1272" w:type="dxa"/>
          </w:tcPr>
          <w:p w:rsidR="00CE5B22" w:rsidRPr="00844866" w:rsidRDefault="00CE5B22" w:rsidP="000F6F99">
            <w:pPr>
              <w:pStyle w:val="Tablehead"/>
              <w:rPr>
                <w:lang w:val="en-US"/>
              </w:rPr>
            </w:pPr>
            <w:r w:rsidRPr="00844866">
              <w:rPr>
                <w:lang w:val="en-US"/>
              </w:rPr>
              <w:t>EIRP</w:t>
            </w:r>
            <w:r w:rsidRPr="00844866">
              <w:rPr>
                <w:vertAlign w:val="subscript"/>
                <w:lang w:val="en-US"/>
              </w:rPr>
              <w:t>max</w:t>
            </w:r>
          </w:p>
        </w:tc>
        <w:tc>
          <w:tcPr>
            <w:tcW w:w="1161" w:type="dxa"/>
          </w:tcPr>
          <w:p w:rsidR="00CE5B22" w:rsidRPr="001807E1" w:rsidRDefault="00CE5B22" w:rsidP="000F6F99">
            <w:pPr>
              <w:pStyle w:val="Tablehead"/>
              <w:rPr>
                <w:lang w:val="en-US"/>
              </w:rPr>
            </w:pPr>
            <w:r w:rsidRPr="001807E1">
              <w:rPr>
                <w:lang w:val="en-US"/>
              </w:rPr>
              <w:t>B</w:t>
            </w:r>
            <w:r>
              <w:rPr>
                <w:lang w:val="en-US"/>
              </w:rPr>
              <w:t>andwidth</w:t>
            </w:r>
          </w:p>
          <w:p w:rsidR="00CE5B22" w:rsidRDefault="00CE5B22" w:rsidP="000F6F99">
            <w:pPr>
              <w:pStyle w:val="Tablehead"/>
              <w:rPr>
                <w:sz w:val="32"/>
                <w:szCs w:val="32"/>
                <w:lang w:val="en-US"/>
              </w:rPr>
            </w:pPr>
            <w:r>
              <w:rPr>
                <w:lang w:val="en-US"/>
              </w:rPr>
              <w:t>(</w:t>
            </w:r>
            <w:r w:rsidRPr="001807E1">
              <w:rPr>
                <w:lang w:val="en-US"/>
              </w:rPr>
              <w:t>MHz</w:t>
            </w:r>
            <w:r>
              <w:rPr>
                <w:lang w:val="en-US"/>
              </w:rPr>
              <w:t>)</w:t>
            </w:r>
          </w:p>
        </w:tc>
        <w:tc>
          <w:tcPr>
            <w:tcW w:w="1861" w:type="dxa"/>
          </w:tcPr>
          <w:p w:rsidR="00CE5B22" w:rsidRPr="00110E83" w:rsidRDefault="00CE5B22" w:rsidP="000F6F99">
            <w:pPr>
              <w:pStyle w:val="Tablehead"/>
              <w:rPr>
                <w:lang w:val="en-US"/>
              </w:rPr>
            </w:pPr>
            <w:r>
              <w:rPr>
                <w:lang w:val="en-US"/>
              </w:rPr>
              <w:t>Max. pfd within the service area (dBW/(m².MHz))</w:t>
            </w:r>
          </w:p>
        </w:tc>
        <w:tc>
          <w:tcPr>
            <w:tcW w:w="2415" w:type="dxa"/>
          </w:tcPr>
          <w:p w:rsidR="00CE5B22" w:rsidRPr="00A92AD7" w:rsidRDefault="00CE5B22" w:rsidP="000F6F99">
            <w:pPr>
              <w:pStyle w:val="Tablehead"/>
              <w:rPr>
                <w:lang w:val="en-US"/>
              </w:rPr>
            </w:pPr>
            <w:r>
              <w:rPr>
                <w:lang w:val="en-US"/>
              </w:rPr>
              <w:t xml:space="preserve">Max. Pfd at the border of the service area (dBW/(m².MHz)) </w:t>
            </w:r>
          </w:p>
        </w:tc>
      </w:tr>
      <w:tr w:rsidR="00CE5B22" w:rsidRPr="00BF47C2" w:rsidTr="001C689E">
        <w:trPr>
          <w:jc w:val="center"/>
        </w:trPr>
        <w:tc>
          <w:tcPr>
            <w:tcW w:w="2611" w:type="dxa"/>
          </w:tcPr>
          <w:p w:rsidR="00CE5B22" w:rsidRPr="008D5C95" w:rsidRDefault="00CE5B22" w:rsidP="000F6F99">
            <w:pPr>
              <w:pStyle w:val="Tabletext"/>
              <w:rPr>
                <w:lang w:val="en-US"/>
              </w:rPr>
            </w:pPr>
            <w:r w:rsidRPr="008D5C95">
              <w:rPr>
                <w:lang w:val="en-US"/>
              </w:rPr>
              <w:t>AD AFRIBSS</w:t>
            </w:r>
          </w:p>
        </w:tc>
        <w:tc>
          <w:tcPr>
            <w:tcW w:w="1272" w:type="dxa"/>
          </w:tcPr>
          <w:p w:rsidR="00CE5B22" w:rsidRPr="00954699" w:rsidRDefault="00CE5B22" w:rsidP="000F6F99">
            <w:pPr>
              <w:pStyle w:val="Tabletext"/>
              <w:rPr>
                <w:lang w:val="en-US"/>
              </w:rPr>
            </w:pPr>
            <w:r>
              <w:rPr>
                <w:lang w:val="en-US"/>
              </w:rPr>
              <w:t>52.8 dBW</w:t>
            </w:r>
          </w:p>
        </w:tc>
        <w:tc>
          <w:tcPr>
            <w:tcW w:w="1161" w:type="dxa"/>
          </w:tcPr>
          <w:p w:rsidR="00CE5B22" w:rsidRPr="00954699" w:rsidRDefault="00CE5B22" w:rsidP="000F6F99">
            <w:pPr>
              <w:pStyle w:val="Tabletext"/>
              <w:rPr>
                <w:lang w:val="en-US"/>
              </w:rPr>
            </w:pPr>
            <w:r>
              <w:rPr>
                <w:lang w:val="en-US"/>
              </w:rPr>
              <w:t>3</w:t>
            </w:r>
          </w:p>
        </w:tc>
        <w:tc>
          <w:tcPr>
            <w:tcW w:w="1861" w:type="dxa"/>
          </w:tcPr>
          <w:p w:rsidR="00CE5B22" w:rsidRPr="00954699" w:rsidRDefault="00CE5B22" w:rsidP="000F6F99">
            <w:pPr>
              <w:pStyle w:val="Tabletext"/>
              <w:rPr>
                <w:lang w:val="en-US"/>
              </w:rPr>
            </w:pPr>
            <w:r>
              <w:rPr>
                <w:lang w:val="en-US"/>
              </w:rPr>
              <w:t>&lt;-113</w:t>
            </w:r>
          </w:p>
        </w:tc>
        <w:tc>
          <w:tcPr>
            <w:tcW w:w="2415" w:type="dxa"/>
          </w:tcPr>
          <w:p w:rsidR="00CE5B22" w:rsidRPr="00954699" w:rsidRDefault="00CE5B22" w:rsidP="000F6F99">
            <w:pPr>
              <w:pStyle w:val="Tabletext"/>
              <w:rPr>
                <w:lang w:val="en-US"/>
              </w:rPr>
            </w:pPr>
            <w:r>
              <w:rPr>
                <w:lang w:val="en-US"/>
              </w:rPr>
              <w:t>&lt;-113</w:t>
            </w:r>
          </w:p>
        </w:tc>
      </w:tr>
      <w:tr w:rsidR="00CE5B22" w:rsidRPr="00BF47C2" w:rsidTr="001C689E">
        <w:trPr>
          <w:jc w:val="center"/>
        </w:trPr>
        <w:tc>
          <w:tcPr>
            <w:tcW w:w="2611" w:type="dxa"/>
          </w:tcPr>
          <w:p w:rsidR="00CE5B22" w:rsidRPr="008D5C95" w:rsidRDefault="00CE5B22" w:rsidP="000F6F99">
            <w:pPr>
              <w:pStyle w:val="Tabletext"/>
              <w:rPr>
                <w:lang w:val="en-US"/>
              </w:rPr>
            </w:pPr>
            <w:r w:rsidRPr="008D5C95">
              <w:rPr>
                <w:lang w:val="en-US"/>
              </w:rPr>
              <w:t>BD AFRIBSS</w:t>
            </w:r>
          </w:p>
        </w:tc>
        <w:tc>
          <w:tcPr>
            <w:tcW w:w="1272" w:type="dxa"/>
          </w:tcPr>
          <w:p w:rsidR="00CE5B22" w:rsidRPr="00954699" w:rsidRDefault="00CE5B22" w:rsidP="000F6F99">
            <w:pPr>
              <w:pStyle w:val="Tabletext"/>
              <w:rPr>
                <w:lang w:val="en-US"/>
              </w:rPr>
            </w:pPr>
            <w:r>
              <w:rPr>
                <w:lang w:val="en-US"/>
              </w:rPr>
              <w:t>53.5 dBW</w:t>
            </w:r>
          </w:p>
        </w:tc>
        <w:tc>
          <w:tcPr>
            <w:tcW w:w="1161" w:type="dxa"/>
          </w:tcPr>
          <w:p w:rsidR="00CE5B22" w:rsidRPr="00954699" w:rsidRDefault="00CE5B22" w:rsidP="000F6F99">
            <w:pPr>
              <w:pStyle w:val="Tabletext"/>
              <w:rPr>
                <w:lang w:val="en-US"/>
              </w:rPr>
            </w:pPr>
            <w:r>
              <w:rPr>
                <w:lang w:val="en-US"/>
              </w:rPr>
              <w:t>3</w:t>
            </w:r>
          </w:p>
        </w:tc>
        <w:tc>
          <w:tcPr>
            <w:tcW w:w="1861" w:type="dxa"/>
          </w:tcPr>
          <w:p w:rsidR="00CE5B22" w:rsidRPr="00954699" w:rsidRDefault="00CE5B22" w:rsidP="000F6F99">
            <w:pPr>
              <w:pStyle w:val="Tabletext"/>
              <w:rPr>
                <w:lang w:val="en-US"/>
              </w:rPr>
            </w:pPr>
            <w:r>
              <w:rPr>
                <w:lang w:val="en-US"/>
              </w:rPr>
              <w:t>&lt;-113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CD AFRIBSS</w:t>
            </w:r>
          </w:p>
        </w:tc>
        <w:tc>
          <w:tcPr>
            <w:tcW w:w="1272" w:type="dxa"/>
          </w:tcPr>
          <w:p w:rsidR="00CE5B22" w:rsidRPr="00954699" w:rsidRDefault="00CE5B22" w:rsidP="000F6F99">
            <w:pPr>
              <w:pStyle w:val="Tabletext"/>
              <w:rPr>
                <w:lang w:val="en-US"/>
              </w:rPr>
            </w:pPr>
            <w:r>
              <w:rPr>
                <w:lang w:val="en-US"/>
              </w:rPr>
              <w:t>52.8 dBW</w:t>
            </w:r>
          </w:p>
        </w:tc>
        <w:tc>
          <w:tcPr>
            <w:tcW w:w="1161" w:type="dxa"/>
          </w:tcPr>
          <w:p w:rsidR="00CE5B22" w:rsidRPr="00954699" w:rsidRDefault="00CE5B22" w:rsidP="000F6F99">
            <w:pPr>
              <w:pStyle w:val="Tabletext"/>
              <w:rPr>
                <w:lang w:val="en-US"/>
              </w:rPr>
            </w:pPr>
            <w:r>
              <w:rPr>
                <w:lang w:val="en-US"/>
              </w:rPr>
              <w:t>3</w:t>
            </w:r>
          </w:p>
        </w:tc>
        <w:tc>
          <w:tcPr>
            <w:tcW w:w="1861" w:type="dxa"/>
          </w:tcPr>
          <w:p w:rsidR="00CE5B22" w:rsidRPr="00954699" w:rsidRDefault="00CE5B22" w:rsidP="000F6F99">
            <w:pPr>
              <w:pStyle w:val="Tabletext"/>
              <w:rPr>
                <w:lang w:val="en-US"/>
              </w:rPr>
            </w:pPr>
            <w:r>
              <w:rPr>
                <w:lang w:val="en-US"/>
              </w:rPr>
              <w:t>&lt;-113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AD2 AFRIBSS</w:t>
            </w:r>
          </w:p>
        </w:tc>
        <w:tc>
          <w:tcPr>
            <w:tcW w:w="1272" w:type="dxa"/>
          </w:tcPr>
          <w:p w:rsidR="00CE5B22" w:rsidRPr="00954699" w:rsidRDefault="00CE5B22" w:rsidP="000F6F99">
            <w:pPr>
              <w:pStyle w:val="Tabletext"/>
              <w:rPr>
                <w:lang w:val="en-US"/>
              </w:rPr>
            </w:pPr>
            <w:r>
              <w:rPr>
                <w:lang w:val="en-US"/>
              </w:rPr>
              <w:t>53.8 dBW</w:t>
            </w:r>
          </w:p>
        </w:tc>
        <w:tc>
          <w:tcPr>
            <w:tcW w:w="1161" w:type="dxa"/>
          </w:tcPr>
          <w:p w:rsidR="00CE5B22" w:rsidRPr="00954699"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BD2 AFRIBSS</w:t>
            </w:r>
          </w:p>
        </w:tc>
        <w:tc>
          <w:tcPr>
            <w:tcW w:w="1272" w:type="dxa"/>
          </w:tcPr>
          <w:p w:rsidR="00CE5B22" w:rsidRPr="00954699" w:rsidRDefault="00CE5B22" w:rsidP="000F6F99">
            <w:pPr>
              <w:pStyle w:val="Tabletext"/>
              <w:rPr>
                <w:lang w:val="en-US"/>
              </w:rPr>
            </w:pPr>
            <w:r>
              <w:rPr>
                <w:lang w:val="en-US"/>
              </w:rPr>
              <w:t>54.3 dBW</w:t>
            </w:r>
          </w:p>
        </w:tc>
        <w:tc>
          <w:tcPr>
            <w:tcW w:w="1161" w:type="dxa"/>
          </w:tcPr>
          <w:p w:rsidR="00CE5B22" w:rsidRPr="00954699"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CD2 AFRIBSS</w:t>
            </w:r>
          </w:p>
        </w:tc>
        <w:tc>
          <w:tcPr>
            <w:tcW w:w="1272" w:type="dxa"/>
          </w:tcPr>
          <w:p w:rsidR="00CE5B22" w:rsidRPr="00954699" w:rsidRDefault="00CE5B22" w:rsidP="000F6F99">
            <w:pPr>
              <w:pStyle w:val="Tabletext"/>
              <w:rPr>
                <w:lang w:val="en-US"/>
              </w:rPr>
            </w:pPr>
            <w:r>
              <w:rPr>
                <w:lang w:val="en-US"/>
              </w:rPr>
              <w:t>53.8 dBW</w:t>
            </w:r>
          </w:p>
        </w:tc>
        <w:tc>
          <w:tcPr>
            <w:tcW w:w="1161" w:type="dxa"/>
          </w:tcPr>
          <w:p w:rsidR="00CE5B22" w:rsidRPr="00954699"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AD ASIABSS</w:t>
            </w:r>
          </w:p>
        </w:tc>
        <w:tc>
          <w:tcPr>
            <w:tcW w:w="1272" w:type="dxa"/>
          </w:tcPr>
          <w:p w:rsidR="00CE5B22" w:rsidRPr="00954699" w:rsidRDefault="00CE5B22" w:rsidP="000F6F99">
            <w:pPr>
              <w:pStyle w:val="Tabletext"/>
              <w:rPr>
                <w:lang w:val="en-US"/>
              </w:rPr>
            </w:pPr>
            <w:r>
              <w:rPr>
                <w:lang w:val="en-US"/>
              </w:rPr>
              <w:t>53.8 dBW</w:t>
            </w:r>
          </w:p>
        </w:tc>
        <w:tc>
          <w:tcPr>
            <w:tcW w:w="1161" w:type="dxa"/>
          </w:tcPr>
          <w:p w:rsidR="00CE5B22" w:rsidRPr="00954699"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BD ASIABSS</w:t>
            </w:r>
          </w:p>
        </w:tc>
        <w:tc>
          <w:tcPr>
            <w:tcW w:w="1272" w:type="dxa"/>
          </w:tcPr>
          <w:p w:rsidR="00CE5B22" w:rsidRPr="00954699" w:rsidRDefault="00CE5B22" w:rsidP="000F6F99">
            <w:pPr>
              <w:pStyle w:val="Tabletext"/>
              <w:rPr>
                <w:lang w:val="en-US"/>
              </w:rPr>
            </w:pPr>
            <w:r>
              <w:rPr>
                <w:lang w:val="en-US"/>
              </w:rPr>
              <w:t>54.3 dBW</w:t>
            </w:r>
          </w:p>
        </w:tc>
        <w:tc>
          <w:tcPr>
            <w:tcW w:w="1161" w:type="dxa"/>
          </w:tcPr>
          <w:p w:rsidR="00CE5B22" w:rsidRPr="00954699"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CD ASIABSS</w:t>
            </w:r>
          </w:p>
        </w:tc>
        <w:tc>
          <w:tcPr>
            <w:tcW w:w="1272" w:type="dxa"/>
          </w:tcPr>
          <w:p w:rsidR="00CE5B22" w:rsidRPr="00954699" w:rsidRDefault="00CE5B22" w:rsidP="000F6F99">
            <w:pPr>
              <w:pStyle w:val="Tabletext"/>
              <w:rPr>
                <w:lang w:val="en-US"/>
              </w:rPr>
            </w:pPr>
            <w:r>
              <w:rPr>
                <w:lang w:val="en-US"/>
              </w:rPr>
              <w:t>53.8 dBW</w:t>
            </w:r>
          </w:p>
        </w:tc>
        <w:tc>
          <w:tcPr>
            <w:tcW w:w="1161" w:type="dxa"/>
          </w:tcPr>
          <w:p w:rsidR="00CE5B22" w:rsidRPr="00954699"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LDCN CHINASAT</w:t>
            </w:r>
            <w:r>
              <w:rPr>
                <w:lang w:val="en-US"/>
              </w:rPr>
              <w:t>-92.2E</w:t>
            </w:r>
          </w:p>
        </w:tc>
        <w:tc>
          <w:tcPr>
            <w:tcW w:w="1272" w:type="dxa"/>
          </w:tcPr>
          <w:p w:rsidR="00CE5B22" w:rsidRPr="00954699" w:rsidRDefault="00CE5B22" w:rsidP="000F6F99">
            <w:pPr>
              <w:pStyle w:val="Tabletext"/>
              <w:rPr>
                <w:lang w:val="en-US"/>
              </w:rPr>
            </w:pPr>
            <w:r>
              <w:rPr>
                <w:lang w:val="en-US"/>
              </w:rPr>
              <w:t>54 dBW</w:t>
            </w:r>
          </w:p>
        </w:tc>
        <w:tc>
          <w:tcPr>
            <w:tcW w:w="1161" w:type="dxa"/>
          </w:tcPr>
          <w:p w:rsidR="00CE5B22" w:rsidRPr="00954699"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tcPr>
          <w:p w:rsidR="00CE5B22" w:rsidRPr="00954699" w:rsidRDefault="00CE5B22" w:rsidP="000F6F99">
            <w:pPr>
              <w:pStyle w:val="Tabletext"/>
              <w:rPr>
                <w:lang w:val="en-US"/>
              </w:rPr>
            </w:pPr>
            <w:r>
              <w:rPr>
                <w:lang w:val="en-US"/>
              </w:rPr>
              <w:t>&lt;-113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CHINASAT</w:t>
            </w:r>
            <w:r>
              <w:rPr>
                <w:lang w:val="en-US"/>
              </w:rPr>
              <w:t xml:space="preserve"> (Coordination </w:t>
            </w:r>
            <w:r>
              <w:rPr>
                <w:lang w:val="en-US"/>
              </w:rPr>
              <w:br/>
              <w:t>requests)</w:t>
            </w:r>
          </w:p>
        </w:tc>
        <w:tc>
          <w:tcPr>
            <w:tcW w:w="1272" w:type="dxa"/>
          </w:tcPr>
          <w:p w:rsidR="00CE5B22" w:rsidRDefault="00CE5B22" w:rsidP="000F6F99">
            <w:pPr>
              <w:pStyle w:val="Tabletext"/>
              <w:rPr>
                <w:lang w:val="en-US"/>
              </w:rPr>
            </w:pPr>
            <w:r>
              <w:rPr>
                <w:lang w:val="en-US"/>
              </w:rPr>
              <w:t>68.8 dBW</w:t>
            </w:r>
          </w:p>
        </w:tc>
        <w:tc>
          <w:tcPr>
            <w:tcW w:w="1161" w:type="dxa"/>
          </w:tcPr>
          <w:p w:rsidR="00CE5B22"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shd w:val="clear" w:color="auto" w:fill="FF0000"/>
          </w:tcPr>
          <w:p w:rsidR="00CE5B22" w:rsidRDefault="00CE5B22" w:rsidP="000F6F99">
            <w:pPr>
              <w:pStyle w:val="Tabletext"/>
              <w:rPr>
                <w:lang w:val="en-US"/>
              </w:rPr>
            </w:pPr>
            <w:r w:rsidRPr="0050117A">
              <w:rPr>
                <w:highlight w:val="red"/>
                <w:lang w:val="en-US"/>
              </w:rPr>
              <w:t>&gt;-113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 xml:space="preserve">EL1 DFH-3-OC </w:t>
            </w:r>
          </w:p>
        </w:tc>
        <w:tc>
          <w:tcPr>
            <w:tcW w:w="1272" w:type="dxa"/>
          </w:tcPr>
          <w:p w:rsidR="00CE5B22" w:rsidRPr="00954699" w:rsidRDefault="00CE5B22" w:rsidP="000F6F99">
            <w:pPr>
              <w:pStyle w:val="Tabletext"/>
              <w:rPr>
                <w:lang w:val="en-US"/>
              </w:rPr>
            </w:pPr>
            <w:r>
              <w:rPr>
                <w:lang w:val="en-US"/>
              </w:rPr>
              <w:t>58.9 dBW</w:t>
            </w:r>
          </w:p>
        </w:tc>
        <w:tc>
          <w:tcPr>
            <w:tcW w:w="1161" w:type="dxa"/>
          </w:tcPr>
          <w:p w:rsidR="00CE5B22" w:rsidRPr="00954699" w:rsidRDefault="00CE5B22" w:rsidP="000F6F99">
            <w:pPr>
              <w:pStyle w:val="Tabletext"/>
              <w:rPr>
                <w:lang w:val="en-US"/>
              </w:rPr>
            </w:pPr>
            <w:r>
              <w:rPr>
                <w:lang w:val="en-US"/>
              </w:rPr>
              <w:t>2.6</w:t>
            </w:r>
          </w:p>
        </w:tc>
        <w:tc>
          <w:tcPr>
            <w:tcW w:w="1861" w:type="dxa"/>
          </w:tcPr>
          <w:p w:rsidR="00CE5B22" w:rsidRPr="00912BC0" w:rsidRDefault="00CE5B22" w:rsidP="000F6F99">
            <w:pPr>
              <w:pStyle w:val="Tabletext"/>
              <w:rPr>
                <w:lang w:val="en-US"/>
              </w:rPr>
            </w:pPr>
            <w:r w:rsidRPr="00912BC0">
              <w:rPr>
                <w:lang w:val="en-US"/>
              </w:rPr>
              <w:t>&lt;-1</w:t>
            </w:r>
            <w:r>
              <w:rPr>
                <w:lang w:val="en-US"/>
              </w:rPr>
              <w:t>13</w:t>
            </w:r>
          </w:p>
        </w:tc>
        <w:tc>
          <w:tcPr>
            <w:tcW w:w="2415" w:type="dxa"/>
          </w:tcPr>
          <w:p w:rsidR="00CE5B22" w:rsidRPr="00912BC0" w:rsidRDefault="00CE5B22" w:rsidP="000F6F99">
            <w:pPr>
              <w:pStyle w:val="Tabletext"/>
              <w:rPr>
                <w:lang w:val="en-US"/>
              </w:rPr>
            </w:pPr>
            <w:r w:rsidRPr="00912BC0">
              <w:rPr>
                <w:lang w:val="en-US"/>
              </w:rPr>
              <w:t>&lt;-1</w:t>
            </w:r>
            <w:r>
              <w:rPr>
                <w:lang w:val="en-US"/>
              </w:rPr>
              <w:t>13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LEBR SADKO</w:t>
            </w:r>
            <w:r>
              <w:rPr>
                <w:lang w:val="en-US"/>
              </w:rPr>
              <w:t>-1</w:t>
            </w:r>
          </w:p>
        </w:tc>
        <w:tc>
          <w:tcPr>
            <w:tcW w:w="1272" w:type="dxa"/>
          </w:tcPr>
          <w:p w:rsidR="00CE5B22" w:rsidRPr="00954699" w:rsidRDefault="00CE5B22" w:rsidP="000F6F99">
            <w:pPr>
              <w:pStyle w:val="Tabletext"/>
              <w:rPr>
                <w:lang w:val="en-US"/>
              </w:rPr>
            </w:pPr>
            <w:r>
              <w:rPr>
                <w:lang w:val="en-US"/>
              </w:rPr>
              <w:t>59 dBW</w:t>
            </w:r>
          </w:p>
        </w:tc>
        <w:tc>
          <w:tcPr>
            <w:tcW w:w="1161" w:type="dxa"/>
          </w:tcPr>
          <w:p w:rsidR="00CE5B22" w:rsidRPr="00954699" w:rsidRDefault="00CE5B22" w:rsidP="000F6F99">
            <w:pPr>
              <w:pStyle w:val="Tabletext"/>
              <w:rPr>
                <w:lang w:val="en-US"/>
              </w:rPr>
            </w:pPr>
            <w:r>
              <w:rPr>
                <w:lang w:val="en-US"/>
              </w:rPr>
              <w:t>1.35</w:t>
            </w:r>
          </w:p>
        </w:tc>
        <w:tc>
          <w:tcPr>
            <w:tcW w:w="1861" w:type="dxa"/>
          </w:tcPr>
          <w:p w:rsidR="00CE5B22" w:rsidRPr="00954699" w:rsidRDefault="00CE5B22" w:rsidP="000F6F99">
            <w:pPr>
              <w:pStyle w:val="Tabletext"/>
              <w:rPr>
                <w:lang w:val="en-US"/>
              </w:rPr>
            </w:pPr>
            <w:r>
              <w:rPr>
                <w:lang w:val="en-US"/>
              </w:rPr>
              <w:t>&gt;-113</w:t>
            </w:r>
          </w:p>
        </w:tc>
        <w:tc>
          <w:tcPr>
            <w:tcW w:w="2415" w:type="dxa"/>
            <w:shd w:val="clear" w:color="auto" w:fill="FF0000"/>
          </w:tcPr>
          <w:p w:rsidR="00CE5B22" w:rsidRPr="00954699" w:rsidRDefault="00CE5B22" w:rsidP="000F6F99">
            <w:pPr>
              <w:pStyle w:val="Tabletext"/>
              <w:rPr>
                <w:lang w:val="en-US"/>
              </w:rPr>
            </w:pPr>
            <w:r>
              <w:rPr>
                <w:lang w:val="en-US"/>
              </w:rPr>
              <w:t>&gt;-</w:t>
            </w:r>
            <w:r w:rsidRPr="00A66C72">
              <w:rPr>
                <w:color w:val="000000" w:themeColor="text1"/>
                <w:lang w:val="en-US"/>
              </w:rPr>
              <w:t>11</w:t>
            </w:r>
            <w:r>
              <w:rPr>
                <w:color w:val="000000" w:themeColor="text1"/>
                <w:lang w:val="en-US"/>
              </w:rPr>
              <w:t>3</w:t>
            </w:r>
          </w:p>
        </w:tc>
      </w:tr>
      <w:tr w:rsidR="00CE5B22" w:rsidTr="001C689E">
        <w:trPr>
          <w:jc w:val="center"/>
        </w:trPr>
        <w:tc>
          <w:tcPr>
            <w:tcW w:w="2611" w:type="dxa"/>
          </w:tcPr>
          <w:p w:rsidR="00CE5B22" w:rsidRPr="008D5C95" w:rsidRDefault="00CE5B22" w:rsidP="000F6F99">
            <w:pPr>
              <w:pStyle w:val="Tabletext"/>
              <w:rPr>
                <w:lang w:val="en-US"/>
              </w:rPr>
            </w:pPr>
            <w:r w:rsidRPr="008D5C95">
              <w:rPr>
                <w:lang w:val="en-US"/>
              </w:rPr>
              <w:t>LBN INDOSTAR</w:t>
            </w:r>
          </w:p>
        </w:tc>
        <w:tc>
          <w:tcPr>
            <w:tcW w:w="1272" w:type="dxa"/>
          </w:tcPr>
          <w:p w:rsidR="00CE5B22" w:rsidRPr="00954699" w:rsidRDefault="00CE5B22" w:rsidP="000F6F99">
            <w:pPr>
              <w:pStyle w:val="Tabletext"/>
              <w:rPr>
                <w:lang w:val="en-US"/>
              </w:rPr>
            </w:pPr>
            <w:r>
              <w:rPr>
                <w:lang w:val="en-US"/>
              </w:rPr>
              <w:t>43.9 dBW</w:t>
            </w:r>
          </w:p>
        </w:tc>
        <w:tc>
          <w:tcPr>
            <w:tcW w:w="1161" w:type="dxa"/>
          </w:tcPr>
          <w:p w:rsidR="00CE5B22" w:rsidRPr="00954699" w:rsidRDefault="00CE5B22" w:rsidP="000F6F99">
            <w:pPr>
              <w:pStyle w:val="Tabletext"/>
              <w:rPr>
                <w:lang w:val="en-US"/>
              </w:rPr>
            </w:pPr>
            <w:r>
              <w:rPr>
                <w:lang w:val="en-US"/>
              </w:rPr>
              <w:t>0.3</w:t>
            </w:r>
          </w:p>
        </w:tc>
        <w:tc>
          <w:tcPr>
            <w:tcW w:w="1861" w:type="dxa"/>
          </w:tcPr>
          <w:p w:rsidR="00CE5B22" w:rsidRPr="00912BC0" w:rsidRDefault="00CE5B22" w:rsidP="000F6F99">
            <w:pPr>
              <w:pStyle w:val="Tabletext"/>
              <w:rPr>
                <w:lang w:val="en-US"/>
              </w:rPr>
            </w:pPr>
            <w:r w:rsidRPr="00912BC0">
              <w:rPr>
                <w:lang w:val="en-US"/>
              </w:rPr>
              <w:t>&lt;-11</w:t>
            </w:r>
            <w:r>
              <w:rPr>
                <w:lang w:val="en-US"/>
              </w:rPr>
              <w:t>3</w:t>
            </w:r>
          </w:p>
        </w:tc>
        <w:tc>
          <w:tcPr>
            <w:tcW w:w="2415" w:type="dxa"/>
          </w:tcPr>
          <w:p w:rsidR="00CE5B22" w:rsidRPr="00912BC0" w:rsidRDefault="00CE5B22" w:rsidP="000F6F99">
            <w:pPr>
              <w:pStyle w:val="Tabletext"/>
              <w:rPr>
                <w:lang w:val="en-US"/>
              </w:rPr>
            </w:pPr>
            <w:r w:rsidRPr="00912BC0">
              <w:rPr>
                <w:lang w:val="en-US"/>
              </w:rPr>
              <w:t>&lt;-11</w:t>
            </w:r>
            <w:r>
              <w:rPr>
                <w:lang w:val="en-US"/>
              </w:rPr>
              <w:t>3</w:t>
            </w:r>
          </w:p>
        </w:tc>
      </w:tr>
    </w:tbl>
    <w:p w:rsidR="00CE5B22" w:rsidRDefault="00CE5B22" w:rsidP="000F6F99">
      <w:pPr>
        <w:rPr>
          <w:szCs w:val="24"/>
          <w:lang w:val="en-US"/>
        </w:rPr>
      </w:pPr>
    </w:p>
    <w:p w:rsidR="00CE5B22" w:rsidRDefault="00CE5B22" w:rsidP="000F6F99">
      <w:pPr>
        <w:rPr>
          <w:szCs w:val="24"/>
          <w:lang w:val="en-US"/>
        </w:rPr>
      </w:pPr>
      <w:r>
        <w:rPr>
          <w:szCs w:val="24"/>
          <w:lang w:val="en-US"/>
        </w:rPr>
        <w:t>It can be noted that:</w:t>
      </w:r>
    </w:p>
    <w:p w:rsidR="00CE5B22" w:rsidRPr="009B23D0" w:rsidRDefault="00CE5B22" w:rsidP="000F6F99">
      <w:pPr>
        <w:rPr>
          <w:szCs w:val="24"/>
          <w:lang w:val="en-US"/>
        </w:rPr>
      </w:pPr>
      <w:r>
        <w:rPr>
          <w:szCs w:val="24"/>
          <w:lang w:val="en-US"/>
        </w:rPr>
        <w:t>–</w:t>
      </w:r>
      <w:r>
        <w:rPr>
          <w:szCs w:val="24"/>
          <w:lang w:val="en-US"/>
        </w:rPr>
        <w:tab/>
      </w:r>
      <w:r w:rsidRPr="009B23D0">
        <w:rPr>
          <w:szCs w:val="24"/>
          <w:lang w:val="en-US"/>
        </w:rPr>
        <w:t>Some BSS satellite networks have beams (e.g. AFRIBSS beams AD, BD, CD) that comply with the proposed pfd limit (-113dBW/(m</w:t>
      </w:r>
      <w:r w:rsidRPr="009B23D0">
        <w:rPr>
          <w:szCs w:val="24"/>
          <w:vertAlign w:val="superscript"/>
          <w:lang w:val="en-US"/>
        </w:rPr>
        <w:t>2</w:t>
      </w:r>
      <w:r w:rsidRPr="009B23D0">
        <w:rPr>
          <w:szCs w:val="24"/>
          <w:lang w:val="en-US"/>
        </w:rPr>
        <w:t xml:space="preserve">.MHz)) </w:t>
      </w:r>
      <w:r w:rsidRPr="009B23D0">
        <w:rPr>
          <w:b/>
          <w:szCs w:val="24"/>
          <w:u w:val="single"/>
          <w:lang w:val="en-US"/>
        </w:rPr>
        <w:t>within</w:t>
      </w:r>
      <w:r w:rsidRPr="009B23D0">
        <w:rPr>
          <w:szCs w:val="24"/>
          <w:lang w:val="en-US"/>
        </w:rPr>
        <w:t xml:space="preserve"> the service area (see 4</w:t>
      </w:r>
      <w:r w:rsidRPr="009B23D0">
        <w:rPr>
          <w:szCs w:val="24"/>
          <w:vertAlign w:val="superscript"/>
          <w:lang w:val="en-US"/>
        </w:rPr>
        <w:t>th</w:t>
      </w:r>
      <w:r w:rsidRPr="009B23D0">
        <w:rPr>
          <w:szCs w:val="24"/>
          <w:lang w:val="en-US"/>
        </w:rPr>
        <w:t xml:space="preserve"> column of the previous table), showing that in some cases the proposed pfd limit  is higher than the pfd levels required to provide the intended service,</w:t>
      </w:r>
    </w:p>
    <w:p w:rsidR="00CE5B22" w:rsidRPr="009B23D0" w:rsidRDefault="00CE5B22" w:rsidP="000F6F99">
      <w:pPr>
        <w:rPr>
          <w:szCs w:val="24"/>
          <w:lang w:val="en-US"/>
        </w:rPr>
      </w:pPr>
      <w:r>
        <w:rPr>
          <w:szCs w:val="24"/>
          <w:lang w:val="en-US"/>
        </w:rPr>
        <w:t>–</w:t>
      </w:r>
      <w:r>
        <w:rPr>
          <w:szCs w:val="24"/>
          <w:lang w:val="en-US"/>
        </w:rPr>
        <w:tab/>
      </w:r>
      <w:r w:rsidRPr="009B23D0">
        <w:rPr>
          <w:szCs w:val="24"/>
          <w:lang w:val="en-US"/>
        </w:rPr>
        <w:t>other BSS satellite networks are able to comply with the proposed pfd limit at the border of their service area (e.g. ASIABSS beams),</w:t>
      </w:r>
    </w:p>
    <w:p w:rsidR="00CE5B22" w:rsidRPr="009B23D0" w:rsidRDefault="00CE5B22" w:rsidP="000F6F99">
      <w:pPr>
        <w:rPr>
          <w:szCs w:val="24"/>
          <w:lang w:val="en-US"/>
        </w:rPr>
      </w:pPr>
      <w:r>
        <w:rPr>
          <w:szCs w:val="24"/>
          <w:lang w:val="en-US"/>
        </w:rPr>
        <w:t>–</w:t>
      </w:r>
      <w:r>
        <w:rPr>
          <w:szCs w:val="24"/>
          <w:lang w:val="en-US"/>
        </w:rPr>
        <w:tab/>
      </w:r>
      <w:r w:rsidRPr="009B23D0">
        <w:rPr>
          <w:szCs w:val="24"/>
          <w:lang w:val="en-US"/>
        </w:rPr>
        <w:t>other BSS satellite networks do not meet the proposed pfd limit at the border of their service area (highlighted in red in the last column). These cases where the proposed pfd limit is exceeded outside the service area are listed in Table 4 below.</w:t>
      </w:r>
    </w:p>
    <w:p w:rsidR="00CE5B22" w:rsidRDefault="00CE5B22" w:rsidP="000F6F99">
      <w:pPr>
        <w:pStyle w:val="TableNo"/>
        <w:rPr>
          <w:lang w:val="en-US"/>
        </w:rPr>
      </w:pPr>
      <w:r>
        <w:rPr>
          <w:lang w:val="en-US"/>
        </w:rPr>
        <w:t>Table 4</w:t>
      </w:r>
    </w:p>
    <w:p w:rsidR="00CE5B22" w:rsidRPr="00A40C32" w:rsidRDefault="00CE5B22" w:rsidP="000F6F99">
      <w:pPr>
        <w:pStyle w:val="Tabletitle"/>
        <w:rPr>
          <w:rFonts w:hint="eastAsia"/>
          <w:lang w:val="en-US"/>
        </w:rPr>
      </w:pPr>
      <w:r>
        <w:rPr>
          <w:lang w:val="en-US"/>
        </w:rPr>
        <w:t xml:space="preserve">List of BSS satellite networks in the band 1452-1492 MHz </w:t>
      </w:r>
      <w:r>
        <w:rPr>
          <w:lang w:val="en-US"/>
        </w:rPr>
        <w:br/>
        <w:t xml:space="preserve">for which </w:t>
      </w:r>
      <w:r w:rsidRPr="00923951">
        <w:rPr>
          <w:lang w:val="en-US"/>
        </w:rPr>
        <w:t>the proposed pfd limit is exceeded outside the service area</w:t>
      </w:r>
    </w:p>
    <w:tbl>
      <w:tblPr>
        <w:tblStyle w:val="TableGrid"/>
        <w:tblW w:w="0" w:type="auto"/>
        <w:jc w:val="center"/>
        <w:tblLook w:val="04A0" w:firstRow="1" w:lastRow="0" w:firstColumn="1" w:lastColumn="0" w:noHBand="0" w:noVBand="1"/>
      </w:tblPr>
      <w:tblGrid>
        <w:gridCol w:w="2611"/>
        <w:gridCol w:w="1039"/>
        <w:gridCol w:w="1161"/>
        <w:gridCol w:w="1861"/>
        <w:gridCol w:w="2415"/>
      </w:tblGrid>
      <w:tr w:rsidR="00CE5B22" w:rsidRPr="00154501" w:rsidTr="001C689E">
        <w:trPr>
          <w:jc w:val="center"/>
        </w:trPr>
        <w:tc>
          <w:tcPr>
            <w:tcW w:w="0" w:type="auto"/>
          </w:tcPr>
          <w:p w:rsidR="00CE5B22" w:rsidRPr="00780A3F" w:rsidRDefault="00CE5B22" w:rsidP="000F6F99">
            <w:pPr>
              <w:pStyle w:val="Tablehead"/>
              <w:rPr>
                <w:lang w:val="en-US"/>
              </w:rPr>
            </w:pPr>
            <w:r w:rsidRPr="00780A3F">
              <w:rPr>
                <w:lang w:val="en-US"/>
              </w:rPr>
              <w:t>Sat</w:t>
            </w:r>
            <w:r>
              <w:rPr>
                <w:lang w:val="en-US"/>
              </w:rPr>
              <w:t>ellite and</w:t>
            </w:r>
            <w:r w:rsidRPr="00780A3F">
              <w:rPr>
                <w:lang w:val="en-US"/>
              </w:rPr>
              <w:t>/</w:t>
            </w:r>
            <w:r>
              <w:rPr>
                <w:lang w:val="en-US"/>
              </w:rPr>
              <w:t xml:space="preserve">or </w:t>
            </w:r>
            <w:r w:rsidRPr="00780A3F">
              <w:rPr>
                <w:lang w:val="en-US"/>
              </w:rPr>
              <w:t>Beam Name</w:t>
            </w:r>
          </w:p>
        </w:tc>
        <w:tc>
          <w:tcPr>
            <w:tcW w:w="0" w:type="auto"/>
          </w:tcPr>
          <w:p w:rsidR="00CE5B22" w:rsidRPr="00844866" w:rsidRDefault="00CE5B22" w:rsidP="000F6F99">
            <w:pPr>
              <w:pStyle w:val="Tablehead"/>
              <w:rPr>
                <w:lang w:val="en-US"/>
              </w:rPr>
            </w:pPr>
            <w:r w:rsidRPr="00844866">
              <w:rPr>
                <w:lang w:val="en-US"/>
              </w:rPr>
              <w:t>EIRP</w:t>
            </w:r>
            <w:r w:rsidRPr="00844866">
              <w:rPr>
                <w:vertAlign w:val="subscript"/>
                <w:lang w:val="en-US"/>
              </w:rPr>
              <w:t>max</w:t>
            </w:r>
          </w:p>
        </w:tc>
        <w:tc>
          <w:tcPr>
            <w:tcW w:w="0" w:type="auto"/>
          </w:tcPr>
          <w:p w:rsidR="00CE5B22" w:rsidRPr="001807E1" w:rsidRDefault="00CE5B22" w:rsidP="000F6F99">
            <w:pPr>
              <w:pStyle w:val="Tablehead"/>
              <w:rPr>
                <w:lang w:val="en-US"/>
              </w:rPr>
            </w:pPr>
            <w:r w:rsidRPr="001807E1">
              <w:rPr>
                <w:lang w:val="en-US"/>
              </w:rPr>
              <w:t>B</w:t>
            </w:r>
            <w:r>
              <w:rPr>
                <w:lang w:val="en-US"/>
              </w:rPr>
              <w:t>andwidth</w:t>
            </w:r>
          </w:p>
          <w:p w:rsidR="00CE5B22" w:rsidRDefault="00CE5B22" w:rsidP="000F6F99">
            <w:pPr>
              <w:pStyle w:val="Tablehead"/>
              <w:rPr>
                <w:sz w:val="32"/>
                <w:szCs w:val="32"/>
                <w:lang w:val="en-US"/>
              </w:rPr>
            </w:pPr>
            <w:r>
              <w:rPr>
                <w:lang w:val="en-US"/>
              </w:rPr>
              <w:t>(</w:t>
            </w:r>
            <w:r w:rsidRPr="001807E1">
              <w:rPr>
                <w:lang w:val="en-US"/>
              </w:rPr>
              <w:t>MHz</w:t>
            </w:r>
            <w:r>
              <w:rPr>
                <w:lang w:val="en-US"/>
              </w:rPr>
              <w:t>)</w:t>
            </w:r>
          </w:p>
        </w:tc>
        <w:tc>
          <w:tcPr>
            <w:tcW w:w="1861" w:type="dxa"/>
          </w:tcPr>
          <w:p w:rsidR="00CE5B22" w:rsidRPr="00110E83" w:rsidRDefault="00CE5B22" w:rsidP="000F6F99">
            <w:pPr>
              <w:pStyle w:val="Tablehead"/>
              <w:rPr>
                <w:lang w:val="en-US"/>
              </w:rPr>
            </w:pPr>
            <w:r>
              <w:rPr>
                <w:lang w:val="en-US"/>
              </w:rPr>
              <w:t>Max. pfd within the service area (dBW/(m².MHz))</w:t>
            </w:r>
          </w:p>
        </w:tc>
        <w:tc>
          <w:tcPr>
            <w:tcW w:w="2415" w:type="dxa"/>
          </w:tcPr>
          <w:p w:rsidR="00CE5B22" w:rsidRPr="00A92AD7" w:rsidRDefault="00CE5B22" w:rsidP="000F6F99">
            <w:pPr>
              <w:pStyle w:val="Tablehead"/>
              <w:rPr>
                <w:lang w:val="en-US"/>
              </w:rPr>
            </w:pPr>
            <w:r>
              <w:rPr>
                <w:lang w:val="en-US"/>
              </w:rPr>
              <w:t xml:space="preserve">Max. Pfd at the border of the service area (dBW/(m².MHz)) </w:t>
            </w:r>
          </w:p>
        </w:tc>
      </w:tr>
      <w:tr w:rsidR="00CE5B22" w:rsidTr="001C689E">
        <w:trPr>
          <w:jc w:val="center"/>
        </w:trPr>
        <w:tc>
          <w:tcPr>
            <w:tcW w:w="0" w:type="auto"/>
          </w:tcPr>
          <w:p w:rsidR="00CE5B22" w:rsidRPr="008D5C95" w:rsidRDefault="00CE5B22" w:rsidP="000F6F99">
            <w:pPr>
              <w:pStyle w:val="Tabletext"/>
              <w:rPr>
                <w:lang w:val="en-US"/>
              </w:rPr>
            </w:pPr>
            <w:r w:rsidRPr="008D5C95">
              <w:rPr>
                <w:lang w:val="en-US"/>
              </w:rPr>
              <w:t>CHINASAT</w:t>
            </w:r>
            <w:r>
              <w:rPr>
                <w:lang w:val="en-US"/>
              </w:rPr>
              <w:t xml:space="preserve"> (Coordination </w:t>
            </w:r>
            <w:r>
              <w:rPr>
                <w:lang w:val="en-US"/>
              </w:rPr>
              <w:br/>
              <w:t>requests)</w:t>
            </w:r>
          </w:p>
        </w:tc>
        <w:tc>
          <w:tcPr>
            <w:tcW w:w="0" w:type="auto"/>
          </w:tcPr>
          <w:p w:rsidR="00CE5B22" w:rsidRDefault="00CE5B22" w:rsidP="000F6F99">
            <w:pPr>
              <w:pStyle w:val="Tabletext"/>
              <w:rPr>
                <w:lang w:val="en-US"/>
              </w:rPr>
            </w:pPr>
            <w:r>
              <w:rPr>
                <w:lang w:val="en-US"/>
              </w:rPr>
              <w:t>68.8 dBW</w:t>
            </w:r>
          </w:p>
        </w:tc>
        <w:tc>
          <w:tcPr>
            <w:tcW w:w="0" w:type="auto"/>
          </w:tcPr>
          <w:p w:rsidR="00CE5B22" w:rsidRDefault="00CE5B22" w:rsidP="000F6F99">
            <w:pPr>
              <w:pStyle w:val="Tabletext"/>
              <w:rPr>
                <w:lang w:val="en-US"/>
              </w:rPr>
            </w:pPr>
            <w:r>
              <w:rPr>
                <w:lang w:val="en-US"/>
              </w:rPr>
              <w:t>2.6</w:t>
            </w:r>
          </w:p>
        </w:tc>
        <w:tc>
          <w:tcPr>
            <w:tcW w:w="1861" w:type="dxa"/>
          </w:tcPr>
          <w:p w:rsidR="00CE5B22" w:rsidRPr="00954699" w:rsidRDefault="00CE5B22" w:rsidP="000F6F99">
            <w:pPr>
              <w:pStyle w:val="Tabletext"/>
              <w:rPr>
                <w:lang w:val="en-US"/>
              </w:rPr>
            </w:pPr>
            <w:r>
              <w:rPr>
                <w:lang w:val="en-US"/>
              </w:rPr>
              <w:t>&gt;-113</w:t>
            </w:r>
          </w:p>
        </w:tc>
        <w:tc>
          <w:tcPr>
            <w:tcW w:w="2415" w:type="dxa"/>
            <w:shd w:val="clear" w:color="auto" w:fill="FF0000"/>
          </w:tcPr>
          <w:p w:rsidR="00CE5B22" w:rsidRPr="00923951" w:rsidRDefault="00CE5B22" w:rsidP="000F6F99">
            <w:pPr>
              <w:pStyle w:val="Tabletext"/>
              <w:rPr>
                <w:lang w:val="en-US"/>
              </w:rPr>
            </w:pPr>
            <w:r w:rsidRPr="00AF4D16">
              <w:rPr>
                <w:lang w:val="en-US"/>
              </w:rPr>
              <w:t>&gt;-113</w:t>
            </w:r>
          </w:p>
        </w:tc>
      </w:tr>
      <w:tr w:rsidR="00CE5B22" w:rsidTr="001C689E">
        <w:trPr>
          <w:jc w:val="center"/>
        </w:trPr>
        <w:tc>
          <w:tcPr>
            <w:tcW w:w="0" w:type="auto"/>
          </w:tcPr>
          <w:p w:rsidR="00CE5B22" w:rsidRPr="008D5C95" w:rsidRDefault="00CE5B22" w:rsidP="000F6F99">
            <w:pPr>
              <w:pStyle w:val="Tabletext"/>
              <w:rPr>
                <w:lang w:val="en-US"/>
              </w:rPr>
            </w:pPr>
            <w:r w:rsidRPr="008D5C95">
              <w:rPr>
                <w:lang w:val="en-US"/>
              </w:rPr>
              <w:t>LEBR SADKO</w:t>
            </w:r>
            <w:r>
              <w:rPr>
                <w:lang w:val="en-US"/>
              </w:rPr>
              <w:t>-1</w:t>
            </w:r>
          </w:p>
        </w:tc>
        <w:tc>
          <w:tcPr>
            <w:tcW w:w="0" w:type="auto"/>
          </w:tcPr>
          <w:p w:rsidR="00CE5B22" w:rsidRPr="00954699" w:rsidRDefault="00CE5B22" w:rsidP="000F6F99">
            <w:pPr>
              <w:pStyle w:val="Tabletext"/>
              <w:rPr>
                <w:lang w:val="en-US"/>
              </w:rPr>
            </w:pPr>
            <w:r>
              <w:rPr>
                <w:lang w:val="en-US"/>
              </w:rPr>
              <w:t>59 dBW</w:t>
            </w:r>
          </w:p>
        </w:tc>
        <w:tc>
          <w:tcPr>
            <w:tcW w:w="0" w:type="auto"/>
          </w:tcPr>
          <w:p w:rsidR="00CE5B22" w:rsidRPr="00954699" w:rsidRDefault="00CE5B22" w:rsidP="000F6F99">
            <w:pPr>
              <w:pStyle w:val="Tabletext"/>
              <w:rPr>
                <w:lang w:val="en-US"/>
              </w:rPr>
            </w:pPr>
            <w:r>
              <w:rPr>
                <w:lang w:val="en-US"/>
              </w:rPr>
              <w:t>1.35</w:t>
            </w:r>
          </w:p>
        </w:tc>
        <w:tc>
          <w:tcPr>
            <w:tcW w:w="1861" w:type="dxa"/>
          </w:tcPr>
          <w:p w:rsidR="00CE5B22" w:rsidRPr="00954699" w:rsidRDefault="00CE5B22" w:rsidP="000F6F99">
            <w:pPr>
              <w:pStyle w:val="Tabletext"/>
              <w:rPr>
                <w:lang w:val="en-US"/>
              </w:rPr>
            </w:pPr>
            <w:r>
              <w:rPr>
                <w:lang w:val="en-US"/>
              </w:rPr>
              <w:t>&gt;-113</w:t>
            </w:r>
          </w:p>
        </w:tc>
        <w:tc>
          <w:tcPr>
            <w:tcW w:w="2415" w:type="dxa"/>
            <w:shd w:val="clear" w:color="auto" w:fill="FF0000"/>
          </w:tcPr>
          <w:p w:rsidR="00CE5B22" w:rsidRPr="00954699" w:rsidRDefault="00CE5B22" w:rsidP="000F6F99">
            <w:pPr>
              <w:pStyle w:val="Tabletext"/>
              <w:rPr>
                <w:lang w:val="en-US"/>
              </w:rPr>
            </w:pPr>
            <w:r>
              <w:rPr>
                <w:lang w:val="en-US"/>
              </w:rPr>
              <w:t>&gt;-</w:t>
            </w:r>
            <w:r w:rsidRPr="00A66C72">
              <w:rPr>
                <w:color w:val="000000" w:themeColor="text1"/>
                <w:lang w:val="en-US"/>
              </w:rPr>
              <w:t>11</w:t>
            </w:r>
            <w:r>
              <w:rPr>
                <w:color w:val="000000" w:themeColor="text1"/>
                <w:lang w:val="en-US"/>
              </w:rPr>
              <w:t>3</w:t>
            </w:r>
          </w:p>
        </w:tc>
      </w:tr>
    </w:tbl>
    <w:p w:rsidR="00CE5B22" w:rsidRDefault="00CE5B22" w:rsidP="000F6F99">
      <w:pPr>
        <w:rPr>
          <w:szCs w:val="24"/>
          <w:lang w:val="en-US"/>
        </w:rPr>
      </w:pPr>
    </w:p>
    <w:p w:rsidR="00CE5B22" w:rsidRDefault="00CE5B22" w:rsidP="000F6F99">
      <w:pPr>
        <w:rPr>
          <w:szCs w:val="24"/>
          <w:lang w:val="en-US"/>
        </w:rPr>
      </w:pPr>
      <w:r>
        <w:rPr>
          <w:szCs w:val="24"/>
          <w:lang w:val="en-US"/>
        </w:rPr>
        <w:t>More precisely, the results show:</w:t>
      </w:r>
    </w:p>
    <w:p w:rsidR="00CE5B22" w:rsidRPr="00AF4D16" w:rsidRDefault="00CE5B22" w:rsidP="000F6F99">
      <w:pPr>
        <w:pStyle w:val="Heading1"/>
        <w:rPr>
          <w:lang w:val="en-US"/>
        </w:rPr>
      </w:pPr>
      <w:r w:rsidRPr="00AF4D16">
        <w:rPr>
          <w:lang w:val="en-US"/>
        </w:rPr>
        <w:lastRenderedPageBreak/>
        <w:t>For LEBR SADKO-1</w:t>
      </w:r>
    </w:p>
    <w:p w:rsidR="00CE5B22" w:rsidRPr="0046060C" w:rsidRDefault="00CE5B22" w:rsidP="000F6F99">
      <w:pPr>
        <w:rPr>
          <w:szCs w:val="24"/>
          <w:lang w:val="en-US"/>
        </w:rPr>
      </w:pPr>
      <w:r>
        <w:rPr>
          <w:szCs w:val="24"/>
          <w:lang w:val="en-US"/>
        </w:rPr>
        <w:t>Figure 2 depicts on the left-hand side the service area of the LEBR beam of the SADKO-1 satellite network (</w:t>
      </w:r>
      <w:r w:rsidRPr="0046060C">
        <w:rPr>
          <w:szCs w:val="24"/>
          <w:lang w:val="en-US"/>
        </w:rPr>
        <w:t>bold orange curve</w:t>
      </w:r>
      <w:r>
        <w:rPr>
          <w:szCs w:val="24"/>
          <w:lang w:val="en-US"/>
        </w:rPr>
        <w:t xml:space="preserve">) and on the right-hand side the area where the proposed </w:t>
      </w:r>
      <w:r w:rsidRPr="000B0E05">
        <w:rPr>
          <w:szCs w:val="24"/>
          <w:lang w:val="en-US"/>
        </w:rPr>
        <w:t xml:space="preserve">pfd limit </w:t>
      </w:r>
      <w:r>
        <w:rPr>
          <w:szCs w:val="24"/>
          <w:lang w:val="en-US"/>
        </w:rPr>
        <w:t xml:space="preserve">of </w:t>
      </w:r>
      <w:r>
        <w:rPr>
          <w:szCs w:val="24"/>
          <w:lang w:val="en-US"/>
        </w:rPr>
        <w:noBreakHyphen/>
      </w:r>
      <w:r w:rsidRPr="000B0E05">
        <w:rPr>
          <w:szCs w:val="24"/>
          <w:lang w:val="en-US"/>
        </w:rPr>
        <w:t>113</w:t>
      </w:r>
      <w:r>
        <w:rPr>
          <w:szCs w:val="24"/>
          <w:lang w:val="en-US"/>
        </w:rPr>
        <w:t> </w:t>
      </w:r>
      <w:r w:rsidRPr="000B0E05">
        <w:rPr>
          <w:szCs w:val="24"/>
          <w:lang w:val="en-US"/>
        </w:rPr>
        <w:t>dBW/</w:t>
      </w:r>
      <w:r>
        <w:rPr>
          <w:szCs w:val="24"/>
          <w:lang w:val="en-US"/>
        </w:rPr>
        <w:t>(</w:t>
      </w:r>
      <w:r w:rsidRPr="000B0E05">
        <w:rPr>
          <w:szCs w:val="24"/>
          <w:lang w:val="en-US"/>
        </w:rPr>
        <w:t>m</w:t>
      </w:r>
      <w:r w:rsidRPr="000B0E05">
        <w:rPr>
          <w:szCs w:val="24"/>
          <w:vertAlign w:val="superscript"/>
          <w:lang w:val="en-US"/>
        </w:rPr>
        <w:t>2</w:t>
      </w:r>
      <w:r>
        <w:rPr>
          <w:szCs w:val="24"/>
          <w:lang w:val="en-US"/>
        </w:rPr>
        <w:t>.</w:t>
      </w:r>
      <w:r w:rsidRPr="000B0E05">
        <w:rPr>
          <w:szCs w:val="24"/>
          <w:lang w:val="en-US"/>
        </w:rPr>
        <w:t>MHz)</w:t>
      </w:r>
      <w:r>
        <w:rPr>
          <w:szCs w:val="24"/>
          <w:lang w:val="en-US"/>
        </w:rPr>
        <w:t xml:space="preserve"> is exceeded </w:t>
      </w:r>
      <w:r w:rsidRPr="0046060C">
        <w:rPr>
          <w:szCs w:val="24"/>
          <w:lang w:val="en-US"/>
        </w:rPr>
        <w:t>(bold red curve)</w:t>
      </w:r>
      <w:r>
        <w:rPr>
          <w:szCs w:val="24"/>
          <w:lang w:val="en-US"/>
        </w:rPr>
        <w:t xml:space="preserve">. The coverage area of the SADKO-1 LEBR beam encompasses countries that are outside the service area (see geographic areas southern of the service area on the left-hand side of Figure 2).  </w:t>
      </w:r>
    </w:p>
    <w:p w:rsidR="00CE5B22" w:rsidRDefault="00CE5B22" w:rsidP="000F6F99">
      <w:pPr>
        <w:pStyle w:val="ListParagraph"/>
        <w:spacing w:line="240" w:lineRule="auto"/>
        <w:rPr>
          <w:rFonts w:ascii="Times New Roman" w:hAnsi="Times New Roman" w:cs="Times New Roman"/>
          <w:sz w:val="24"/>
          <w:szCs w:val="24"/>
          <w:lang w:val="en-US"/>
        </w:rPr>
      </w:pPr>
    </w:p>
    <w:p w:rsidR="00CE5B22" w:rsidRPr="00AF4D16" w:rsidRDefault="00CE5B22" w:rsidP="000F6F99">
      <w:pPr>
        <w:pStyle w:val="FigureNo"/>
      </w:pPr>
      <w:r w:rsidRPr="00AF4D16">
        <w:t xml:space="preserve">Figure </w:t>
      </w:r>
      <w:r w:rsidRPr="00480DB5">
        <w:t>2</w:t>
      </w:r>
    </w:p>
    <w:p w:rsidR="00CE5B22" w:rsidRPr="00AF4D16" w:rsidRDefault="00CE5B22" w:rsidP="000F6F99">
      <w:pPr>
        <w:pStyle w:val="Figuretitle"/>
        <w:rPr>
          <w:rFonts w:hint="eastAsia"/>
        </w:rPr>
      </w:pPr>
      <w:r w:rsidRPr="00AF4D16">
        <w:t>Coverage area and constant pfd area of the LEBR beam of the SADKO-1 satellite network</w:t>
      </w:r>
    </w:p>
    <w:p w:rsidR="00CE5B22" w:rsidRDefault="00CE5B22" w:rsidP="000F6F99">
      <w:pPr>
        <w:pStyle w:val="Figure"/>
        <w:rPr>
          <w:lang w:val="en-US"/>
        </w:rPr>
      </w:pPr>
      <w:r w:rsidRPr="00AF4D16">
        <w:rPr>
          <w:noProof/>
          <w:lang w:val="en-US" w:eastAsia="zh-CN"/>
        </w:rPr>
        <w:drawing>
          <wp:inline distT="0" distB="0" distL="0" distR="0" wp14:anchorId="167DA8DE" wp14:editId="6DC3F808">
            <wp:extent cx="5753735" cy="8801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880110"/>
                    </a:xfrm>
                    <a:prstGeom prst="rect">
                      <a:avLst/>
                    </a:prstGeom>
                    <a:noFill/>
                    <a:ln>
                      <a:noFill/>
                    </a:ln>
                  </pic:spPr>
                </pic:pic>
              </a:graphicData>
            </a:graphic>
          </wp:inline>
        </w:drawing>
      </w:r>
    </w:p>
    <w:p w:rsidR="00CE5B22" w:rsidRPr="000B0E05" w:rsidRDefault="00CE5B22" w:rsidP="000F6F99">
      <w:pPr>
        <w:rPr>
          <w:lang w:val="en-US"/>
        </w:rPr>
      </w:pPr>
    </w:p>
    <w:p w:rsidR="00CE5B22" w:rsidRDefault="00CE5B22" w:rsidP="000F6F99">
      <w:pPr>
        <w:rPr>
          <w:szCs w:val="24"/>
          <w:lang w:val="en-US"/>
        </w:rPr>
      </w:pPr>
      <w:r>
        <w:rPr>
          <w:szCs w:val="24"/>
          <w:lang w:val="en-US"/>
        </w:rPr>
        <w:t>The proposed pfd limit is exceeded in some areas outside the territory of the Russian Federation, which constitutes the service area of the SADKO-1 LEBR beam. The result still remains the same if the satellite radiates with its lowest EIRP</w:t>
      </w:r>
      <w:r w:rsidRPr="00480DB5">
        <w:rPr>
          <w:szCs w:val="24"/>
          <w:lang w:val="en-US"/>
        </w:rPr>
        <w:t xml:space="preserve"> </w:t>
      </w:r>
      <w:r>
        <w:rPr>
          <w:szCs w:val="24"/>
          <w:lang w:val="en-US"/>
        </w:rPr>
        <w:t xml:space="preserve">value (56 dBW), which is only 3 dB below the maximum EIRP, thus showing large areas outside of the service area where the produced pfd exceeds </w:t>
      </w:r>
      <w:r>
        <w:rPr>
          <w:szCs w:val="24"/>
          <w:lang w:val="en-US"/>
        </w:rPr>
        <w:noBreakHyphen/>
        <w:t>113dBW/(m</w:t>
      </w:r>
      <w:r w:rsidRPr="003B44B4">
        <w:rPr>
          <w:szCs w:val="24"/>
          <w:vertAlign w:val="superscript"/>
          <w:lang w:val="en-US"/>
        </w:rPr>
        <w:t>2</w:t>
      </w:r>
      <w:r>
        <w:rPr>
          <w:szCs w:val="24"/>
          <w:lang w:val="en-US"/>
        </w:rPr>
        <w:t>.MHz) (see Figure 3 below).</w:t>
      </w:r>
    </w:p>
    <w:p w:rsidR="00CE5B22" w:rsidRPr="008528A8" w:rsidRDefault="00CE5B22" w:rsidP="000F6F99">
      <w:pPr>
        <w:pStyle w:val="FigureNo"/>
      </w:pPr>
      <w:r w:rsidRPr="008528A8">
        <w:t xml:space="preserve">Figure </w:t>
      </w:r>
      <w:r>
        <w:t>3</w:t>
      </w:r>
    </w:p>
    <w:p w:rsidR="00CE5B22" w:rsidRPr="008528A8" w:rsidRDefault="00CE5B22" w:rsidP="000F6F99">
      <w:pPr>
        <w:pStyle w:val="Figuretitle"/>
        <w:rPr>
          <w:rFonts w:hint="eastAsia"/>
        </w:rPr>
      </w:pPr>
      <w:r>
        <w:t>C</w:t>
      </w:r>
      <w:r w:rsidRPr="008528A8">
        <w:t>onstant pfd area of the LEBR beam of the SADKO-1 satellite network</w:t>
      </w:r>
      <w:r>
        <w:t xml:space="preserve"> </w:t>
      </w:r>
      <w:r>
        <w:br/>
        <w:t>when emitting with its lowest EIRP level</w:t>
      </w:r>
    </w:p>
    <w:p w:rsidR="00CE5B22" w:rsidRPr="00F73BA5" w:rsidRDefault="00CE5B22" w:rsidP="000F6F99">
      <w:pPr>
        <w:jc w:val="center"/>
        <w:rPr>
          <w:szCs w:val="24"/>
          <w:lang w:val="en-US"/>
        </w:rPr>
      </w:pPr>
      <w:r>
        <w:rPr>
          <w:noProof/>
          <w:szCs w:val="24"/>
          <w:lang w:val="en-US" w:eastAsia="zh-CN"/>
        </w:rPr>
        <w:drawing>
          <wp:inline distT="0" distB="0" distL="0" distR="0" wp14:anchorId="120F2B44" wp14:editId="6AFB99F4">
            <wp:extent cx="3579962" cy="1275303"/>
            <wp:effectExtent l="0" t="0" r="190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0097" cy="1275351"/>
                    </a:xfrm>
                    <a:prstGeom prst="rect">
                      <a:avLst/>
                    </a:prstGeom>
                    <a:noFill/>
                    <a:ln>
                      <a:noFill/>
                    </a:ln>
                  </pic:spPr>
                </pic:pic>
              </a:graphicData>
            </a:graphic>
          </wp:inline>
        </w:drawing>
      </w:r>
    </w:p>
    <w:p w:rsidR="00CE5B22" w:rsidRDefault="00CE5B22" w:rsidP="000F6F99">
      <w:pPr>
        <w:rPr>
          <w:szCs w:val="24"/>
          <w:lang w:val="en-US"/>
        </w:rPr>
      </w:pPr>
    </w:p>
    <w:p w:rsidR="00CE5B22" w:rsidRDefault="00CE5B22" w:rsidP="000F6F99">
      <w:pPr>
        <w:rPr>
          <w:szCs w:val="24"/>
          <w:lang w:val="en-US"/>
        </w:rPr>
      </w:pPr>
    </w:p>
    <w:p w:rsidR="00CE5B22" w:rsidRDefault="00CE5B22" w:rsidP="000F6F99">
      <w:pPr>
        <w:rPr>
          <w:szCs w:val="24"/>
          <w:lang w:val="en-US"/>
        </w:rPr>
      </w:pPr>
      <w:r>
        <w:rPr>
          <w:szCs w:val="24"/>
          <w:lang w:val="en-US"/>
        </w:rPr>
        <w:t>There are two possibilities for the countries outside the service area but covered by the beam:</w:t>
      </w:r>
    </w:p>
    <w:p w:rsidR="00CE5B22" w:rsidRPr="00612C8C" w:rsidRDefault="00CE5B22" w:rsidP="000F6F99">
      <w:pPr>
        <w:pStyle w:val="ListParagraph"/>
        <w:numPr>
          <w:ilvl w:val="0"/>
          <w:numId w:val="9"/>
        </w:numPr>
        <w:spacing w:line="240" w:lineRule="auto"/>
        <w:rPr>
          <w:rFonts w:ascii="Times New Roman" w:hAnsi="Times New Roman" w:cs="Times New Roman"/>
          <w:sz w:val="24"/>
          <w:szCs w:val="24"/>
          <w:lang w:val="en-US"/>
        </w:rPr>
      </w:pPr>
      <w:r w:rsidRPr="00612C8C">
        <w:rPr>
          <w:rFonts w:ascii="Times New Roman" w:hAnsi="Times New Roman" w:cs="Times New Roman"/>
          <w:sz w:val="24"/>
          <w:szCs w:val="24"/>
          <w:lang w:val="en-US"/>
        </w:rPr>
        <w:t>They wish to be part of the service area. Then the</w:t>
      </w:r>
      <w:r>
        <w:rPr>
          <w:rFonts w:ascii="Times New Roman" w:hAnsi="Times New Roman" w:cs="Times New Roman"/>
          <w:sz w:val="24"/>
          <w:szCs w:val="24"/>
          <w:lang w:val="en-US"/>
        </w:rPr>
        <w:t xml:space="preserve">y may accept that the pfd limit of </w:t>
      </w:r>
      <w:r>
        <w:rPr>
          <w:rFonts w:ascii="Times New Roman" w:hAnsi="Times New Roman" w:cs="Times New Roman"/>
          <w:sz w:val="24"/>
          <w:szCs w:val="24"/>
          <w:lang w:val="en-US"/>
        </w:rPr>
        <w:noBreakHyphen/>
        <w:t>113 </w:t>
      </w:r>
      <w:r w:rsidRPr="00612C8C">
        <w:rPr>
          <w:rFonts w:ascii="Times New Roman" w:hAnsi="Times New Roman" w:cs="Times New Roman"/>
          <w:sz w:val="24"/>
          <w:szCs w:val="24"/>
          <w:lang w:val="en-US"/>
        </w:rPr>
        <w:t>dBW/</w:t>
      </w:r>
      <w:r>
        <w:rPr>
          <w:rFonts w:ascii="Times New Roman" w:hAnsi="Times New Roman" w:cs="Times New Roman"/>
          <w:sz w:val="24"/>
          <w:szCs w:val="24"/>
          <w:lang w:val="en-US"/>
        </w:rPr>
        <w:t>(</w:t>
      </w:r>
      <w:r w:rsidRPr="00612C8C">
        <w:rPr>
          <w:rFonts w:ascii="Times New Roman" w:hAnsi="Times New Roman" w:cs="Times New Roman"/>
          <w:sz w:val="24"/>
          <w:szCs w:val="24"/>
          <w:lang w:val="en-US"/>
        </w:rPr>
        <w:t>m²</w:t>
      </w:r>
      <w:r>
        <w:rPr>
          <w:rFonts w:ascii="Times New Roman" w:hAnsi="Times New Roman" w:cs="Times New Roman"/>
          <w:sz w:val="24"/>
          <w:szCs w:val="24"/>
          <w:lang w:val="en-US"/>
        </w:rPr>
        <w:t>.</w:t>
      </w:r>
      <w:r w:rsidRPr="00612C8C">
        <w:rPr>
          <w:rFonts w:ascii="Times New Roman" w:hAnsi="Times New Roman" w:cs="Times New Roman"/>
          <w:sz w:val="24"/>
          <w:szCs w:val="24"/>
          <w:lang w:val="en-US"/>
        </w:rPr>
        <w:t>MHz</w:t>
      </w:r>
      <w:r>
        <w:rPr>
          <w:rFonts w:ascii="Times New Roman" w:hAnsi="Times New Roman" w:cs="Times New Roman"/>
          <w:sz w:val="24"/>
          <w:szCs w:val="24"/>
          <w:lang w:val="en-US"/>
        </w:rPr>
        <w:t>)</w:t>
      </w:r>
      <w:r w:rsidRPr="00612C8C">
        <w:rPr>
          <w:rFonts w:ascii="Times New Roman" w:hAnsi="Times New Roman" w:cs="Times New Roman"/>
          <w:sz w:val="24"/>
          <w:szCs w:val="24"/>
          <w:lang w:val="en-US"/>
        </w:rPr>
        <w:t xml:space="preserve"> </w:t>
      </w:r>
      <w:r>
        <w:rPr>
          <w:rFonts w:ascii="Times New Roman" w:hAnsi="Times New Roman" w:cs="Times New Roman"/>
          <w:sz w:val="24"/>
          <w:szCs w:val="24"/>
          <w:lang w:val="en-US"/>
        </w:rPr>
        <w:t>does not apply over their territories</w:t>
      </w:r>
      <w:r w:rsidRPr="00612C8C">
        <w:rPr>
          <w:rFonts w:ascii="Times New Roman" w:hAnsi="Times New Roman" w:cs="Times New Roman"/>
          <w:sz w:val="24"/>
          <w:szCs w:val="24"/>
          <w:lang w:val="en-US"/>
        </w:rPr>
        <w:t>.</w:t>
      </w:r>
    </w:p>
    <w:p w:rsidR="00CE5B22" w:rsidRPr="00612C8C" w:rsidRDefault="00CE5B22" w:rsidP="000F6F99">
      <w:pPr>
        <w:pStyle w:val="ListParagraph"/>
        <w:numPr>
          <w:ilvl w:val="0"/>
          <w:numId w:val="9"/>
        </w:numPr>
        <w:spacing w:line="240" w:lineRule="auto"/>
        <w:rPr>
          <w:rFonts w:ascii="Times New Roman" w:hAnsi="Times New Roman" w:cs="Times New Roman"/>
          <w:sz w:val="24"/>
          <w:szCs w:val="24"/>
          <w:lang w:val="en-US"/>
        </w:rPr>
      </w:pPr>
      <w:r w:rsidRPr="00612C8C">
        <w:rPr>
          <w:rFonts w:ascii="Times New Roman" w:hAnsi="Times New Roman" w:cs="Times New Roman"/>
          <w:sz w:val="24"/>
          <w:szCs w:val="24"/>
          <w:lang w:val="en-US"/>
        </w:rPr>
        <w:t>They do no</w:t>
      </w:r>
      <w:r>
        <w:rPr>
          <w:rFonts w:ascii="Times New Roman" w:hAnsi="Times New Roman" w:cs="Times New Roman"/>
          <w:sz w:val="24"/>
          <w:szCs w:val="24"/>
          <w:lang w:val="en-US"/>
        </w:rPr>
        <w:t>t</w:t>
      </w:r>
      <w:r w:rsidRPr="00612C8C">
        <w:rPr>
          <w:rFonts w:ascii="Times New Roman" w:hAnsi="Times New Roman" w:cs="Times New Roman"/>
          <w:sz w:val="24"/>
          <w:szCs w:val="24"/>
          <w:lang w:val="en-US"/>
        </w:rPr>
        <w:t xml:space="preserve"> wish to be part of the service area. Then </w:t>
      </w:r>
      <w:r>
        <w:rPr>
          <w:rFonts w:ascii="Times New Roman" w:hAnsi="Times New Roman" w:cs="Times New Roman"/>
          <w:sz w:val="24"/>
          <w:szCs w:val="24"/>
          <w:lang w:val="en-US"/>
        </w:rPr>
        <w:t>the beam on the satellite should be designed in a manner that avoids full coverage of these countries</w:t>
      </w:r>
      <w:r w:rsidRPr="00612C8C">
        <w:rPr>
          <w:rFonts w:ascii="Times New Roman" w:hAnsi="Times New Roman" w:cs="Times New Roman"/>
          <w:sz w:val="24"/>
          <w:szCs w:val="24"/>
          <w:lang w:val="en-US"/>
        </w:rPr>
        <w:t xml:space="preserve">. </w:t>
      </w:r>
    </w:p>
    <w:p w:rsidR="00CE5B22" w:rsidRDefault="00CE5B22" w:rsidP="000F6F99">
      <w:pPr>
        <w:rPr>
          <w:szCs w:val="24"/>
          <w:lang w:val="en-US"/>
        </w:rPr>
      </w:pPr>
      <w:r>
        <w:rPr>
          <w:szCs w:val="24"/>
          <w:lang w:val="en-US"/>
        </w:rPr>
        <w:lastRenderedPageBreak/>
        <w:t xml:space="preserve">In both cases, the pfd limit of -113 dBW/(m².MHz) is exceeded only over territories within a limited distance (ranging from 30 km to 190 km for case a) and up to 70 km for case b)) from the border of the service area. </w:t>
      </w:r>
    </w:p>
    <w:p w:rsidR="00CE5B22" w:rsidRDefault="00CE5B22" w:rsidP="000F6F99">
      <w:pPr>
        <w:rPr>
          <w:szCs w:val="24"/>
          <w:lang w:val="en-US"/>
        </w:rPr>
      </w:pPr>
      <w:r>
        <w:rPr>
          <w:szCs w:val="24"/>
          <w:lang w:val="en-US"/>
        </w:rPr>
        <w:t>This could enable the notifying administration of the SADKO-1 satellite network:</w:t>
      </w:r>
    </w:p>
    <w:p w:rsidR="00CE5B22" w:rsidRDefault="00CE5B22" w:rsidP="000F6F99">
      <w:pPr>
        <w:pStyle w:val="ListParagraph"/>
        <w:numPr>
          <w:ilvl w:val="0"/>
          <w:numId w:val="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adapt the technical characteristics of this BSS satellite network to ensure that it will not affect terrestrial services such as IMT by complying with the proposed pfd limit of </w:t>
      </w:r>
      <w:r>
        <w:rPr>
          <w:rFonts w:ascii="Times New Roman" w:hAnsi="Times New Roman" w:cs="Times New Roman"/>
          <w:sz w:val="24"/>
          <w:szCs w:val="24"/>
          <w:lang w:val="en-US"/>
        </w:rPr>
        <w:noBreakHyphen/>
        <w:t xml:space="preserve">113 dBW/(m².MHz), </w:t>
      </w:r>
    </w:p>
    <w:p w:rsidR="00CE5B22" w:rsidRPr="00712AE5" w:rsidRDefault="00CE5B22" w:rsidP="000F6F99">
      <w:pPr>
        <w:pStyle w:val="ListParagraph"/>
        <w:numPr>
          <w:ilvl w:val="0"/>
          <w:numId w:val="4"/>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in case where the impact is accepted by an administration</w:t>
      </w:r>
      <w:r w:rsidRPr="009A005C">
        <w:rPr>
          <w:rFonts w:ascii="Times New Roman" w:hAnsi="Times New Roman" w:cs="Times New Roman"/>
          <w:sz w:val="24"/>
          <w:szCs w:val="24"/>
          <w:lang w:val="en-US"/>
        </w:rPr>
        <w:t xml:space="preserve"> </w:t>
      </w:r>
      <w:r>
        <w:rPr>
          <w:rFonts w:ascii="Times New Roman" w:hAnsi="Times New Roman" w:cs="Times New Roman"/>
          <w:sz w:val="24"/>
          <w:szCs w:val="24"/>
          <w:lang w:val="en-US"/>
        </w:rPr>
        <w:t>neighbouring the service area, to reach agreement with it for such a pfd excess.</w:t>
      </w:r>
    </w:p>
    <w:p w:rsidR="00CE5B22" w:rsidRDefault="00CE5B22" w:rsidP="000F6F99">
      <w:pPr>
        <w:rPr>
          <w:szCs w:val="24"/>
          <w:lang w:val="en-US"/>
        </w:rPr>
      </w:pPr>
      <w:r w:rsidRPr="000B0E05">
        <w:rPr>
          <w:szCs w:val="24"/>
          <w:lang w:val="en-US"/>
        </w:rPr>
        <w:t xml:space="preserve">As an example </w:t>
      </w:r>
      <w:r>
        <w:rPr>
          <w:szCs w:val="24"/>
          <w:lang w:val="en-US"/>
        </w:rPr>
        <w:t xml:space="preserve">of </w:t>
      </w:r>
      <w:r w:rsidRPr="000B0E05">
        <w:rPr>
          <w:szCs w:val="24"/>
          <w:lang w:val="en-US"/>
        </w:rPr>
        <w:t xml:space="preserve">a </w:t>
      </w:r>
      <w:r>
        <w:rPr>
          <w:szCs w:val="24"/>
          <w:lang w:val="en-US"/>
        </w:rPr>
        <w:t xml:space="preserve">possible </w:t>
      </w:r>
      <w:r w:rsidRPr="000B0E05">
        <w:rPr>
          <w:szCs w:val="24"/>
          <w:lang w:val="en-US"/>
        </w:rPr>
        <w:t xml:space="preserve">technical adaptation, if the </w:t>
      </w:r>
      <w:r>
        <w:rPr>
          <w:szCs w:val="24"/>
          <w:lang w:val="en-US"/>
        </w:rPr>
        <w:t xml:space="preserve">satellite </w:t>
      </w:r>
      <w:r w:rsidRPr="000B0E05">
        <w:rPr>
          <w:szCs w:val="24"/>
          <w:lang w:val="en-US"/>
        </w:rPr>
        <w:t>EIRP is limited to 52</w:t>
      </w:r>
      <w:r>
        <w:rPr>
          <w:szCs w:val="24"/>
          <w:lang w:val="en-US"/>
        </w:rPr>
        <w:t xml:space="preserve"> </w:t>
      </w:r>
      <w:r w:rsidRPr="000B0E05">
        <w:rPr>
          <w:szCs w:val="24"/>
          <w:lang w:val="en-US"/>
        </w:rPr>
        <w:t>dBW (</w:t>
      </w:r>
      <w:r>
        <w:rPr>
          <w:szCs w:val="24"/>
          <w:lang w:val="en-US"/>
        </w:rPr>
        <w:t>i.e. 4 </w:t>
      </w:r>
      <w:r w:rsidRPr="000B0E05">
        <w:rPr>
          <w:szCs w:val="24"/>
          <w:lang w:val="en-US"/>
        </w:rPr>
        <w:t xml:space="preserve">dB below the </w:t>
      </w:r>
      <w:r>
        <w:rPr>
          <w:szCs w:val="24"/>
          <w:lang w:val="en-US"/>
        </w:rPr>
        <w:t xml:space="preserve">submitted minimum </w:t>
      </w:r>
      <w:r w:rsidRPr="000B0E05">
        <w:rPr>
          <w:szCs w:val="24"/>
          <w:lang w:val="en-US"/>
        </w:rPr>
        <w:t xml:space="preserve">EIRP), then the proposed pfd limit is nearly met outside </w:t>
      </w:r>
      <w:r>
        <w:rPr>
          <w:szCs w:val="24"/>
          <w:lang w:val="en-US"/>
        </w:rPr>
        <w:t xml:space="preserve">the service </w:t>
      </w:r>
      <w:r w:rsidRPr="000B0E05">
        <w:rPr>
          <w:szCs w:val="24"/>
          <w:lang w:val="en-US"/>
        </w:rPr>
        <w:t>area</w:t>
      </w:r>
      <w:r>
        <w:rPr>
          <w:szCs w:val="24"/>
          <w:lang w:val="en-US"/>
        </w:rPr>
        <w:t xml:space="preserve"> (see Figure 4).</w:t>
      </w:r>
      <w:r w:rsidRPr="000B0E05">
        <w:rPr>
          <w:szCs w:val="24"/>
          <w:lang w:val="en-US"/>
        </w:rPr>
        <w:t xml:space="preserve"> </w:t>
      </w:r>
      <w:r>
        <w:rPr>
          <w:szCs w:val="24"/>
          <w:lang w:val="en-US"/>
        </w:rPr>
        <w:t>T</w:t>
      </w:r>
      <w:r w:rsidRPr="000B0E05">
        <w:rPr>
          <w:szCs w:val="24"/>
          <w:lang w:val="en-US"/>
        </w:rPr>
        <w:t xml:space="preserve">his EIRP </w:t>
      </w:r>
      <w:r>
        <w:rPr>
          <w:szCs w:val="24"/>
          <w:lang w:val="en-US"/>
        </w:rPr>
        <w:t xml:space="preserve">level </w:t>
      </w:r>
      <w:r w:rsidRPr="000B0E05">
        <w:rPr>
          <w:szCs w:val="24"/>
          <w:lang w:val="en-US"/>
        </w:rPr>
        <w:t xml:space="preserve">may reduce the BSS link margin within the </w:t>
      </w:r>
      <w:r>
        <w:rPr>
          <w:szCs w:val="24"/>
          <w:lang w:val="en-US"/>
        </w:rPr>
        <w:t xml:space="preserve">service area </w:t>
      </w:r>
      <w:r w:rsidRPr="000B0E05">
        <w:rPr>
          <w:szCs w:val="24"/>
          <w:lang w:val="en-US"/>
        </w:rPr>
        <w:t>and some other technical solutions (</w:t>
      </w:r>
      <w:r>
        <w:rPr>
          <w:szCs w:val="24"/>
          <w:lang w:val="en-US"/>
        </w:rPr>
        <w:t xml:space="preserve">e.g. </w:t>
      </w:r>
      <w:r w:rsidRPr="000B0E05">
        <w:rPr>
          <w:szCs w:val="24"/>
          <w:lang w:val="en-US"/>
        </w:rPr>
        <w:t xml:space="preserve">better beam shaping ) may be more appropriate.  </w:t>
      </w:r>
    </w:p>
    <w:p w:rsidR="00CE5B22" w:rsidRPr="008528A8" w:rsidRDefault="00CE5B22" w:rsidP="000F6F99">
      <w:pPr>
        <w:pStyle w:val="FigureNo"/>
      </w:pPr>
      <w:r w:rsidRPr="008528A8">
        <w:t>Figure</w:t>
      </w:r>
      <w:r>
        <w:t xml:space="preserve"> 4</w:t>
      </w:r>
    </w:p>
    <w:p w:rsidR="00CE5B22" w:rsidRDefault="00CE5B22" w:rsidP="000F6F99">
      <w:pPr>
        <w:pStyle w:val="Figuretitle"/>
        <w:rPr>
          <w:rFonts w:hint="eastAsia"/>
          <w:szCs w:val="24"/>
          <w:lang w:val="en-US"/>
        </w:rPr>
      </w:pPr>
      <w:r>
        <w:t>C</w:t>
      </w:r>
      <w:r w:rsidRPr="008528A8">
        <w:t>onstant pfd area of the LEBR beam of the SADKO-1 satellite network</w:t>
      </w:r>
      <w:r>
        <w:t xml:space="preserve"> </w:t>
      </w:r>
      <w:r>
        <w:br/>
        <w:t>when emitting with a reduced EIRP level</w:t>
      </w:r>
      <w:r>
        <w:rPr>
          <w:noProof/>
          <w:szCs w:val="24"/>
          <w:lang w:val="en-US" w:eastAsia="zh-CN"/>
        </w:rPr>
        <w:drawing>
          <wp:inline distT="0" distB="0" distL="0" distR="0" wp14:anchorId="514E2611" wp14:editId="3E1740E7">
            <wp:extent cx="5753735" cy="54356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735" cy="543560"/>
                    </a:xfrm>
                    <a:prstGeom prst="rect">
                      <a:avLst/>
                    </a:prstGeom>
                    <a:noFill/>
                    <a:ln>
                      <a:noFill/>
                    </a:ln>
                  </pic:spPr>
                </pic:pic>
              </a:graphicData>
            </a:graphic>
          </wp:inline>
        </w:drawing>
      </w:r>
    </w:p>
    <w:p w:rsidR="00CE5B22" w:rsidRDefault="00CE5B22" w:rsidP="000F6F99">
      <w:pPr>
        <w:pStyle w:val="Heading1"/>
        <w:rPr>
          <w:lang w:val="en-US"/>
        </w:rPr>
      </w:pPr>
    </w:p>
    <w:p w:rsidR="00CE5B22" w:rsidRPr="00712AE5" w:rsidRDefault="00CE5B22" w:rsidP="000F6F99">
      <w:pPr>
        <w:pStyle w:val="Heading1"/>
        <w:rPr>
          <w:lang w:val="en-US"/>
        </w:rPr>
      </w:pPr>
      <w:r w:rsidRPr="00712AE5">
        <w:rPr>
          <w:lang w:val="en-US"/>
        </w:rPr>
        <w:t>For CHINASAT</w:t>
      </w:r>
      <w:r>
        <w:rPr>
          <w:lang w:val="en-US"/>
        </w:rPr>
        <w:t xml:space="preserve"> satellite networks</w:t>
      </w:r>
    </w:p>
    <w:p w:rsidR="00CE5B22" w:rsidRDefault="00CE5B22" w:rsidP="000F6F99">
      <w:pPr>
        <w:rPr>
          <w:szCs w:val="24"/>
          <w:lang w:val="en-US"/>
        </w:rPr>
      </w:pPr>
      <w:r w:rsidRPr="00712AE5">
        <w:rPr>
          <w:szCs w:val="24"/>
          <w:lang w:val="en-US"/>
        </w:rPr>
        <w:t xml:space="preserve">Among those files available in </w:t>
      </w:r>
      <w:r>
        <w:rPr>
          <w:szCs w:val="24"/>
          <w:lang w:val="en-US"/>
        </w:rPr>
        <w:t>the Space Radiocommunications Stations (SRS) reference database</w:t>
      </w:r>
      <w:r w:rsidRPr="00712AE5">
        <w:rPr>
          <w:szCs w:val="24"/>
          <w:lang w:val="en-US"/>
        </w:rPr>
        <w:t xml:space="preserve">, there are coordination </w:t>
      </w:r>
      <w:r>
        <w:rPr>
          <w:szCs w:val="24"/>
          <w:lang w:val="en-US"/>
        </w:rPr>
        <w:t xml:space="preserve">requests for which the associated BSS </w:t>
      </w:r>
      <w:r w:rsidRPr="00712AE5">
        <w:rPr>
          <w:szCs w:val="24"/>
          <w:lang w:val="en-US"/>
        </w:rPr>
        <w:t xml:space="preserve">service </w:t>
      </w:r>
      <w:r>
        <w:rPr>
          <w:szCs w:val="24"/>
          <w:lang w:val="en-US"/>
        </w:rPr>
        <w:t xml:space="preserve">area </w:t>
      </w:r>
      <w:r w:rsidRPr="00712AE5">
        <w:rPr>
          <w:szCs w:val="24"/>
          <w:lang w:val="en-US"/>
        </w:rPr>
        <w:t>is</w:t>
      </w:r>
      <w:r>
        <w:rPr>
          <w:szCs w:val="24"/>
          <w:lang w:val="en-US"/>
        </w:rPr>
        <w:t xml:space="preserve"> large (see Figure 5 below). </w:t>
      </w:r>
    </w:p>
    <w:p w:rsidR="00CE5B22" w:rsidRPr="006C15FF" w:rsidRDefault="00CE5B22" w:rsidP="000F6F99">
      <w:pPr>
        <w:pStyle w:val="FigureNo"/>
      </w:pPr>
      <w:r w:rsidRPr="006C15FF">
        <w:t>Figure 5</w:t>
      </w:r>
    </w:p>
    <w:p w:rsidR="00CE5B22" w:rsidRDefault="00CE5B22" w:rsidP="000F6F99">
      <w:pPr>
        <w:pStyle w:val="Figuretitle"/>
        <w:rPr>
          <w:rFonts w:hint="eastAsia"/>
          <w:szCs w:val="24"/>
          <w:lang w:val="en-US"/>
        </w:rPr>
      </w:pPr>
      <w:r>
        <w:t>C</w:t>
      </w:r>
      <w:r w:rsidRPr="008528A8">
        <w:t>onstant pfd area of the LEBR beam of the SADKO-1 satellite network</w:t>
      </w:r>
      <w:r>
        <w:t xml:space="preserve"> </w:t>
      </w:r>
      <w:r>
        <w:br/>
        <w:t>when emitting with a reduced EIRP level</w:t>
      </w:r>
    </w:p>
    <w:p w:rsidR="00CE5B22" w:rsidRDefault="00CE5B22" w:rsidP="000F6F99">
      <w:pPr>
        <w:pStyle w:val="Figure"/>
        <w:rPr>
          <w:szCs w:val="24"/>
          <w:lang w:val="en-US"/>
        </w:rPr>
      </w:pPr>
      <w:r>
        <w:rPr>
          <w:noProof/>
          <w:lang w:val="en-US" w:eastAsia="zh-CN"/>
        </w:rPr>
        <w:drawing>
          <wp:inline distT="0" distB="0" distL="0" distR="0" wp14:anchorId="1D21B8E2" wp14:editId="31BE7D36">
            <wp:extent cx="2028825" cy="2018747"/>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0862" cy="2020774"/>
                    </a:xfrm>
                    <a:prstGeom prst="rect">
                      <a:avLst/>
                    </a:prstGeom>
                    <a:noFill/>
                    <a:ln>
                      <a:noFill/>
                    </a:ln>
                  </pic:spPr>
                </pic:pic>
              </a:graphicData>
            </a:graphic>
          </wp:inline>
        </w:drawing>
      </w:r>
    </w:p>
    <w:p w:rsidR="00CE5B22" w:rsidRPr="000B0E05" w:rsidRDefault="00CE5B22" w:rsidP="000F6F99">
      <w:pPr>
        <w:rPr>
          <w:lang w:val="en-US"/>
        </w:rPr>
      </w:pPr>
    </w:p>
    <w:p w:rsidR="00CE5B22" w:rsidRPr="00712AE5" w:rsidRDefault="00CE5B22" w:rsidP="000F6F99">
      <w:pPr>
        <w:rPr>
          <w:szCs w:val="24"/>
          <w:lang w:val="en-US"/>
        </w:rPr>
      </w:pPr>
      <w:r>
        <w:rPr>
          <w:szCs w:val="24"/>
          <w:lang w:val="en-US"/>
        </w:rPr>
        <w:lastRenderedPageBreak/>
        <w:t>This situation may be explained by emphasizing that the coverage</w:t>
      </w:r>
      <w:r w:rsidRPr="00806F12">
        <w:rPr>
          <w:szCs w:val="24"/>
          <w:lang w:val="en-US"/>
        </w:rPr>
        <w:t xml:space="preserve"> </w:t>
      </w:r>
      <w:r>
        <w:rPr>
          <w:szCs w:val="24"/>
          <w:lang w:val="en-US"/>
        </w:rPr>
        <w:t>is performed</w:t>
      </w:r>
      <w:r w:rsidRPr="00806F12">
        <w:rPr>
          <w:szCs w:val="24"/>
          <w:lang w:val="en-US"/>
        </w:rPr>
        <w:t xml:space="preserve"> </w:t>
      </w:r>
      <w:r w:rsidRPr="00BE48BF">
        <w:rPr>
          <w:szCs w:val="24"/>
          <w:lang w:val="en-US"/>
        </w:rPr>
        <w:t>through</w:t>
      </w:r>
      <w:r>
        <w:rPr>
          <w:szCs w:val="24"/>
          <w:lang w:val="en-US"/>
        </w:rPr>
        <w:t>:</w:t>
      </w:r>
    </w:p>
    <w:p w:rsidR="00CE5B22" w:rsidRPr="00712AE5" w:rsidRDefault="00CE5B22" w:rsidP="000F6F99">
      <w:pPr>
        <w:pStyle w:val="ListParagraph"/>
        <w:numPr>
          <w:ilvl w:val="0"/>
          <w:numId w:val="1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steerable spot beams</w:t>
      </w:r>
      <w:r w:rsidRPr="00712AE5">
        <w:rPr>
          <w:rFonts w:ascii="Times New Roman" w:hAnsi="Times New Roman" w:cs="Times New Roman"/>
          <w:sz w:val="24"/>
          <w:szCs w:val="24"/>
          <w:lang w:val="en-US"/>
        </w:rPr>
        <w:t>,</w:t>
      </w:r>
    </w:p>
    <w:p w:rsidR="00CE5B22" w:rsidRPr="00712AE5" w:rsidRDefault="00CE5B22" w:rsidP="000F6F99">
      <w:pPr>
        <w:pStyle w:val="ListParagraph"/>
        <w:numPr>
          <w:ilvl w:val="0"/>
          <w:numId w:val="12"/>
        </w:numPr>
        <w:spacing w:line="240" w:lineRule="auto"/>
        <w:rPr>
          <w:rFonts w:ascii="Times New Roman" w:hAnsi="Times New Roman" w:cs="Times New Roman"/>
          <w:sz w:val="24"/>
          <w:szCs w:val="24"/>
          <w:lang w:val="en-US"/>
        </w:rPr>
      </w:pPr>
      <w:r w:rsidRPr="00712AE5">
        <w:rPr>
          <w:rFonts w:ascii="Times New Roman" w:hAnsi="Times New Roman" w:cs="Times New Roman"/>
          <w:sz w:val="24"/>
          <w:szCs w:val="24"/>
          <w:lang w:val="en-US"/>
        </w:rPr>
        <w:t xml:space="preserve">multiple spot beams to cover the large area (as depicted in orange circle in the </w:t>
      </w:r>
      <w:r>
        <w:rPr>
          <w:rFonts w:ascii="Times New Roman" w:hAnsi="Times New Roman" w:cs="Times New Roman"/>
          <w:sz w:val="24"/>
          <w:szCs w:val="24"/>
          <w:lang w:val="en-US"/>
        </w:rPr>
        <w:t>above</w:t>
      </w:r>
      <w:r w:rsidRPr="00712AE5">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712AE5">
        <w:rPr>
          <w:rFonts w:ascii="Times New Roman" w:hAnsi="Times New Roman" w:cs="Times New Roman"/>
          <w:sz w:val="24"/>
          <w:szCs w:val="24"/>
          <w:lang w:val="en-US"/>
        </w:rPr>
        <w:t>igure)</w:t>
      </w:r>
      <w:r>
        <w:rPr>
          <w:rFonts w:ascii="Times New Roman" w:hAnsi="Times New Roman" w:cs="Times New Roman"/>
          <w:sz w:val="24"/>
          <w:szCs w:val="24"/>
          <w:lang w:val="en-US"/>
        </w:rPr>
        <w:t xml:space="preserve"> even they are not displayed in the publication.</w:t>
      </w:r>
    </w:p>
    <w:p w:rsidR="00CE5B22" w:rsidRDefault="00CE5B22" w:rsidP="000F6F99">
      <w:pPr>
        <w:pStyle w:val="ListParagraph"/>
        <w:spacing w:line="240" w:lineRule="auto"/>
        <w:jc w:val="center"/>
        <w:rPr>
          <w:lang w:val="en-US"/>
        </w:rPr>
      </w:pPr>
    </w:p>
    <w:p w:rsidR="00CE5B22" w:rsidRPr="00712AE5" w:rsidRDefault="00CE5B22" w:rsidP="000F6F99">
      <w:pPr>
        <w:rPr>
          <w:szCs w:val="24"/>
          <w:lang w:val="en-US"/>
        </w:rPr>
      </w:pPr>
      <w:r w:rsidRPr="00712AE5">
        <w:rPr>
          <w:szCs w:val="24"/>
          <w:lang w:val="en-US"/>
        </w:rPr>
        <w:t xml:space="preserve">Starting from pfd formula: </w:t>
      </w:r>
      <m:oMath>
        <m:r>
          <w:rPr>
            <w:rFonts w:ascii="Cambria Math" w:hAnsi="Cambria Math"/>
            <w:szCs w:val="24"/>
            <w:lang w:val="en-US"/>
          </w:rPr>
          <m:t>pfd=EIRP+10</m:t>
        </m:r>
        <m:sSub>
          <m:sSubPr>
            <m:ctrlPr>
              <w:rPr>
                <w:rFonts w:ascii="Cambria Math" w:hAnsi="Cambria Math"/>
                <w:i/>
                <w:szCs w:val="24"/>
                <w:lang w:val="en-US"/>
              </w:rPr>
            </m:ctrlPr>
          </m:sSubPr>
          <m:e>
            <m:r>
              <w:rPr>
                <w:rFonts w:ascii="Cambria Math" w:hAnsi="Cambria Math"/>
                <w:szCs w:val="24"/>
                <w:lang w:val="en-US"/>
              </w:rPr>
              <m:t>log</m:t>
            </m:r>
          </m:e>
          <m:sub>
            <m:r>
              <w:rPr>
                <w:rFonts w:ascii="Cambria Math" w:hAnsi="Cambria Math"/>
                <w:szCs w:val="24"/>
                <w:lang w:val="en-US"/>
              </w:rPr>
              <m:t>10</m:t>
            </m:r>
          </m:sub>
        </m:sSub>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4π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lang w:val="en-US"/>
                      </w:rPr>
                      <m:t>2</m:t>
                    </m:r>
                  </m:sup>
                </m:sSup>
              </m:den>
            </m:f>
          </m:e>
        </m:d>
      </m:oMath>
      <w:r w:rsidRPr="00712AE5">
        <w:rPr>
          <w:szCs w:val="24"/>
          <w:lang w:val="en-US"/>
        </w:rPr>
        <w:t>,</w:t>
      </w:r>
    </w:p>
    <w:p w:rsidR="00CE5B22" w:rsidRPr="00712AE5" w:rsidRDefault="00CE5B22" w:rsidP="000F6F99">
      <w:pPr>
        <w:rPr>
          <w:szCs w:val="24"/>
          <w:lang w:val="en-US"/>
        </w:rPr>
      </w:pPr>
      <w:r w:rsidRPr="00712AE5">
        <w:rPr>
          <w:szCs w:val="24"/>
          <w:lang w:val="en-US"/>
        </w:rPr>
        <w:t xml:space="preserve">When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oMath>
      <w:r w:rsidRPr="00712AE5">
        <w:rPr>
          <w:szCs w:val="24"/>
          <w:lang w:val="en-US"/>
        </w:rPr>
        <w:t xml:space="preserve"> and T</w:t>
      </w:r>
      <w:r w:rsidRPr="00712AE5">
        <w:rPr>
          <w:szCs w:val="24"/>
          <w:vertAlign w:val="subscript"/>
          <w:lang w:val="en-US"/>
        </w:rPr>
        <w:t>Rx noise</w:t>
      </w:r>
      <w:r w:rsidRPr="00712AE5">
        <w:rPr>
          <w:szCs w:val="24"/>
          <w:lang w:val="en-US"/>
        </w:rPr>
        <w:t xml:space="preserve"> are available, </w:t>
      </w:r>
      <w:r w:rsidRPr="00712AE5">
        <w:rPr>
          <w:i/>
          <w:szCs w:val="24"/>
          <w:lang w:val="en-US"/>
        </w:rPr>
        <w:t>C</w:t>
      </w:r>
      <w:r w:rsidRPr="00712AE5">
        <w:rPr>
          <w:i/>
          <w:szCs w:val="24"/>
          <w:vertAlign w:val="subscript"/>
          <w:lang w:val="en-US"/>
        </w:rPr>
        <w:t>min</w:t>
      </w:r>
      <w:r w:rsidRPr="00712AE5">
        <w:rPr>
          <w:szCs w:val="24"/>
          <w:lang w:val="en-US"/>
        </w:rPr>
        <w:t xml:space="preserve"> (receiver sensitivity) can be derived:</w:t>
      </w:r>
    </w:p>
    <w:p w:rsidR="00CE5B22" w:rsidRPr="00EF6B75" w:rsidRDefault="00CE5B22" w:rsidP="000F6F99">
      <w:pPr>
        <w:jc w:val="center"/>
        <w:rPr>
          <w:szCs w:val="24"/>
          <w:lang w:val="fr-FR"/>
        </w:rPr>
      </w:pPr>
      <w:r w:rsidRPr="00EF6B75">
        <w:rPr>
          <w:szCs w:val="24"/>
          <w:lang w:val="fr-FR"/>
        </w:rPr>
        <w:t>C</w:t>
      </w:r>
      <w:r w:rsidRPr="00EF6B75">
        <w:rPr>
          <w:szCs w:val="24"/>
          <w:vertAlign w:val="subscript"/>
          <w:lang w:val="fr-FR"/>
        </w:rPr>
        <w:t xml:space="preserve">min </w:t>
      </w:r>
      <w:r w:rsidRPr="00EF6B75">
        <w:rPr>
          <w:szCs w:val="24"/>
          <w:lang w:val="fr-FR"/>
        </w:rPr>
        <w:t>=</w:t>
      </w:r>
      <m:oMath>
        <m:r>
          <w:rPr>
            <w:rFonts w:ascii="Cambria Math" w:hAnsi="Cambria Math"/>
            <w:szCs w:val="24"/>
            <w:lang w:val="fr-FR"/>
          </w:rPr>
          <m:t xml:space="preserve"> </m:t>
        </m:r>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r>
          <w:rPr>
            <w:rFonts w:ascii="Cambria Math" w:hAnsi="Cambria Math"/>
            <w:szCs w:val="24"/>
            <w:lang w:val="fr-FR"/>
          </w:rPr>
          <m:t>×</m:t>
        </m:r>
        <m:r>
          <w:rPr>
            <w:rFonts w:ascii="Cambria Math" w:hAnsi="Cambria Math"/>
            <w:szCs w:val="24"/>
            <w:lang w:val="en-US"/>
          </w:rPr>
          <m:t>N</m:t>
        </m:r>
        <m:r>
          <w:rPr>
            <w:rFonts w:ascii="Cambria Math" w:hAnsi="Cambria Math"/>
            <w:szCs w:val="24"/>
            <w:lang w:val="fr-FR"/>
          </w:rPr>
          <m:t>=</m:t>
        </m:r>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Rx</m:t>
            </m:r>
            <m:r>
              <w:rPr>
                <w:rFonts w:ascii="Cambria Math" w:hAnsi="Cambria Math"/>
                <w:szCs w:val="24"/>
                <w:lang w:val="fr-FR"/>
              </w:rPr>
              <m:t xml:space="preserve"> </m:t>
            </m:r>
            <m:r>
              <w:rPr>
                <w:rFonts w:ascii="Cambria Math" w:hAnsi="Cambria Math"/>
                <w:szCs w:val="24"/>
                <w:lang w:val="en-US"/>
              </w:rPr>
              <m:t>noise</m:t>
            </m:r>
            <m:r>
              <w:rPr>
                <w:rFonts w:ascii="Cambria Math" w:hAnsi="Cambria Math"/>
                <w:szCs w:val="24"/>
                <w:lang w:val="fr-FR"/>
              </w:rPr>
              <m:t xml:space="preserve"> </m:t>
            </m:r>
          </m:sub>
        </m:sSub>
        <m:r>
          <w:rPr>
            <w:rFonts w:ascii="Cambria Math" w:hAnsi="Cambria Math"/>
            <w:szCs w:val="24"/>
            <w:lang w:val="en-US"/>
          </w:rPr>
          <m:t>B</m:t>
        </m:r>
        <m:r>
          <w:rPr>
            <w:rFonts w:ascii="Cambria Math" w:hAnsi="Cambria Math"/>
            <w:szCs w:val="24"/>
            <w:lang w:val="fr-FR"/>
          </w:rPr>
          <m:t>(</m:t>
        </m:r>
        <m:r>
          <w:rPr>
            <w:rFonts w:ascii="Cambria Math" w:hAnsi="Cambria Math"/>
            <w:szCs w:val="24"/>
            <w:lang w:val="en-US"/>
          </w:rPr>
          <m:t>MHz</m:t>
        </m:r>
        <m:r>
          <w:rPr>
            <w:rFonts w:ascii="Cambria Math" w:hAnsi="Cambria Math"/>
            <w:szCs w:val="24"/>
            <w:lang w:val="fr-FR"/>
          </w:rPr>
          <m:t>)</m:t>
        </m:r>
      </m:oMath>
    </w:p>
    <w:p w:rsidR="00CE5B22" w:rsidRPr="00712AE5" w:rsidRDefault="00CE5B22" w:rsidP="000F6F99">
      <w:pPr>
        <w:rPr>
          <w:szCs w:val="24"/>
          <w:lang w:val="en-US"/>
        </w:rPr>
      </w:pPr>
      <w:r w:rsidRPr="00712AE5">
        <w:rPr>
          <w:szCs w:val="24"/>
          <w:lang w:val="en-US"/>
        </w:rPr>
        <w:t>Recalling that</w:t>
      </w:r>
      <w:r>
        <w:rPr>
          <w:szCs w:val="24"/>
          <w:lang w:val="en-US"/>
        </w:rPr>
        <w:t>:</w:t>
      </w:r>
      <w:r w:rsidRPr="00712AE5">
        <w:rPr>
          <w:szCs w:val="24"/>
          <w:lang w:val="en-US"/>
        </w:rPr>
        <w:t xml:space="preserve"> </w:t>
      </w:r>
      <w:r w:rsidRPr="00712AE5">
        <w:rPr>
          <w:i/>
          <w:szCs w:val="24"/>
          <w:lang w:val="en-US"/>
        </w:rPr>
        <w:t>P</w:t>
      </w:r>
      <w:r w:rsidRPr="00712AE5">
        <w:rPr>
          <w:i/>
          <w:szCs w:val="24"/>
          <w:vertAlign w:val="subscript"/>
          <w:lang w:val="en-US"/>
        </w:rPr>
        <w:t>e</w:t>
      </w:r>
      <w:r w:rsidRPr="00712AE5">
        <w:rPr>
          <w:i/>
          <w:szCs w:val="24"/>
          <w:lang w:val="en-US"/>
        </w:rPr>
        <w:t>G</w:t>
      </w:r>
      <w:r w:rsidRPr="00712AE5">
        <w:rPr>
          <w:i/>
          <w:szCs w:val="24"/>
          <w:vertAlign w:val="subscript"/>
          <w:lang w:val="en-US"/>
        </w:rPr>
        <w:t>e</w:t>
      </w:r>
      <w:r w:rsidRPr="00712AE5">
        <w:rPr>
          <w:szCs w:val="24"/>
          <w:lang w:val="en-US"/>
        </w:rPr>
        <w:t xml:space="preserve"> </w:t>
      </w:r>
      <m:oMath>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λ</m:t>
                    </m:r>
                  </m:num>
                  <m:den>
                    <m:r>
                      <w:rPr>
                        <w:rFonts w:ascii="Cambria Math" w:hAnsi="Cambria Math"/>
                        <w:szCs w:val="24"/>
                        <w:lang w:val="en-US"/>
                      </w:rPr>
                      <m:t>4πd</m:t>
                    </m:r>
                  </m:den>
                </m:f>
              </m:e>
            </m:d>
          </m:e>
          <m:sup>
            <m:r>
              <w:rPr>
                <w:rFonts w:ascii="Cambria Math" w:hAnsi="Cambria Math"/>
                <w:szCs w:val="24"/>
                <w:lang w:val="en-US"/>
              </w:rPr>
              <m:t>2</m:t>
            </m:r>
          </m:sup>
        </m:sSup>
      </m:oMath>
      <w:r w:rsidRPr="00712AE5">
        <w:rPr>
          <w:szCs w:val="24"/>
          <w:lang w:val="en-US"/>
        </w:rPr>
        <w:t>=</w:t>
      </w:r>
      <m:oMath>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C</m:t>
                </m:r>
              </m:e>
              <m:sub>
                <m:r>
                  <w:rPr>
                    <w:rFonts w:ascii="Cambria Math" w:hAnsi="Cambria Math"/>
                    <w:szCs w:val="24"/>
                    <w:lang w:val="en-US"/>
                  </w:rPr>
                  <m:t>min</m:t>
                </m:r>
              </m:sub>
            </m:sSub>
          </m:num>
          <m:den>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r</m:t>
                </m:r>
              </m:sub>
            </m:sSub>
          </m:den>
        </m:f>
      </m:oMath>
      <w:r w:rsidRPr="00712AE5">
        <w:rPr>
          <w:szCs w:val="24"/>
          <w:lang w:val="en-US"/>
        </w:rPr>
        <w:t xml:space="preserve">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f>
          <m:fPr>
            <m:ctrlPr>
              <w:rPr>
                <w:rFonts w:ascii="Cambria Math" w:hAnsi="Cambria Math"/>
                <w:i/>
                <w:szCs w:val="24"/>
                <w:lang w:val="en-US"/>
              </w:rPr>
            </m:ctrlPr>
          </m:fPr>
          <m:num>
            <m:r>
              <w:rPr>
                <w:rFonts w:ascii="Cambria Math" w:hAnsi="Cambria Math"/>
                <w:szCs w:val="24"/>
                <w:lang w:val="en-US"/>
              </w:rPr>
              <m:t>1</m:t>
            </m:r>
          </m:num>
          <m:den>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r</m:t>
                </m:r>
              </m:sub>
            </m:sSub>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 xml:space="preserve">Rx noise </m:t>
            </m:r>
          </m:sub>
        </m:sSub>
        <m:r>
          <w:rPr>
            <w:rFonts w:ascii="Cambria Math" w:hAnsi="Cambria Math"/>
            <w:szCs w:val="24"/>
            <w:lang w:val="en-US"/>
          </w:rPr>
          <m:t>B(MHz)</m:t>
        </m:r>
      </m:oMath>
      <w:r w:rsidRPr="00712AE5">
        <w:rPr>
          <w:szCs w:val="24"/>
          <w:lang w:val="en-US"/>
        </w:rPr>
        <w:t>,</w:t>
      </w:r>
    </w:p>
    <w:p w:rsidR="00CE5B22" w:rsidRPr="00EF6B75" w:rsidRDefault="00CE5B22" w:rsidP="000F6F99">
      <w:pPr>
        <w:jc w:val="center"/>
        <w:rPr>
          <w:szCs w:val="24"/>
          <w:vertAlign w:val="superscript"/>
          <w:lang w:val="fr-FR"/>
        </w:rPr>
      </w:pPr>
      <w:r w:rsidRPr="00EF6B75">
        <w:rPr>
          <w:i/>
          <w:szCs w:val="24"/>
          <w:lang w:val="fr-FR"/>
        </w:rPr>
        <w:t>pfd</w:t>
      </w:r>
      <w:r w:rsidRPr="00EF6B75">
        <w:rPr>
          <w:i/>
          <w:szCs w:val="24"/>
          <w:vertAlign w:val="subscript"/>
          <w:lang w:val="fr-FR"/>
        </w:rPr>
        <w:t>min</w:t>
      </w:r>
      <w:r w:rsidRPr="00EF6B75">
        <w:rPr>
          <w:szCs w:val="24"/>
          <w:lang w:val="fr-FR"/>
        </w:rPr>
        <w:t xml:space="preserve">= </w:t>
      </w:r>
      <m:oMath>
        <m:d>
          <m:dPr>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e</m:t>
                    </m:r>
                  </m:sub>
                </m:sSub>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e</m:t>
                    </m:r>
                  </m:sub>
                </m:sSub>
              </m:num>
              <m:den>
                <m:r>
                  <w:rPr>
                    <w:rFonts w:ascii="Cambria Math" w:hAnsi="Cambria Math"/>
                    <w:szCs w:val="24"/>
                    <w:lang w:val="fr-FR"/>
                  </w:rPr>
                  <m:t>4</m:t>
                </m:r>
                <m:r>
                  <w:rPr>
                    <w:rFonts w:ascii="Cambria Math" w:hAnsi="Cambria Math"/>
                    <w:szCs w:val="24"/>
                    <w:lang w:val="en-US"/>
                  </w:rPr>
                  <m:t>π</m:t>
                </m:r>
                <m:sSup>
                  <m:sSupPr>
                    <m:ctrlPr>
                      <w:rPr>
                        <w:rFonts w:ascii="Cambria Math" w:hAnsi="Cambria Math"/>
                        <w:i/>
                        <w:szCs w:val="24"/>
                        <w:lang w:val="en-US"/>
                      </w:rPr>
                    </m:ctrlPr>
                  </m:sSupPr>
                  <m:e>
                    <m:r>
                      <w:rPr>
                        <w:rFonts w:ascii="Cambria Math" w:hAnsi="Cambria Math"/>
                        <w:szCs w:val="24"/>
                        <w:lang w:val="en-US"/>
                      </w:rPr>
                      <m:t>d</m:t>
                    </m:r>
                  </m:e>
                  <m:sup>
                    <m:r>
                      <w:rPr>
                        <w:rFonts w:ascii="Cambria Math" w:hAnsi="Cambria Math"/>
                        <w:szCs w:val="24"/>
                        <w:lang w:val="fr-FR"/>
                      </w:rPr>
                      <m:t>2</m:t>
                    </m:r>
                  </m:sup>
                </m:sSup>
              </m:den>
            </m:f>
          </m:e>
        </m:d>
      </m:oMath>
      <w:r w:rsidRPr="00EF6B75">
        <w:rPr>
          <w:szCs w:val="24"/>
          <w:lang w:val="fr-FR"/>
        </w:rPr>
        <w:t>=</w:t>
      </w:r>
      <m:oMath>
        <m:sSub>
          <m:sSubPr>
            <m:ctrlPr>
              <w:rPr>
                <w:rFonts w:ascii="Cambria Math" w:hAnsi="Cambria Math"/>
                <w:i/>
                <w:szCs w:val="24"/>
                <w:lang w:val="en-US"/>
              </w:rPr>
            </m:ctrlPr>
          </m:sSubPr>
          <m:e>
            <m:r>
              <w:rPr>
                <w:rFonts w:ascii="Cambria Math" w:hAnsi="Cambria Math"/>
                <w:szCs w:val="24"/>
                <w:lang w:val="en-US"/>
              </w:rPr>
              <m:t>P</m:t>
            </m:r>
          </m:e>
          <m:sub>
            <m:r>
              <w:rPr>
                <w:rFonts w:ascii="Cambria Math" w:hAnsi="Cambria Math"/>
                <w:szCs w:val="24"/>
                <w:lang w:val="en-US"/>
              </w:rPr>
              <m:t>e</m:t>
            </m:r>
          </m:sub>
        </m:sSub>
        <m:sSub>
          <m:sSubPr>
            <m:ctrlPr>
              <w:rPr>
                <w:rFonts w:ascii="Cambria Math" w:hAnsi="Cambria Math"/>
                <w:i/>
                <w:szCs w:val="24"/>
                <w:lang w:val="en-US"/>
              </w:rPr>
            </m:ctrlPr>
          </m:sSubPr>
          <m:e>
            <m:r>
              <w:rPr>
                <w:rFonts w:ascii="Cambria Math" w:hAnsi="Cambria Math"/>
                <w:szCs w:val="24"/>
                <w:lang w:val="en-US"/>
              </w:rPr>
              <m:t>G</m:t>
            </m:r>
          </m:e>
          <m:sub>
            <m:r>
              <w:rPr>
                <w:rFonts w:ascii="Cambria Math" w:hAnsi="Cambria Math"/>
                <w:szCs w:val="24"/>
                <w:lang w:val="en-US"/>
              </w:rPr>
              <m:t>e</m:t>
            </m:r>
          </m:sub>
        </m:sSub>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λ</m:t>
                    </m:r>
                  </m:num>
                  <m:den>
                    <m:r>
                      <w:rPr>
                        <w:rFonts w:ascii="Cambria Math" w:hAnsi="Cambria Math"/>
                        <w:szCs w:val="24"/>
                        <w:lang w:val="fr-FR"/>
                      </w:rPr>
                      <m:t>4</m:t>
                    </m:r>
                    <m:r>
                      <w:rPr>
                        <w:rFonts w:ascii="Cambria Math" w:hAnsi="Cambria Math"/>
                        <w:szCs w:val="24"/>
                        <w:lang w:val="en-US"/>
                      </w:rPr>
                      <m:t>πd</m:t>
                    </m:r>
                  </m:den>
                </m:f>
              </m:e>
            </m:d>
          </m:e>
          <m:sup>
            <m:r>
              <w:rPr>
                <w:rFonts w:ascii="Cambria Math" w:hAnsi="Cambria Math"/>
                <w:szCs w:val="24"/>
                <w:lang w:val="fr-FR"/>
              </w:rPr>
              <m:t>2</m:t>
            </m:r>
          </m:sup>
        </m:sSup>
        <m:f>
          <m:fPr>
            <m:ctrlPr>
              <w:rPr>
                <w:rFonts w:ascii="Cambria Math" w:hAnsi="Cambria Math"/>
                <w:i/>
                <w:szCs w:val="24"/>
                <w:lang w:val="en-US"/>
              </w:rPr>
            </m:ctrlPr>
          </m:fPr>
          <m:num>
            <m:r>
              <w:rPr>
                <w:rFonts w:ascii="Cambria Math" w:hAnsi="Cambria Math"/>
                <w:szCs w:val="24"/>
                <w:lang w:val="fr-FR"/>
              </w:rPr>
              <m:t>4</m:t>
            </m:r>
            <m:r>
              <w:rPr>
                <w:rFonts w:ascii="Cambria Math" w:hAnsi="Cambria Math"/>
                <w:szCs w:val="24"/>
                <w:lang w:val="en-US"/>
              </w:rPr>
              <m:t>π</m:t>
            </m:r>
          </m:num>
          <m:den>
            <m:sSup>
              <m:sSupPr>
                <m:ctrlPr>
                  <w:rPr>
                    <w:rFonts w:ascii="Cambria Math" w:hAnsi="Cambria Math"/>
                    <w:i/>
                    <w:szCs w:val="24"/>
                    <w:lang w:val="en-US"/>
                  </w:rPr>
                </m:ctrlPr>
              </m:sSupPr>
              <m:e>
                <m:r>
                  <w:rPr>
                    <w:rFonts w:ascii="Cambria Math" w:hAnsi="Cambria Math"/>
                    <w:szCs w:val="24"/>
                    <w:lang w:val="en-US"/>
                  </w:rPr>
                  <m:t>λ</m:t>
                </m:r>
              </m:e>
              <m:sup>
                <m:r>
                  <w:rPr>
                    <w:rFonts w:ascii="Cambria Math" w:hAnsi="Cambria Math"/>
                    <w:szCs w:val="24"/>
                    <w:lang w:val="fr-FR"/>
                  </w:rPr>
                  <m:t>2</m:t>
                </m:r>
              </m:sup>
            </m:sSup>
          </m:den>
        </m:f>
      </m:oMath>
      <w:r w:rsidRPr="00EF6B75">
        <w:rPr>
          <w:szCs w:val="24"/>
          <w:lang w:val="fr-FR"/>
        </w:rPr>
        <w:t xml:space="preserve"> =</w:t>
      </w:r>
      <m:oMath>
        <m:f>
          <m:fPr>
            <m:ctrlPr>
              <w:rPr>
                <w:rFonts w:ascii="Cambria Math" w:hAnsi="Cambria Math"/>
                <w:i/>
                <w:szCs w:val="24"/>
                <w:lang w:val="en-US"/>
              </w:rPr>
            </m:ctrlPr>
          </m:fPr>
          <m:num>
            <m:r>
              <w:rPr>
                <w:rFonts w:ascii="Cambria Math" w:hAnsi="Cambria Math"/>
                <w:szCs w:val="24"/>
                <w:lang w:val="en-US"/>
              </w:rPr>
              <m:t>C</m:t>
            </m:r>
          </m:num>
          <m:den>
            <m:r>
              <w:rPr>
                <w:rFonts w:ascii="Cambria Math" w:hAnsi="Cambria Math"/>
                <w:szCs w:val="24"/>
                <w:lang w:val="en-US"/>
              </w:rPr>
              <m:t>N</m:t>
            </m:r>
          </m:den>
        </m:f>
        <m:f>
          <m:fPr>
            <m:ctrlPr>
              <w:rPr>
                <w:rFonts w:ascii="Cambria Math" w:hAnsi="Cambria Math"/>
                <w:i/>
                <w:szCs w:val="24"/>
                <w:lang w:val="en-US"/>
              </w:rPr>
            </m:ctrlPr>
          </m:fPr>
          <m:num>
            <m:r>
              <w:rPr>
                <w:rFonts w:ascii="Cambria Math" w:hAnsi="Cambria Math"/>
                <w:szCs w:val="24"/>
                <w:lang w:val="fr-FR"/>
              </w:rPr>
              <m:t>4</m:t>
            </m:r>
            <m:r>
              <w:rPr>
                <w:rFonts w:ascii="Cambria Math" w:hAnsi="Cambria Math"/>
                <w:szCs w:val="24"/>
                <w:lang w:val="en-US"/>
              </w:rPr>
              <m:t>π</m:t>
            </m:r>
          </m:num>
          <m:den>
            <m:sSub>
              <m:sSubPr>
                <m:ctrlPr>
                  <w:rPr>
                    <w:rFonts w:ascii="Cambria Math" w:hAnsi="Cambria Math"/>
                    <w:i/>
                    <w:szCs w:val="24"/>
                    <w:lang w:val="en-US"/>
                  </w:rPr>
                </m:ctrlPr>
              </m:sSubPr>
              <m:e>
                <m:sSup>
                  <m:sSupPr>
                    <m:ctrlPr>
                      <w:rPr>
                        <w:rFonts w:ascii="Cambria Math" w:hAnsi="Cambria Math"/>
                        <w:i/>
                        <w:szCs w:val="24"/>
                        <w:lang w:val="en-US"/>
                      </w:rPr>
                    </m:ctrlPr>
                  </m:sSupPr>
                  <m:e>
                    <m:r>
                      <w:rPr>
                        <w:rFonts w:ascii="Cambria Math" w:hAnsi="Cambria Math"/>
                        <w:szCs w:val="24"/>
                        <w:lang w:val="en-US"/>
                      </w:rPr>
                      <m:t>λ</m:t>
                    </m:r>
                  </m:e>
                  <m:sup>
                    <m:r>
                      <w:rPr>
                        <w:rFonts w:ascii="Cambria Math" w:hAnsi="Cambria Math"/>
                        <w:szCs w:val="24"/>
                        <w:lang w:val="fr-FR"/>
                      </w:rPr>
                      <m:t>2</m:t>
                    </m:r>
                  </m:sup>
                </m:sSup>
                <m:r>
                  <w:rPr>
                    <w:rFonts w:ascii="Cambria Math" w:hAnsi="Cambria Math"/>
                    <w:szCs w:val="24"/>
                    <w:lang w:val="en-US"/>
                  </w:rPr>
                  <m:t>G</m:t>
                </m:r>
              </m:e>
              <m:sub>
                <m:r>
                  <w:rPr>
                    <w:rFonts w:ascii="Cambria Math" w:hAnsi="Cambria Math"/>
                    <w:szCs w:val="24"/>
                    <w:lang w:val="en-US"/>
                  </w:rPr>
                  <m:t>Rx</m:t>
                </m:r>
                <m:r>
                  <w:rPr>
                    <w:rFonts w:ascii="Cambria Math" w:hAnsi="Cambria Math"/>
                    <w:szCs w:val="24"/>
                    <w:lang w:val="fr-FR"/>
                  </w:rPr>
                  <m:t xml:space="preserve"> </m:t>
                </m:r>
                <m:r>
                  <w:rPr>
                    <w:rFonts w:ascii="Cambria Math" w:hAnsi="Cambria Math"/>
                    <w:szCs w:val="24"/>
                    <w:lang w:val="en-US"/>
                  </w:rPr>
                  <m:t>max</m:t>
                </m:r>
              </m:sub>
            </m:sSub>
          </m:den>
        </m:f>
        <m:r>
          <w:rPr>
            <w:rFonts w:ascii="Cambria Math" w:hAnsi="Cambria Math"/>
            <w:szCs w:val="24"/>
            <w:lang w:val="en-US"/>
          </w:rPr>
          <m:t>k</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Rx</m:t>
            </m:r>
            <m:r>
              <w:rPr>
                <w:rFonts w:ascii="Cambria Math" w:hAnsi="Cambria Math"/>
                <w:szCs w:val="24"/>
                <w:lang w:val="fr-FR"/>
              </w:rPr>
              <m:t xml:space="preserve"> </m:t>
            </m:r>
            <m:r>
              <w:rPr>
                <w:rFonts w:ascii="Cambria Math" w:hAnsi="Cambria Math"/>
                <w:szCs w:val="24"/>
                <w:lang w:val="en-US"/>
              </w:rPr>
              <m:t>noise</m:t>
            </m:r>
            <m:r>
              <w:rPr>
                <w:rFonts w:ascii="Cambria Math" w:hAnsi="Cambria Math"/>
                <w:szCs w:val="24"/>
                <w:lang w:val="fr-FR"/>
              </w:rPr>
              <m:t xml:space="preserve"> </m:t>
            </m:r>
          </m:sub>
        </m:sSub>
        <m:r>
          <w:rPr>
            <w:rFonts w:ascii="Cambria Math" w:hAnsi="Cambria Math"/>
            <w:szCs w:val="24"/>
            <w:lang w:val="en-US"/>
          </w:rPr>
          <m:t>B</m:t>
        </m:r>
        <m:r>
          <w:rPr>
            <w:rFonts w:ascii="Cambria Math" w:hAnsi="Cambria Math"/>
            <w:szCs w:val="24"/>
            <w:lang w:val="fr-FR"/>
          </w:rPr>
          <m:t>(</m:t>
        </m:r>
        <m:r>
          <w:rPr>
            <w:rFonts w:ascii="Cambria Math" w:hAnsi="Cambria Math"/>
            <w:szCs w:val="24"/>
            <w:lang w:val="en-US"/>
          </w:rPr>
          <m:t>MHz</m:t>
        </m:r>
        <m:r>
          <w:rPr>
            <w:rFonts w:ascii="Cambria Math" w:hAnsi="Cambria Math"/>
            <w:szCs w:val="24"/>
            <w:lang w:val="fr-FR"/>
          </w:rPr>
          <m:t>)</m:t>
        </m:r>
      </m:oMath>
      <w:r w:rsidRPr="00EF6B75">
        <w:rPr>
          <w:szCs w:val="24"/>
          <w:lang w:val="fr-FR"/>
        </w:rPr>
        <w:t>.</w:t>
      </w:r>
    </w:p>
    <w:p w:rsidR="00CE5B22" w:rsidRPr="00712AE5" w:rsidRDefault="00CE5B22" w:rsidP="000F6F99">
      <w:pPr>
        <w:rPr>
          <w:szCs w:val="24"/>
          <w:lang w:val="en-US"/>
        </w:rPr>
      </w:pPr>
      <w:r>
        <w:rPr>
          <w:szCs w:val="24"/>
          <w:lang w:val="en-US"/>
        </w:rPr>
        <w:t>F</w:t>
      </w:r>
      <w:r w:rsidRPr="00712AE5">
        <w:rPr>
          <w:szCs w:val="24"/>
          <w:lang w:val="en-US"/>
        </w:rPr>
        <w:t xml:space="preserve">rom the above formula, it is then concluded that the </w:t>
      </w:r>
      <w:r w:rsidRPr="00712AE5">
        <w:rPr>
          <w:i/>
          <w:szCs w:val="24"/>
          <w:lang w:val="en-US"/>
        </w:rPr>
        <w:t>pfd</w:t>
      </w:r>
      <w:r w:rsidRPr="00712AE5">
        <w:rPr>
          <w:i/>
          <w:szCs w:val="24"/>
          <w:vertAlign w:val="subscript"/>
          <w:lang w:val="en-US"/>
        </w:rPr>
        <w:t>min</w:t>
      </w:r>
      <w:r w:rsidRPr="00712AE5">
        <w:rPr>
          <w:szCs w:val="24"/>
          <w:vertAlign w:val="subscript"/>
          <w:lang w:val="en-US"/>
        </w:rPr>
        <w:t xml:space="preserve"> </w:t>
      </w:r>
      <w:r w:rsidRPr="00712AE5">
        <w:rPr>
          <w:szCs w:val="24"/>
          <w:lang w:val="en-US"/>
        </w:rPr>
        <w:t>value could be derived from the following parameters</w:t>
      </w:r>
      <w:r>
        <w:rPr>
          <w:szCs w:val="24"/>
          <w:lang w:val="en-US"/>
        </w:rPr>
        <w:t>:</w:t>
      </w:r>
    </w:p>
    <w:p w:rsidR="00CE5B22" w:rsidRPr="00712AE5" w:rsidRDefault="00CE5B22" w:rsidP="000F6F99">
      <w:pPr>
        <w:pStyle w:val="ListParagraph"/>
        <w:numPr>
          <w:ilvl w:val="1"/>
          <w:numId w:val="12"/>
        </w:numPr>
        <w:spacing w:line="240" w:lineRule="auto"/>
        <w:rPr>
          <w:rFonts w:ascii="Times New Roman" w:hAnsi="Times New Roman" w:cs="Times New Roman"/>
          <w:sz w:val="24"/>
          <w:szCs w:val="24"/>
          <w:lang w:val="en-US"/>
        </w:rPr>
      </w:pPr>
      <w:r w:rsidRPr="00712AE5">
        <w:rPr>
          <w:rFonts w:ascii="Times New Roman" w:hAnsi="Times New Roman" w:cs="Times New Roman"/>
          <w:sz w:val="24"/>
          <w:szCs w:val="24"/>
          <w:lang w:val="en-US"/>
        </w:rPr>
        <w:t xml:space="preserve">Radio </w:t>
      </w:r>
      <w:r>
        <w:rPr>
          <w:rFonts w:ascii="Times New Roman" w:hAnsi="Times New Roman" w:cs="Times New Roman"/>
          <w:sz w:val="24"/>
          <w:szCs w:val="24"/>
          <w:lang w:val="en-US"/>
        </w:rPr>
        <w:t>l</w:t>
      </w:r>
      <w:r w:rsidRPr="00712AE5">
        <w:rPr>
          <w:rFonts w:ascii="Times New Roman" w:hAnsi="Times New Roman" w:cs="Times New Roman"/>
          <w:sz w:val="24"/>
          <w:szCs w:val="24"/>
          <w:lang w:val="en-US"/>
        </w:rPr>
        <w:t xml:space="preserve">ink </w:t>
      </w:r>
      <w:r>
        <w:rPr>
          <w:rFonts w:ascii="Times New Roman" w:hAnsi="Times New Roman" w:cs="Times New Roman"/>
          <w:sz w:val="24"/>
          <w:szCs w:val="24"/>
          <w:lang w:val="en-US"/>
        </w:rPr>
        <w:t>b</w:t>
      </w:r>
      <w:r w:rsidRPr="00712AE5">
        <w:rPr>
          <w:rFonts w:ascii="Times New Roman" w:hAnsi="Times New Roman" w:cs="Times New Roman"/>
          <w:sz w:val="24"/>
          <w:szCs w:val="24"/>
          <w:lang w:val="en-US"/>
        </w:rPr>
        <w:t xml:space="preserve">udget: </w:t>
      </w:r>
      <w:r>
        <w:rPr>
          <w:rFonts w:ascii="Times New Roman" w:hAnsi="Times New Roman" w:cs="Times New Roman"/>
          <w:sz w:val="24"/>
          <w:szCs w:val="24"/>
          <w:lang w:val="en-US"/>
        </w:rPr>
        <w:t xml:space="preserve">the </w:t>
      </w:r>
      <w:r w:rsidRPr="00712AE5">
        <w:rPr>
          <w:rFonts w:ascii="Times New Roman" w:hAnsi="Times New Roman" w:cs="Times New Roman"/>
          <w:sz w:val="24"/>
          <w:szCs w:val="24"/>
          <w:lang w:val="en-US"/>
        </w:rPr>
        <w:t xml:space="preserve">C/N </w:t>
      </w:r>
      <w:r>
        <w:rPr>
          <w:rFonts w:ascii="Times New Roman" w:hAnsi="Times New Roman" w:cs="Times New Roman"/>
          <w:sz w:val="24"/>
          <w:szCs w:val="24"/>
          <w:lang w:val="en-US"/>
        </w:rPr>
        <w:t xml:space="preserve">ratio </w:t>
      </w:r>
      <w:r w:rsidRPr="00712AE5">
        <w:rPr>
          <w:rFonts w:ascii="Times New Roman" w:hAnsi="Times New Roman" w:cs="Times New Roman"/>
          <w:sz w:val="24"/>
          <w:szCs w:val="24"/>
          <w:lang w:val="en-US"/>
        </w:rPr>
        <w:t xml:space="preserve">(dB) </w:t>
      </w:r>
      <w:r>
        <w:rPr>
          <w:rFonts w:ascii="Times New Roman" w:hAnsi="Times New Roman" w:cs="Times New Roman"/>
          <w:sz w:val="24"/>
          <w:szCs w:val="24"/>
          <w:lang w:val="en-US"/>
        </w:rPr>
        <w:t xml:space="preserve">is </w:t>
      </w:r>
      <w:r w:rsidRPr="00712AE5">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in </w:t>
      </w:r>
      <w:r w:rsidRPr="00712AE5">
        <w:rPr>
          <w:rFonts w:ascii="Times New Roman" w:hAnsi="Times New Roman" w:cs="Times New Roman"/>
          <w:sz w:val="24"/>
          <w:szCs w:val="24"/>
          <w:lang w:val="en-US"/>
        </w:rPr>
        <w:t xml:space="preserve">the IFIC </w:t>
      </w:r>
      <w:r>
        <w:rPr>
          <w:rFonts w:ascii="Times New Roman" w:hAnsi="Times New Roman" w:cs="Times New Roman"/>
          <w:sz w:val="24"/>
          <w:szCs w:val="24"/>
          <w:lang w:val="en-US"/>
        </w:rPr>
        <w:t>special section</w:t>
      </w:r>
    </w:p>
    <w:p w:rsidR="00CE5B22" w:rsidRDefault="00CE5B22" w:rsidP="000F6F99">
      <w:pPr>
        <w:pStyle w:val="ListParagraph"/>
        <w:numPr>
          <w:ilvl w:val="1"/>
          <w:numId w:val="1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w:t>
      </w:r>
      <w:r w:rsidRPr="00712AE5">
        <w:rPr>
          <w:rFonts w:ascii="Times New Roman" w:hAnsi="Times New Roman" w:cs="Times New Roman"/>
          <w:sz w:val="24"/>
          <w:szCs w:val="24"/>
          <w:lang w:val="en-US"/>
        </w:rPr>
        <w:t xml:space="preserve">eceiver capabilities: </w:t>
      </w:r>
      <w:r>
        <w:rPr>
          <w:rFonts w:ascii="Times New Roman" w:hAnsi="Times New Roman" w:cs="Times New Roman"/>
          <w:sz w:val="24"/>
          <w:szCs w:val="24"/>
          <w:lang w:val="en-US"/>
        </w:rPr>
        <w:t xml:space="preserve">the maximum antenna gain value </w:t>
      </w:r>
      <w:r w:rsidRPr="00712AE5">
        <w:rPr>
          <w:rFonts w:ascii="Times New Roman" w:hAnsi="Times New Roman" w:cs="Times New Roman"/>
          <w:i/>
          <w:sz w:val="24"/>
          <w:szCs w:val="24"/>
          <w:lang w:val="en-US"/>
        </w:rPr>
        <w:t>G</w:t>
      </w:r>
      <w:r w:rsidRPr="00712AE5">
        <w:rPr>
          <w:rFonts w:ascii="Times New Roman" w:hAnsi="Times New Roman" w:cs="Times New Roman"/>
          <w:i/>
          <w:sz w:val="24"/>
          <w:szCs w:val="24"/>
          <w:vertAlign w:val="subscript"/>
          <w:lang w:val="en-US"/>
        </w:rPr>
        <w:t>Rxmax</w:t>
      </w:r>
      <w:r>
        <w:rPr>
          <w:rFonts w:ascii="Times New Roman" w:hAnsi="Times New Roman" w:cs="Times New Roman"/>
          <w:sz w:val="24"/>
          <w:szCs w:val="24"/>
          <w:lang w:val="en-US"/>
        </w:rPr>
        <w:t xml:space="preserve"> and noise temperature </w:t>
      </w:r>
      <w:r w:rsidRPr="00712AE5">
        <w:rPr>
          <w:rFonts w:ascii="Times New Roman" w:hAnsi="Times New Roman" w:cs="Times New Roman"/>
          <w:i/>
          <w:sz w:val="24"/>
          <w:szCs w:val="24"/>
          <w:lang w:val="en-US"/>
        </w:rPr>
        <w:t>T</w:t>
      </w:r>
      <w:r w:rsidRPr="00712AE5">
        <w:rPr>
          <w:rFonts w:ascii="Times New Roman" w:hAnsi="Times New Roman" w:cs="Times New Roman"/>
          <w:i/>
          <w:sz w:val="24"/>
          <w:szCs w:val="24"/>
          <w:vertAlign w:val="subscript"/>
          <w:lang w:val="en-US"/>
        </w:rPr>
        <w:t>Rx</w:t>
      </w:r>
      <w:r>
        <w:rPr>
          <w:rFonts w:ascii="Times New Roman" w:hAnsi="Times New Roman" w:cs="Times New Roman"/>
          <w:i/>
          <w:sz w:val="24"/>
          <w:szCs w:val="24"/>
          <w:vertAlign w:val="subscript"/>
          <w:lang w:val="en-US"/>
        </w:rPr>
        <w:t xml:space="preserve"> </w:t>
      </w:r>
      <w:r w:rsidRPr="00712AE5">
        <w:rPr>
          <w:rFonts w:ascii="Times New Roman" w:hAnsi="Times New Roman" w:cs="Times New Roman"/>
          <w:i/>
          <w:sz w:val="24"/>
          <w:szCs w:val="24"/>
          <w:vertAlign w:val="subscript"/>
          <w:lang w:val="en-US"/>
        </w:rPr>
        <w:t xml:space="preserve">noise </w:t>
      </w:r>
      <w:r w:rsidRPr="00AF4D16">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are </w:t>
      </w:r>
      <w:r w:rsidRPr="00712AE5">
        <w:rPr>
          <w:rFonts w:ascii="Times New Roman" w:hAnsi="Times New Roman" w:cs="Times New Roman"/>
          <w:sz w:val="24"/>
          <w:szCs w:val="24"/>
          <w:lang w:val="en-US"/>
        </w:rPr>
        <w:t xml:space="preserve">available </w:t>
      </w:r>
      <w:r>
        <w:rPr>
          <w:rFonts w:ascii="Times New Roman" w:hAnsi="Times New Roman" w:cs="Times New Roman"/>
          <w:sz w:val="24"/>
          <w:szCs w:val="24"/>
          <w:lang w:val="en-US"/>
        </w:rPr>
        <w:t xml:space="preserve">in </w:t>
      </w:r>
      <w:r w:rsidRPr="00712AE5">
        <w:rPr>
          <w:rFonts w:ascii="Times New Roman" w:hAnsi="Times New Roman" w:cs="Times New Roman"/>
          <w:sz w:val="24"/>
          <w:szCs w:val="24"/>
          <w:lang w:val="en-US"/>
        </w:rPr>
        <w:t xml:space="preserve">the IFIC </w:t>
      </w:r>
      <w:r>
        <w:rPr>
          <w:rFonts w:ascii="Times New Roman" w:hAnsi="Times New Roman" w:cs="Times New Roman"/>
          <w:sz w:val="24"/>
          <w:szCs w:val="24"/>
          <w:lang w:val="en-US"/>
        </w:rPr>
        <w:t>special section</w:t>
      </w:r>
    </w:p>
    <w:p w:rsidR="00CE5B22" w:rsidRDefault="00CE5B22" w:rsidP="000F6F99">
      <w:pPr>
        <w:rPr>
          <w:szCs w:val="24"/>
          <w:lang w:val="en-US"/>
        </w:rPr>
      </w:pPr>
      <w:r w:rsidRPr="00247E46">
        <w:rPr>
          <w:szCs w:val="24"/>
          <w:lang w:val="en-US"/>
        </w:rPr>
        <w:t xml:space="preserve">Data related to </w:t>
      </w:r>
      <w:r>
        <w:rPr>
          <w:szCs w:val="24"/>
          <w:lang w:val="en-US"/>
        </w:rPr>
        <w:t>c</w:t>
      </w:r>
      <w:r w:rsidRPr="00247E46">
        <w:rPr>
          <w:szCs w:val="24"/>
          <w:lang w:val="en-US"/>
        </w:rPr>
        <w:t xml:space="preserve">oordination </w:t>
      </w:r>
      <w:r>
        <w:rPr>
          <w:szCs w:val="24"/>
          <w:lang w:val="en-US"/>
        </w:rPr>
        <w:t>requests</w:t>
      </w:r>
      <w:r w:rsidRPr="00247E46">
        <w:rPr>
          <w:szCs w:val="24"/>
          <w:lang w:val="en-US"/>
        </w:rPr>
        <w:t xml:space="preserve"> </w:t>
      </w:r>
      <w:r>
        <w:rPr>
          <w:szCs w:val="24"/>
          <w:lang w:val="en-US"/>
        </w:rPr>
        <w:t xml:space="preserve">of </w:t>
      </w:r>
      <w:r w:rsidRPr="00247E46">
        <w:rPr>
          <w:szCs w:val="24"/>
          <w:lang w:val="en-US"/>
        </w:rPr>
        <w:t xml:space="preserve">CHINASAT </w:t>
      </w:r>
      <w:r>
        <w:rPr>
          <w:szCs w:val="24"/>
          <w:lang w:val="en-US"/>
        </w:rPr>
        <w:t xml:space="preserve">satellite networks </w:t>
      </w:r>
      <w:r w:rsidRPr="00247E46">
        <w:rPr>
          <w:szCs w:val="24"/>
          <w:lang w:val="en-US"/>
        </w:rPr>
        <w:t xml:space="preserve">are given in the first 5 columns </w:t>
      </w:r>
      <w:r>
        <w:rPr>
          <w:szCs w:val="24"/>
          <w:lang w:val="en-US"/>
        </w:rPr>
        <w:t xml:space="preserve">of Table 5 below </w:t>
      </w:r>
      <w:r w:rsidRPr="00247E46">
        <w:rPr>
          <w:szCs w:val="24"/>
          <w:lang w:val="en-US"/>
        </w:rPr>
        <w:t xml:space="preserve">and the </w:t>
      </w:r>
      <w:r w:rsidRPr="00247E46">
        <w:rPr>
          <w:i/>
          <w:szCs w:val="24"/>
          <w:lang w:val="en-US"/>
        </w:rPr>
        <w:t>pfd</w:t>
      </w:r>
      <w:r w:rsidRPr="00247E46">
        <w:rPr>
          <w:i/>
          <w:szCs w:val="24"/>
          <w:vertAlign w:val="subscript"/>
          <w:lang w:val="en-US"/>
        </w:rPr>
        <w:t>min</w:t>
      </w:r>
      <w:r w:rsidRPr="00247E46">
        <w:rPr>
          <w:szCs w:val="24"/>
          <w:lang w:val="en-US"/>
        </w:rPr>
        <w:t xml:space="preserve"> is </w:t>
      </w:r>
      <w:r>
        <w:rPr>
          <w:szCs w:val="24"/>
          <w:lang w:val="en-US"/>
        </w:rPr>
        <w:t xml:space="preserve">then </w:t>
      </w:r>
      <w:r w:rsidRPr="00247E46">
        <w:rPr>
          <w:szCs w:val="24"/>
          <w:lang w:val="en-US"/>
        </w:rPr>
        <w:t>derived for each scenario. All orbit</w:t>
      </w:r>
      <w:r>
        <w:rPr>
          <w:szCs w:val="24"/>
          <w:lang w:val="en-US"/>
        </w:rPr>
        <w:t>al positions</w:t>
      </w:r>
      <w:r w:rsidRPr="00247E46">
        <w:rPr>
          <w:szCs w:val="24"/>
          <w:lang w:val="en-US"/>
        </w:rPr>
        <w:t xml:space="preserve"> refer to </w:t>
      </w:r>
      <w:r>
        <w:rPr>
          <w:szCs w:val="24"/>
          <w:lang w:val="en-US"/>
        </w:rPr>
        <w:t xml:space="preserve">the </w:t>
      </w:r>
      <w:r w:rsidRPr="00247E46">
        <w:rPr>
          <w:szCs w:val="24"/>
          <w:lang w:val="en-US"/>
        </w:rPr>
        <w:t>common 4 values</w:t>
      </w:r>
      <w:r>
        <w:rPr>
          <w:szCs w:val="24"/>
          <w:lang w:val="en-US"/>
        </w:rPr>
        <w:t xml:space="preserve"> of the </w:t>
      </w:r>
      <w:r w:rsidRPr="00247E46">
        <w:rPr>
          <w:i/>
          <w:szCs w:val="24"/>
          <w:lang w:val="en-US"/>
        </w:rPr>
        <w:t>G</w:t>
      </w:r>
      <w:r w:rsidRPr="00247E46">
        <w:rPr>
          <w:i/>
          <w:szCs w:val="24"/>
          <w:vertAlign w:val="subscript"/>
          <w:lang w:val="en-US"/>
        </w:rPr>
        <w:t>Rxmax</w:t>
      </w:r>
      <w:r w:rsidRPr="00247E46">
        <w:rPr>
          <w:i/>
          <w:szCs w:val="24"/>
          <w:lang w:val="en-US"/>
        </w:rPr>
        <w:t>, T, C/N</w:t>
      </w:r>
      <w:r>
        <w:rPr>
          <w:szCs w:val="24"/>
          <w:lang w:val="en-US"/>
        </w:rPr>
        <w:t xml:space="preserve"> parameters</w:t>
      </w:r>
      <w:r w:rsidRPr="00247E46">
        <w:rPr>
          <w:szCs w:val="24"/>
          <w:lang w:val="en-US"/>
        </w:rPr>
        <w:t>.</w:t>
      </w:r>
    </w:p>
    <w:p w:rsidR="00CE5B22" w:rsidRDefault="00CE5B22" w:rsidP="000F6F99">
      <w:pPr>
        <w:pStyle w:val="TableNo"/>
        <w:rPr>
          <w:lang w:val="en-US"/>
        </w:rPr>
      </w:pPr>
      <w:r>
        <w:rPr>
          <w:lang w:val="en-US"/>
        </w:rPr>
        <w:t>Table 5</w:t>
      </w:r>
    </w:p>
    <w:p w:rsidR="00CE5B22" w:rsidRPr="00A40C32" w:rsidRDefault="00CE5B22" w:rsidP="000F6F99">
      <w:pPr>
        <w:pStyle w:val="Tabletitle"/>
        <w:rPr>
          <w:rFonts w:hint="eastAsia"/>
          <w:lang w:val="en-US"/>
        </w:rPr>
      </w:pPr>
      <w:r>
        <w:rPr>
          <w:lang w:val="en-US"/>
        </w:rPr>
        <w:t>Required minimum pfd value for various CHINASAT satellite networks</w:t>
      </w:r>
    </w:p>
    <w:p w:rsidR="00CE5B22" w:rsidRPr="00247E46" w:rsidRDefault="00CE5B22" w:rsidP="000F6F99">
      <w:pPr>
        <w:pStyle w:val="Tablehead"/>
        <w:rPr>
          <w:rFonts w:hint="eastAsia"/>
          <w:lang w:val="en-US"/>
        </w:rPr>
      </w:pPr>
    </w:p>
    <w:tbl>
      <w:tblPr>
        <w:tblStyle w:val="TableGrid"/>
        <w:tblW w:w="0" w:type="auto"/>
        <w:jc w:val="center"/>
        <w:tblLook w:val="04A0" w:firstRow="1" w:lastRow="0" w:firstColumn="1" w:lastColumn="0" w:noHBand="0" w:noVBand="1"/>
      </w:tblPr>
      <w:tblGrid>
        <w:gridCol w:w="972"/>
        <w:gridCol w:w="1550"/>
        <w:gridCol w:w="661"/>
        <w:gridCol w:w="673"/>
        <w:gridCol w:w="709"/>
        <w:gridCol w:w="1701"/>
      </w:tblGrid>
      <w:tr w:rsidR="00CE5B22" w:rsidRPr="00712AE5" w:rsidTr="001C689E">
        <w:trPr>
          <w:jc w:val="center"/>
        </w:trPr>
        <w:tc>
          <w:tcPr>
            <w:tcW w:w="768" w:type="dxa"/>
          </w:tcPr>
          <w:p w:rsidR="00CE5B22" w:rsidRPr="00405E59" w:rsidRDefault="00CE5B22" w:rsidP="000F6F99">
            <w:pPr>
              <w:pStyle w:val="Tablehead"/>
            </w:pPr>
            <w:r w:rsidRPr="00405E59">
              <w:t>Orbit</w:t>
            </w:r>
            <w:r>
              <w:t>al positions (°E)</w:t>
            </w:r>
          </w:p>
        </w:tc>
        <w:tc>
          <w:tcPr>
            <w:tcW w:w="1550" w:type="dxa"/>
          </w:tcPr>
          <w:p w:rsidR="00CE5B22" w:rsidRPr="00405E59" w:rsidRDefault="00CE5B22" w:rsidP="000F6F99">
            <w:pPr>
              <w:pStyle w:val="Tablehead"/>
            </w:pPr>
            <w:r>
              <w:t>Beam Names</w:t>
            </w:r>
          </w:p>
        </w:tc>
        <w:tc>
          <w:tcPr>
            <w:tcW w:w="661" w:type="dxa"/>
          </w:tcPr>
          <w:p w:rsidR="00CE5B22" w:rsidRPr="00405E59" w:rsidRDefault="00CE5B22" w:rsidP="000F6F99">
            <w:pPr>
              <w:pStyle w:val="Tablehead"/>
            </w:pPr>
            <w:r w:rsidRPr="00405E59">
              <w:t>C/N</w:t>
            </w:r>
            <w:r>
              <w:t xml:space="preserve"> (dB)</w:t>
            </w:r>
          </w:p>
        </w:tc>
        <w:tc>
          <w:tcPr>
            <w:tcW w:w="673" w:type="dxa"/>
          </w:tcPr>
          <w:p w:rsidR="00CE5B22" w:rsidRPr="00405E59" w:rsidRDefault="00CE5B22" w:rsidP="000F6F99">
            <w:pPr>
              <w:pStyle w:val="Tablehead"/>
            </w:pPr>
            <w:r w:rsidRPr="00405E59">
              <w:t>Gr max (dB)</w:t>
            </w:r>
          </w:p>
        </w:tc>
        <w:tc>
          <w:tcPr>
            <w:tcW w:w="709" w:type="dxa"/>
          </w:tcPr>
          <w:p w:rsidR="00CE5B22" w:rsidRPr="00405E59" w:rsidRDefault="00CE5B22" w:rsidP="000F6F99">
            <w:pPr>
              <w:pStyle w:val="Tablehead"/>
            </w:pPr>
            <w:r w:rsidRPr="00405E59">
              <w:t>T (K)</w:t>
            </w:r>
          </w:p>
        </w:tc>
        <w:tc>
          <w:tcPr>
            <w:tcW w:w="1701" w:type="dxa"/>
          </w:tcPr>
          <w:p w:rsidR="00CE5B22" w:rsidRPr="0074379D" w:rsidRDefault="00CE5B22" w:rsidP="000F6F99">
            <w:pPr>
              <w:pStyle w:val="Tablehead"/>
            </w:pPr>
            <w:r>
              <w:t>Pfd</w:t>
            </w:r>
            <w:r w:rsidRPr="00AF4D16">
              <w:rPr>
                <w:vertAlign w:val="subscript"/>
              </w:rPr>
              <w:t>min</w:t>
            </w:r>
            <w:r>
              <w:t xml:space="preserve"> (dBW/(m</w:t>
            </w:r>
            <w:r w:rsidRPr="00F8414C">
              <w:rPr>
                <w:vertAlign w:val="superscript"/>
              </w:rPr>
              <w:t>2</w:t>
            </w:r>
            <w:r>
              <w:t>.MHz))</w:t>
            </w:r>
          </w:p>
        </w:tc>
      </w:tr>
      <w:tr w:rsidR="00CE5B22" w:rsidTr="001C689E">
        <w:trPr>
          <w:jc w:val="center"/>
        </w:trPr>
        <w:tc>
          <w:tcPr>
            <w:tcW w:w="768" w:type="dxa"/>
          </w:tcPr>
          <w:p w:rsidR="00CE5B22" w:rsidRDefault="00CE5B22" w:rsidP="000F6F99">
            <w:pPr>
              <w:pStyle w:val="Tabletext"/>
            </w:pPr>
            <w:r>
              <w:t>51.5/ 163</w:t>
            </w:r>
          </w:p>
        </w:tc>
        <w:tc>
          <w:tcPr>
            <w:tcW w:w="1550" w:type="dxa"/>
          </w:tcPr>
          <w:p w:rsidR="00CE5B22" w:rsidRDefault="00CE5B22" w:rsidP="000F6F99">
            <w:pPr>
              <w:pStyle w:val="Tabletext"/>
            </w:pPr>
            <w:r>
              <w:t>LDR</w:t>
            </w:r>
          </w:p>
        </w:tc>
        <w:tc>
          <w:tcPr>
            <w:tcW w:w="661" w:type="dxa"/>
            <w:vMerge w:val="restart"/>
          </w:tcPr>
          <w:p w:rsidR="00CE5B22" w:rsidRDefault="00CE5B22" w:rsidP="000F6F99">
            <w:pPr>
              <w:pStyle w:val="Tabletext"/>
            </w:pPr>
            <w:r>
              <w:t>13.2</w:t>
            </w:r>
          </w:p>
          <w:p w:rsidR="00CE5B22" w:rsidRDefault="00CE5B22" w:rsidP="000F6F99">
            <w:pPr>
              <w:pStyle w:val="Tabletext"/>
            </w:pPr>
            <w:r>
              <w:t>13.4</w:t>
            </w:r>
          </w:p>
          <w:p w:rsidR="00CE5B22" w:rsidRDefault="00CE5B22" w:rsidP="000F6F99">
            <w:pPr>
              <w:pStyle w:val="Tabletext"/>
            </w:pPr>
            <w:r>
              <w:t>13.5</w:t>
            </w:r>
          </w:p>
          <w:p w:rsidR="00CE5B22" w:rsidRDefault="00CE5B22" w:rsidP="000F6F99">
            <w:pPr>
              <w:pStyle w:val="Tabletext"/>
            </w:pPr>
            <w:r>
              <w:t>13.2</w:t>
            </w:r>
          </w:p>
        </w:tc>
        <w:tc>
          <w:tcPr>
            <w:tcW w:w="673" w:type="dxa"/>
            <w:vMerge w:val="restart"/>
          </w:tcPr>
          <w:p w:rsidR="00CE5B22" w:rsidRDefault="00CE5B22" w:rsidP="000F6F99">
            <w:pPr>
              <w:pStyle w:val="Tabletext"/>
            </w:pPr>
            <w:r>
              <w:t>5</w:t>
            </w:r>
          </w:p>
          <w:p w:rsidR="00CE5B22" w:rsidRDefault="00CE5B22" w:rsidP="000F6F99">
            <w:pPr>
              <w:pStyle w:val="Tabletext"/>
            </w:pPr>
            <w:r>
              <w:t>11</w:t>
            </w:r>
          </w:p>
          <w:p w:rsidR="00CE5B22" w:rsidRDefault="00CE5B22" w:rsidP="000F6F99">
            <w:pPr>
              <w:pStyle w:val="Tabletext"/>
            </w:pPr>
            <w:r>
              <w:t>17</w:t>
            </w:r>
          </w:p>
          <w:p w:rsidR="00CE5B22" w:rsidRDefault="00CE5B22" w:rsidP="000F6F99">
            <w:pPr>
              <w:pStyle w:val="Tabletext"/>
            </w:pPr>
            <w:r>
              <w:t>2</w:t>
            </w:r>
          </w:p>
        </w:tc>
        <w:tc>
          <w:tcPr>
            <w:tcW w:w="709" w:type="dxa"/>
            <w:vMerge w:val="restart"/>
          </w:tcPr>
          <w:p w:rsidR="00CE5B22" w:rsidRDefault="00CE5B22" w:rsidP="000F6F99">
            <w:pPr>
              <w:pStyle w:val="Tabletext"/>
            </w:pPr>
            <w:r>
              <w:t>280</w:t>
            </w:r>
          </w:p>
          <w:p w:rsidR="00CE5B22" w:rsidRDefault="00CE5B22" w:rsidP="000F6F99">
            <w:pPr>
              <w:pStyle w:val="Tabletext"/>
            </w:pPr>
            <w:r>
              <w:t>200</w:t>
            </w:r>
          </w:p>
          <w:p w:rsidR="00CE5B22" w:rsidRDefault="00CE5B22" w:rsidP="000F6F99">
            <w:pPr>
              <w:pStyle w:val="Tabletext"/>
            </w:pPr>
            <w:r>
              <w:t>150</w:t>
            </w:r>
          </w:p>
          <w:p w:rsidR="00CE5B22" w:rsidRDefault="00CE5B22" w:rsidP="000F6F99">
            <w:pPr>
              <w:pStyle w:val="Tabletext"/>
            </w:pPr>
            <w:r>
              <w:t>280</w:t>
            </w:r>
          </w:p>
        </w:tc>
        <w:tc>
          <w:tcPr>
            <w:tcW w:w="1701" w:type="dxa"/>
            <w:vMerge w:val="restart"/>
          </w:tcPr>
          <w:p w:rsidR="00CE5B22" w:rsidRDefault="00CE5B22" w:rsidP="000F6F99">
            <w:pPr>
              <w:pStyle w:val="Tabletext"/>
            </w:pPr>
            <w:r>
              <w:t>-111</w:t>
            </w:r>
          </w:p>
          <w:p w:rsidR="00CE5B22" w:rsidRDefault="00CE5B22" w:rsidP="000F6F99">
            <w:pPr>
              <w:pStyle w:val="Tabletext"/>
            </w:pPr>
            <w:r>
              <w:t>-118.3</w:t>
            </w:r>
          </w:p>
          <w:p w:rsidR="00CE5B22" w:rsidRDefault="00CE5B22" w:rsidP="000F6F99">
            <w:pPr>
              <w:pStyle w:val="Tabletext"/>
            </w:pPr>
            <w:r>
              <w:t>-125.4</w:t>
            </w:r>
          </w:p>
          <w:p w:rsidR="00CE5B22" w:rsidRDefault="00CE5B22" w:rsidP="000F6F99">
            <w:pPr>
              <w:pStyle w:val="Tabletext"/>
            </w:pPr>
            <w:r>
              <w:t>-108</w:t>
            </w:r>
          </w:p>
        </w:tc>
      </w:tr>
      <w:tr w:rsidR="00CE5B22" w:rsidTr="001C689E">
        <w:trPr>
          <w:jc w:val="center"/>
        </w:trPr>
        <w:tc>
          <w:tcPr>
            <w:tcW w:w="768" w:type="dxa"/>
          </w:tcPr>
          <w:p w:rsidR="00CE5B22" w:rsidRDefault="00CE5B22" w:rsidP="000F6F99">
            <w:pPr>
              <w:pStyle w:val="Tabletext"/>
            </w:pPr>
            <w:r>
              <w:t>87.5</w:t>
            </w:r>
          </w:p>
        </w:tc>
        <w:tc>
          <w:tcPr>
            <w:tcW w:w="1550" w:type="dxa"/>
          </w:tcPr>
          <w:p w:rsidR="00CE5B22" w:rsidRDefault="00CE5B22" w:rsidP="000F6F99">
            <w:pPr>
              <w:pStyle w:val="Tabletext"/>
            </w:pPr>
            <w:r>
              <w:t>LD1R, LD2R LD3R, LBDG LBDR</w:t>
            </w:r>
          </w:p>
        </w:tc>
        <w:tc>
          <w:tcPr>
            <w:tcW w:w="661" w:type="dxa"/>
            <w:vMerge/>
          </w:tcPr>
          <w:p w:rsidR="00CE5B22" w:rsidRDefault="00CE5B22" w:rsidP="000F6F99">
            <w:pPr>
              <w:pStyle w:val="Tabletext"/>
            </w:pPr>
          </w:p>
        </w:tc>
        <w:tc>
          <w:tcPr>
            <w:tcW w:w="673" w:type="dxa"/>
            <w:vMerge/>
          </w:tcPr>
          <w:p w:rsidR="00CE5B22" w:rsidRDefault="00CE5B22" w:rsidP="000F6F99">
            <w:pPr>
              <w:pStyle w:val="Tabletext"/>
            </w:pPr>
          </w:p>
        </w:tc>
        <w:tc>
          <w:tcPr>
            <w:tcW w:w="709" w:type="dxa"/>
            <w:vMerge/>
          </w:tcPr>
          <w:p w:rsidR="00CE5B22" w:rsidRDefault="00CE5B22" w:rsidP="000F6F99">
            <w:pPr>
              <w:pStyle w:val="Tabletext"/>
            </w:pPr>
          </w:p>
        </w:tc>
        <w:tc>
          <w:tcPr>
            <w:tcW w:w="1701" w:type="dxa"/>
            <w:vMerge/>
          </w:tcPr>
          <w:p w:rsidR="00CE5B22" w:rsidRDefault="00CE5B22" w:rsidP="000F6F99">
            <w:pPr>
              <w:pStyle w:val="Tabletext"/>
            </w:pPr>
          </w:p>
        </w:tc>
      </w:tr>
      <w:tr w:rsidR="00CE5B22" w:rsidTr="001C689E">
        <w:trPr>
          <w:jc w:val="center"/>
        </w:trPr>
        <w:tc>
          <w:tcPr>
            <w:tcW w:w="768" w:type="dxa"/>
          </w:tcPr>
          <w:p w:rsidR="00CE5B22" w:rsidRDefault="00CE5B22" w:rsidP="000F6F99">
            <w:pPr>
              <w:pStyle w:val="Tabletext"/>
            </w:pPr>
            <w:r>
              <w:t>110.5</w:t>
            </w:r>
          </w:p>
          <w:p w:rsidR="00CE5B22" w:rsidRDefault="00CE5B22" w:rsidP="000F6F99">
            <w:pPr>
              <w:pStyle w:val="Tabletext"/>
            </w:pPr>
            <w:r>
              <w:t>115.5</w:t>
            </w:r>
          </w:p>
          <w:p w:rsidR="00CE5B22" w:rsidRDefault="00CE5B22" w:rsidP="000F6F99">
            <w:pPr>
              <w:pStyle w:val="Tabletext"/>
            </w:pPr>
            <w:r>
              <w:t>126</w:t>
            </w:r>
          </w:p>
          <w:p w:rsidR="00CE5B22" w:rsidRDefault="00CE5B22" w:rsidP="000F6F99">
            <w:pPr>
              <w:pStyle w:val="Tabletext"/>
            </w:pPr>
            <w:r>
              <w:t>136</w:t>
            </w:r>
          </w:p>
        </w:tc>
        <w:tc>
          <w:tcPr>
            <w:tcW w:w="1550" w:type="dxa"/>
          </w:tcPr>
          <w:p w:rsidR="00CE5B22" w:rsidRDefault="00CE5B22" w:rsidP="000F6F99">
            <w:pPr>
              <w:pStyle w:val="Tabletext"/>
            </w:pPr>
            <w:r>
              <w:t>LBDR</w:t>
            </w:r>
          </w:p>
        </w:tc>
        <w:tc>
          <w:tcPr>
            <w:tcW w:w="661" w:type="dxa"/>
            <w:vMerge/>
          </w:tcPr>
          <w:p w:rsidR="00CE5B22" w:rsidRDefault="00CE5B22" w:rsidP="000F6F99">
            <w:pPr>
              <w:pStyle w:val="Tabletext"/>
            </w:pPr>
          </w:p>
        </w:tc>
        <w:tc>
          <w:tcPr>
            <w:tcW w:w="673" w:type="dxa"/>
            <w:vMerge/>
          </w:tcPr>
          <w:p w:rsidR="00CE5B22" w:rsidRDefault="00CE5B22" w:rsidP="000F6F99">
            <w:pPr>
              <w:pStyle w:val="Tabletext"/>
            </w:pPr>
          </w:p>
        </w:tc>
        <w:tc>
          <w:tcPr>
            <w:tcW w:w="709" w:type="dxa"/>
            <w:vMerge/>
          </w:tcPr>
          <w:p w:rsidR="00CE5B22" w:rsidRDefault="00CE5B22" w:rsidP="000F6F99">
            <w:pPr>
              <w:pStyle w:val="Tabletext"/>
            </w:pPr>
          </w:p>
        </w:tc>
        <w:tc>
          <w:tcPr>
            <w:tcW w:w="1701" w:type="dxa"/>
            <w:vMerge/>
          </w:tcPr>
          <w:p w:rsidR="00CE5B22" w:rsidRDefault="00CE5B22" w:rsidP="000F6F99">
            <w:pPr>
              <w:pStyle w:val="Tabletext"/>
            </w:pPr>
          </w:p>
        </w:tc>
      </w:tr>
      <w:tr w:rsidR="00CE5B22" w:rsidTr="001C689E">
        <w:trPr>
          <w:jc w:val="center"/>
        </w:trPr>
        <w:tc>
          <w:tcPr>
            <w:tcW w:w="768" w:type="dxa"/>
          </w:tcPr>
          <w:p w:rsidR="00CE5B22" w:rsidRDefault="00CE5B22" w:rsidP="000F6F99">
            <w:pPr>
              <w:pStyle w:val="Tabletext"/>
            </w:pPr>
            <w:r>
              <w:t>125 163</w:t>
            </w:r>
          </w:p>
        </w:tc>
        <w:tc>
          <w:tcPr>
            <w:tcW w:w="1550" w:type="dxa"/>
          </w:tcPr>
          <w:p w:rsidR="00CE5B22" w:rsidRDefault="00CE5B22" w:rsidP="000F6F99">
            <w:pPr>
              <w:pStyle w:val="Tabletext"/>
            </w:pPr>
            <w:r>
              <w:t>LBDG, LBDR</w:t>
            </w:r>
          </w:p>
        </w:tc>
        <w:tc>
          <w:tcPr>
            <w:tcW w:w="661" w:type="dxa"/>
            <w:vMerge/>
          </w:tcPr>
          <w:p w:rsidR="00CE5B22" w:rsidRDefault="00CE5B22" w:rsidP="000F6F99">
            <w:pPr>
              <w:pStyle w:val="Tabletext"/>
            </w:pPr>
          </w:p>
        </w:tc>
        <w:tc>
          <w:tcPr>
            <w:tcW w:w="673" w:type="dxa"/>
            <w:vMerge/>
          </w:tcPr>
          <w:p w:rsidR="00CE5B22" w:rsidRDefault="00CE5B22" w:rsidP="000F6F99">
            <w:pPr>
              <w:pStyle w:val="Tabletext"/>
            </w:pPr>
          </w:p>
        </w:tc>
        <w:tc>
          <w:tcPr>
            <w:tcW w:w="709" w:type="dxa"/>
            <w:vMerge/>
          </w:tcPr>
          <w:p w:rsidR="00CE5B22" w:rsidRDefault="00CE5B22" w:rsidP="000F6F99">
            <w:pPr>
              <w:pStyle w:val="Tabletext"/>
            </w:pPr>
          </w:p>
        </w:tc>
        <w:tc>
          <w:tcPr>
            <w:tcW w:w="1701" w:type="dxa"/>
            <w:vMerge/>
          </w:tcPr>
          <w:p w:rsidR="00CE5B22" w:rsidRDefault="00CE5B22" w:rsidP="000F6F99">
            <w:pPr>
              <w:pStyle w:val="Tabletext"/>
            </w:pPr>
          </w:p>
        </w:tc>
      </w:tr>
    </w:tbl>
    <w:p w:rsidR="00CE5B22" w:rsidRDefault="00CE5B22" w:rsidP="000F6F99">
      <w:pPr>
        <w:rPr>
          <w:szCs w:val="24"/>
          <w:lang w:val="en-US"/>
        </w:rPr>
      </w:pPr>
    </w:p>
    <w:p w:rsidR="00CE5B22" w:rsidRDefault="00CE5B22" w:rsidP="000F6F99">
      <w:pPr>
        <w:rPr>
          <w:szCs w:val="24"/>
          <w:lang w:val="en-US"/>
        </w:rPr>
      </w:pPr>
      <w:r w:rsidRPr="00712AE5">
        <w:rPr>
          <w:szCs w:val="24"/>
          <w:lang w:val="en-US"/>
        </w:rPr>
        <w:t xml:space="preserve">Several cases show </w:t>
      </w:r>
      <w:r>
        <w:rPr>
          <w:szCs w:val="24"/>
          <w:lang w:val="en-US"/>
        </w:rPr>
        <w:t xml:space="preserve">required minimum </w:t>
      </w:r>
      <w:r w:rsidRPr="00712AE5">
        <w:rPr>
          <w:szCs w:val="24"/>
          <w:lang w:val="en-US"/>
        </w:rPr>
        <w:t xml:space="preserve">pfd </w:t>
      </w:r>
      <w:r>
        <w:rPr>
          <w:szCs w:val="24"/>
          <w:lang w:val="en-US"/>
        </w:rPr>
        <w:t xml:space="preserve">levels </w:t>
      </w:r>
      <w:r w:rsidRPr="00712AE5">
        <w:rPr>
          <w:szCs w:val="24"/>
          <w:lang w:val="en-US"/>
        </w:rPr>
        <w:t>higher than the proposed pfd limit</w:t>
      </w:r>
      <w:r>
        <w:rPr>
          <w:szCs w:val="24"/>
          <w:lang w:val="en-US"/>
        </w:rPr>
        <w:t xml:space="preserve"> (i.e. </w:t>
      </w:r>
      <w:r w:rsidRPr="00712AE5">
        <w:rPr>
          <w:szCs w:val="24"/>
          <w:lang w:val="en-US"/>
        </w:rPr>
        <w:t>-111</w:t>
      </w:r>
      <w:r>
        <w:rPr>
          <w:szCs w:val="24"/>
          <w:lang w:val="en-US"/>
        </w:rPr>
        <w:t xml:space="preserve"> and </w:t>
      </w:r>
      <w:r>
        <w:rPr>
          <w:szCs w:val="24"/>
          <w:lang w:val="en-US"/>
        </w:rPr>
        <w:noBreakHyphen/>
      </w:r>
      <w:r w:rsidRPr="00712AE5">
        <w:rPr>
          <w:szCs w:val="24"/>
          <w:lang w:val="en-US"/>
        </w:rPr>
        <w:t>108</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In order to </w:t>
      </w:r>
      <w:r w:rsidRPr="007F65CD">
        <w:rPr>
          <w:szCs w:val="24"/>
          <w:lang w:val="en-US"/>
        </w:rPr>
        <w:t>assess if the proposed pfd limit (-113</w:t>
      </w:r>
      <w:r>
        <w:rPr>
          <w:szCs w:val="24"/>
          <w:lang w:val="en-US"/>
        </w:rPr>
        <w:t xml:space="preserve"> </w:t>
      </w:r>
      <w:r w:rsidRPr="007F65CD">
        <w:rPr>
          <w:szCs w:val="24"/>
          <w:lang w:val="en-US"/>
        </w:rPr>
        <w:t>dBW/</w:t>
      </w:r>
      <w:r>
        <w:rPr>
          <w:szCs w:val="24"/>
          <w:lang w:val="en-US"/>
        </w:rPr>
        <w:t>(</w:t>
      </w:r>
      <w:r w:rsidRPr="007F65CD">
        <w:rPr>
          <w:szCs w:val="24"/>
          <w:lang w:val="en-US"/>
        </w:rPr>
        <w:t>m</w:t>
      </w:r>
      <w:r w:rsidRPr="00AF4D16">
        <w:rPr>
          <w:szCs w:val="24"/>
          <w:vertAlign w:val="superscript"/>
          <w:lang w:val="en-US"/>
        </w:rPr>
        <w:t>2</w:t>
      </w:r>
      <w:r>
        <w:rPr>
          <w:szCs w:val="24"/>
          <w:lang w:val="en-US"/>
        </w:rPr>
        <w:t>.</w:t>
      </w:r>
      <w:r w:rsidRPr="007F65CD">
        <w:rPr>
          <w:szCs w:val="24"/>
          <w:lang w:val="en-US"/>
        </w:rPr>
        <w:t>MHz</w:t>
      </w:r>
      <w:r>
        <w:rPr>
          <w:szCs w:val="24"/>
          <w:lang w:val="en-US"/>
        </w:rPr>
        <w:t>)</w:t>
      </w:r>
      <w:r w:rsidRPr="007F65CD">
        <w:rPr>
          <w:szCs w:val="24"/>
          <w:lang w:val="en-US"/>
        </w:rPr>
        <w:t xml:space="preserve">) quantitatively affects or not the coverage requirements of the BSS operator within </w:t>
      </w:r>
      <w:r>
        <w:rPr>
          <w:szCs w:val="24"/>
          <w:lang w:val="en-US"/>
        </w:rPr>
        <w:t xml:space="preserve">its (large) </w:t>
      </w:r>
      <w:r w:rsidRPr="007F65CD">
        <w:rPr>
          <w:szCs w:val="24"/>
          <w:lang w:val="en-US"/>
        </w:rPr>
        <w:t>service area</w:t>
      </w:r>
      <w:r>
        <w:rPr>
          <w:szCs w:val="24"/>
          <w:lang w:val="en-US"/>
        </w:rPr>
        <w:t>, modelling the antenna pattern of the BSS transmitting satellite would be</w:t>
      </w:r>
      <w:r w:rsidRPr="007F65CD">
        <w:rPr>
          <w:szCs w:val="24"/>
          <w:lang w:val="en-US"/>
        </w:rPr>
        <w:t xml:space="preserve"> required to </w:t>
      </w:r>
      <w:r>
        <w:rPr>
          <w:szCs w:val="24"/>
          <w:lang w:val="en-US"/>
        </w:rPr>
        <w:t xml:space="preserve">compute radio link budgets. Since </w:t>
      </w:r>
      <w:r w:rsidRPr="00743B4C">
        <w:rPr>
          <w:szCs w:val="24"/>
          <w:lang w:val="en-US"/>
        </w:rPr>
        <w:t xml:space="preserve">BSS systems </w:t>
      </w:r>
      <w:r>
        <w:rPr>
          <w:szCs w:val="24"/>
          <w:lang w:val="en-US"/>
        </w:rPr>
        <w:t>for this scenario are assumed to use steerable spot beams ,</w:t>
      </w:r>
      <w:r w:rsidRPr="00743B4C">
        <w:rPr>
          <w:szCs w:val="24"/>
          <w:lang w:val="en-US"/>
        </w:rPr>
        <w:t xml:space="preserve"> </w:t>
      </w:r>
      <w:r w:rsidRPr="00743B4C">
        <w:rPr>
          <w:szCs w:val="24"/>
          <w:lang w:val="en-US"/>
        </w:rPr>
        <w:lastRenderedPageBreak/>
        <w:t>Rec</w:t>
      </w:r>
      <w:r>
        <w:rPr>
          <w:szCs w:val="24"/>
          <w:lang w:val="en-US"/>
        </w:rPr>
        <w:t xml:space="preserve">ommendation </w:t>
      </w:r>
      <w:r w:rsidRPr="00743B4C">
        <w:rPr>
          <w:szCs w:val="24"/>
          <w:lang w:val="en-US"/>
        </w:rPr>
        <w:t>ITU-R S.672-4</w:t>
      </w:r>
      <w:r>
        <w:rPr>
          <w:szCs w:val="24"/>
          <w:lang w:val="en-US"/>
        </w:rPr>
        <w:t xml:space="preserve"> was used to model the transmitting antenna pattern of these satellites. Based on that information, </w:t>
      </w:r>
      <w:r w:rsidRPr="00712AE5">
        <w:rPr>
          <w:szCs w:val="24"/>
          <w:lang w:val="en-US"/>
        </w:rPr>
        <w:t>the proposed pfd limit (-113</w:t>
      </w:r>
      <w:r>
        <w:rPr>
          <w:szCs w:val="24"/>
          <w:lang w:val="en-US"/>
        </w:rPr>
        <w:t xml:space="preserve"> </w:t>
      </w:r>
      <w:r w:rsidRPr="00712AE5">
        <w:rPr>
          <w:szCs w:val="24"/>
          <w:lang w:val="en-US"/>
        </w:rPr>
        <w:t>dBW/</w:t>
      </w:r>
      <w:r>
        <w:rPr>
          <w:szCs w:val="24"/>
          <w:lang w:val="en-US"/>
        </w:rPr>
        <w:t>(</w:t>
      </w:r>
      <w:r w:rsidRPr="00712AE5">
        <w:rPr>
          <w:szCs w:val="24"/>
          <w:lang w:val="en-US"/>
        </w:rPr>
        <w:t>m</w:t>
      </w:r>
      <w:r w:rsidRPr="0005283F">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is then derived and</w:t>
      </w:r>
      <w:r w:rsidRPr="00712AE5">
        <w:rPr>
          <w:szCs w:val="24"/>
          <w:lang w:val="en-US"/>
        </w:rPr>
        <w:t xml:space="preserve"> </w:t>
      </w:r>
      <w:r>
        <w:rPr>
          <w:szCs w:val="24"/>
          <w:lang w:val="en-US"/>
        </w:rPr>
        <w:t>depicted</w:t>
      </w:r>
      <w:r w:rsidRPr="00712AE5">
        <w:rPr>
          <w:szCs w:val="24"/>
          <w:lang w:val="en-US"/>
        </w:rPr>
        <w:t xml:space="preserve"> by the red ellipse</w:t>
      </w:r>
      <w:r>
        <w:rPr>
          <w:szCs w:val="24"/>
          <w:lang w:val="en-US"/>
        </w:rPr>
        <w:t xml:space="preserve"> over the Chinese territory in the following figure. It can be seen that this ellipse </w:t>
      </w:r>
      <w:r w:rsidRPr="00712AE5">
        <w:rPr>
          <w:szCs w:val="24"/>
          <w:lang w:val="en-US"/>
        </w:rPr>
        <w:t xml:space="preserve">is roughly included in the territory of the </w:t>
      </w:r>
      <w:r>
        <w:rPr>
          <w:szCs w:val="24"/>
          <w:lang w:val="en-US"/>
        </w:rPr>
        <w:t xml:space="preserve">Chinese </w:t>
      </w:r>
      <w:r w:rsidRPr="00712AE5">
        <w:rPr>
          <w:szCs w:val="24"/>
          <w:lang w:val="en-US"/>
        </w:rPr>
        <w:t>country (depicted in green)</w:t>
      </w:r>
      <w:r>
        <w:rPr>
          <w:szCs w:val="24"/>
          <w:lang w:val="en-US"/>
        </w:rPr>
        <w:t>.</w:t>
      </w:r>
    </w:p>
    <w:p w:rsidR="00CE5B22" w:rsidRPr="00C57ED4" w:rsidRDefault="00CE5B22" w:rsidP="000F6F99">
      <w:pPr>
        <w:pStyle w:val="FigureNo"/>
      </w:pPr>
      <w:r w:rsidRPr="00C57ED4">
        <w:t>Figure 6</w:t>
      </w:r>
    </w:p>
    <w:p w:rsidR="00CE5B22" w:rsidRDefault="00CE5B22" w:rsidP="000F6F99">
      <w:pPr>
        <w:pStyle w:val="Figuretitle"/>
        <w:rPr>
          <w:rFonts w:hint="eastAsia"/>
        </w:rPr>
      </w:pPr>
      <w:r>
        <w:t>C</w:t>
      </w:r>
      <w:r w:rsidRPr="008528A8">
        <w:t xml:space="preserve">onstant pfd area of </w:t>
      </w:r>
      <w:r>
        <w:t xml:space="preserve">a steerable spot beam pointed towards the Chinese territory </w:t>
      </w:r>
      <w:r>
        <w:br/>
        <w:t>as modelled with Recommendation ITU-R S.672-4</w:t>
      </w:r>
    </w:p>
    <w:p w:rsidR="00CE5B22" w:rsidRDefault="00CE5B22" w:rsidP="000F6F99">
      <w:pPr>
        <w:pStyle w:val="Figure"/>
        <w:rPr>
          <w:lang w:val="en-US"/>
        </w:rPr>
      </w:pPr>
      <w:r>
        <w:rPr>
          <w:noProof/>
          <w:lang w:val="en-US" w:eastAsia="zh-CN"/>
        </w:rPr>
        <w:drawing>
          <wp:inline distT="0" distB="0" distL="0" distR="0" wp14:anchorId="73D6428D" wp14:editId="7DC4156D">
            <wp:extent cx="5067088" cy="1961909"/>
            <wp:effectExtent l="0" t="0" r="635" b="635"/>
            <wp:docPr id="17" name="Image 17" descr="cid:image006.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0BD7F.363DA4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84219" cy="1968542"/>
                    </a:xfrm>
                    <a:prstGeom prst="rect">
                      <a:avLst/>
                    </a:prstGeom>
                    <a:noFill/>
                    <a:ln>
                      <a:noFill/>
                    </a:ln>
                  </pic:spPr>
                </pic:pic>
              </a:graphicData>
            </a:graphic>
          </wp:inline>
        </w:drawing>
      </w:r>
    </w:p>
    <w:p w:rsidR="00CE5B22" w:rsidRDefault="00CE5B22" w:rsidP="000F6F99">
      <w:pPr>
        <w:rPr>
          <w:szCs w:val="24"/>
          <w:lang w:val="en-US"/>
        </w:rPr>
      </w:pPr>
      <w:r w:rsidRPr="00712AE5">
        <w:rPr>
          <w:szCs w:val="24"/>
          <w:lang w:val="en-US"/>
        </w:rPr>
        <w:t xml:space="preserve">One could object that such spot beam does not cover the whole territory (North East &amp; North West of China) and that this red ellipse is </w:t>
      </w:r>
      <w:r>
        <w:rPr>
          <w:szCs w:val="24"/>
          <w:lang w:val="en-US"/>
        </w:rPr>
        <w:t xml:space="preserve">close to </w:t>
      </w:r>
      <w:r w:rsidRPr="00712AE5">
        <w:rPr>
          <w:szCs w:val="24"/>
          <w:lang w:val="en-US"/>
        </w:rPr>
        <w:t>15</w:t>
      </w:r>
      <w:r>
        <w:rPr>
          <w:szCs w:val="24"/>
          <w:lang w:val="en-US"/>
        </w:rPr>
        <w:t xml:space="preserve"> </w:t>
      </w:r>
      <w:r w:rsidRPr="00712AE5">
        <w:rPr>
          <w:szCs w:val="24"/>
          <w:lang w:val="en-US"/>
        </w:rPr>
        <w:t xml:space="preserve">dB antenna gain discrimination isocurve </w:t>
      </w:r>
      <w:r>
        <w:rPr>
          <w:szCs w:val="24"/>
          <w:lang w:val="en-US"/>
        </w:rPr>
        <w:t xml:space="preserve">from the antenna boresight, </w:t>
      </w:r>
      <w:r w:rsidRPr="00712AE5">
        <w:rPr>
          <w:szCs w:val="24"/>
          <w:lang w:val="en-US"/>
        </w:rPr>
        <w:t xml:space="preserve">which is uncommon for antenna discrimination </w:t>
      </w:r>
      <w:r>
        <w:rPr>
          <w:szCs w:val="24"/>
          <w:lang w:val="en-US"/>
        </w:rPr>
        <w:t>at</w:t>
      </w:r>
      <w:r w:rsidRPr="00712AE5">
        <w:rPr>
          <w:szCs w:val="24"/>
          <w:lang w:val="en-US"/>
        </w:rPr>
        <w:t xml:space="preserve"> the coverage edge</w:t>
      </w:r>
      <w:r>
        <w:rPr>
          <w:szCs w:val="24"/>
          <w:lang w:val="en-US"/>
        </w:rPr>
        <w:t xml:space="preserve"> (lower values are expected)</w:t>
      </w:r>
      <w:r w:rsidRPr="00712AE5">
        <w:rPr>
          <w:szCs w:val="24"/>
          <w:lang w:val="en-US"/>
        </w:rPr>
        <w:t xml:space="preserve">. </w:t>
      </w:r>
      <w:r>
        <w:rPr>
          <w:szCs w:val="24"/>
          <w:lang w:val="en-US"/>
        </w:rPr>
        <w:t xml:space="preserve">Moreover, since ITU special sections do not provide any details on the actual coverage of spot beams, </w:t>
      </w:r>
      <w:r w:rsidRPr="00712AE5">
        <w:rPr>
          <w:szCs w:val="24"/>
          <w:lang w:val="en-US"/>
        </w:rPr>
        <w:t xml:space="preserve">the following </w:t>
      </w:r>
      <w:r>
        <w:rPr>
          <w:szCs w:val="24"/>
          <w:lang w:val="en-US"/>
        </w:rPr>
        <w:t xml:space="preserve">figure tries to demonstrate </w:t>
      </w:r>
      <w:r w:rsidRPr="00712AE5">
        <w:rPr>
          <w:szCs w:val="24"/>
          <w:lang w:val="en-US"/>
        </w:rPr>
        <w:t xml:space="preserve">the </w:t>
      </w:r>
      <w:r>
        <w:rPr>
          <w:szCs w:val="24"/>
          <w:lang w:val="en-US"/>
        </w:rPr>
        <w:t xml:space="preserve">feasibility of covering </w:t>
      </w:r>
      <w:r w:rsidRPr="00712AE5">
        <w:rPr>
          <w:szCs w:val="24"/>
          <w:lang w:val="en-US"/>
        </w:rPr>
        <w:t xml:space="preserve">the Chinese territory </w:t>
      </w:r>
      <w:r>
        <w:rPr>
          <w:szCs w:val="24"/>
          <w:lang w:val="en-US"/>
        </w:rPr>
        <w:t xml:space="preserve">by </w:t>
      </w:r>
      <w:r w:rsidRPr="00712AE5">
        <w:rPr>
          <w:szCs w:val="24"/>
          <w:lang w:val="en-US"/>
        </w:rPr>
        <w:t>several spot</w:t>
      </w:r>
      <w:r>
        <w:rPr>
          <w:szCs w:val="24"/>
          <w:lang w:val="en-US"/>
        </w:rPr>
        <w:t xml:space="preserve"> </w:t>
      </w:r>
      <w:r w:rsidRPr="00712AE5">
        <w:rPr>
          <w:szCs w:val="24"/>
          <w:lang w:val="en-US"/>
        </w:rPr>
        <w:t xml:space="preserve">beams (e.g. 2) </w:t>
      </w:r>
      <w:r>
        <w:rPr>
          <w:szCs w:val="24"/>
          <w:lang w:val="en-US"/>
        </w:rPr>
        <w:t xml:space="preserve">for which </w:t>
      </w:r>
      <w:r w:rsidRPr="00712AE5">
        <w:rPr>
          <w:szCs w:val="24"/>
          <w:lang w:val="en-US"/>
        </w:rPr>
        <w:t xml:space="preserve">each red ellipse </w:t>
      </w:r>
      <w:r>
        <w:rPr>
          <w:szCs w:val="24"/>
          <w:lang w:val="en-US"/>
        </w:rPr>
        <w:t xml:space="preserve">depicts </w:t>
      </w:r>
      <w:r w:rsidRPr="00712AE5">
        <w:rPr>
          <w:szCs w:val="24"/>
          <w:lang w:val="en-US"/>
        </w:rPr>
        <w:t xml:space="preserve">the </w:t>
      </w:r>
      <w:r>
        <w:rPr>
          <w:szCs w:val="24"/>
          <w:lang w:val="en-US"/>
        </w:rPr>
        <w:t xml:space="preserve">area outside of which the </w:t>
      </w:r>
      <w:r w:rsidRPr="00712AE5">
        <w:rPr>
          <w:szCs w:val="24"/>
          <w:lang w:val="en-US"/>
        </w:rPr>
        <w:t>proposed pfd limit (-113</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MHz</w:t>
      </w:r>
      <w:r>
        <w:rPr>
          <w:szCs w:val="24"/>
          <w:lang w:val="en-US"/>
        </w:rPr>
        <w:t>)</w:t>
      </w:r>
      <w:r w:rsidRPr="00712AE5">
        <w:rPr>
          <w:szCs w:val="24"/>
          <w:lang w:val="en-US"/>
        </w:rPr>
        <w:t>)</w:t>
      </w:r>
      <w:r>
        <w:rPr>
          <w:szCs w:val="24"/>
          <w:lang w:val="en-US"/>
        </w:rPr>
        <w:t xml:space="preserve"> is met</w:t>
      </w:r>
      <w:r w:rsidRPr="00712AE5">
        <w:rPr>
          <w:szCs w:val="24"/>
          <w:lang w:val="en-US"/>
        </w:rPr>
        <w:t>.</w:t>
      </w:r>
      <w:r w:rsidRPr="00953E23">
        <w:rPr>
          <w:szCs w:val="24"/>
          <w:lang w:val="en-US"/>
        </w:rPr>
        <w:t xml:space="preserve"> </w:t>
      </w:r>
    </w:p>
    <w:p w:rsidR="00CE5B22" w:rsidRPr="00E41005" w:rsidRDefault="00CE5B22" w:rsidP="000F6F99">
      <w:pPr>
        <w:pStyle w:val="FigureNo"/>
      </w:pPr>
      <w:r>
        <w:t>Figure 7</w:t>
      </w:r>
    </w:p>
    <w:p w:rsidR="00CE5B22" w:rsidRPr="00712AE5" w:rsidRDefault="00CE5B22" w:rsidP="000F6F99">
      <w:pPr>
        <w:pStyle w:val="Figuretitle"/>
        <w:rPr>
          <w:rFonts w:hint="eastAsia"/>
          <w:szCs w:val="24"/>
          <w:lang w:val="en-US"/>
        </w:rPr>
      </w:pPr>
      <w:r>
        <w:t xml:space="preserve">Possible coverage of the Chinese territory with two spot beams </w:t>
      </w:r>
      <w:r>
        <w:br/>
        <w:t>modelled with Recommendation ITU-R S.672-4</w:t>
      </w:r>
    </w:p>
    <w:p w:rsidR="00CE5B22" w:rsidRDefault="00CE5B22" w:rsidP="000F6F99">
      <w:pPr>
        <w:pStyle w:val="Figure"/>
        <w:rPr>
          <w:lang w:val="en-US"/>
        </w:rPr>
      </w:pPr>
      <w:r>
        <w:rPr>
          <w:noProof/>
          <w:lang w:val="en-US" w:eastAsia="zh-CN"/>
        </w:rPr>
        <w:drawing>
          <wp:inline distT="0" distB="0" distL="0" distR="0" wp14:anchorId="667700B0" wp14:editId="7E625725">
            <wp:extent cx="2943225" cy="1800225"/>
            <wp:effectExtent l="0" t="0" r="9525" b="9525"/>
            <wp:docPr id="18" name="Image 18" descr="cid:image001.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0BD7F.363DA4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943225" cy="1800225"/>
                    </a:xfrm>
                    <a:prstGeom prst="rect">
                      <a:avLst/>
                    </a:prstGeom>
                    <a:noFill/>
                    <a:ln>
                      <a:noFill/>
                    </a:ln>
                  </pic:spPr>
                </pic:pic>
              </a:graphicData>
            </a:graphic>
          </wp:inline>
        </w:drawing>
      </w:r>
    </w:p>
    <w:p w:rsidR="00CE5B22" w:rsidRDefault="00CE5B22" w:rsidP="000F6F99">
      <w:pPr>
        <w:tabs>
          <w:tab w:val="clear" w:pos="1134"/>
          <w:tab w:val="clear" w:pos="1871"/>
          <w:tab w:val="clear" w:pos="2268"/>
        </w:tabs>
        <w:overflowPunct/>
        <w:autoSpaceDE/>
        <w:autoSpaceDN/>
        <w:adjustRightInd/>
        <w:spacing w:before="0"/>
        <w:textAlignment w:val="auto"/>
        <w:rPr>
          <w:szCs w:val="24"/>
          <w:lang w:val="en-US"/>
        </w:rPr>
      </w:pPr>
      <w:r>
        <w:rPr>
          <w:szCs w:val="24"/>
          <w:lang w:val="en-US"/>
        </w:rPr>
        <w:br w:type="page"/>
      </w:r>
    </w:p>
    <w:p w:rsidR="00CE5B22" w:rsidRDefault="00CE5B22" w:rsidP="000F6F99">
      <w:pPr>
        <w:rPr>
          <w:szCs w:val="24"/>
          <w:lang w:val="en-US"/>
        </w:rPr>
      </w:pPr>
      <w:r w:rsidRPr="00712AE5">
        <w:rPr>
          <w:szCs w:val="24"/>
          <w:lang w:val="en-US"/>
        </w:rPr>
        <w:lastRenderedPageBreak/>
        <w:t xml:space="preserve">Since these spot beams overlap each other, a proper way to avoid/reduce BSS interference issues in the intersection zone would be to transmit on a different channel  within each spot beam. </w:t>
      </w:r>
      <w:r>
        <w:rPr>
          <w:szCs w:val="24"/>
          <w:lang w:val="en-US"/>
        </w:rPr>
        <w:t>As a matter of comparison, the elliptical curve for the highest pfd</w:t>
      </w:r>
      <w:r w:rsidRPr="00712AE5">
        <w:rPr>
          <w:szCs w:val="24"/>
          <w:vertAlign w:val="subscript"/>
          <w:lang w:val="en-US"/>
        </w:rPr>
        <w:t>min</w:t>
      </w:r>
      <w:r>
        <w:rPr>
          <w:szCs w:val="24"/>
          <w:lang w:val="en-US"/>
        </w:rPr>
        <w:t xml:space="preserve"> value (provided in Table 5 above, i.e. -108 dBW/(m</w:t>
      </w:r>
      <w:r w:rsidRPr="00AF4D16">
        <w:rPr>
          <w:szCs w:val="24"/>
          <w:vertAlign w:val="superscript"/>
          <w:lang w:val="en-US"/>
        </w:rPr>
        <w:t>2</w:t>
      </w:r>
      <w:r>
        <w:rPr>
          <w:szCs w:val="24"/>
          <w:lang w:val="en-US"/>
        </w:rPr>
        <w:t>.MHz)) is shown in blue below. The blue spot beam cannot cover entirely the most western part of the Chinese territory.</w:t>
      </w:r>
    </w:p>
    <w:p w:rsidR="00CE5B22" w:rsidRPr="00712AE5" w:rsidRDefault="00CE5B22" w:rsidP="000F6F99">
      <w:pPr>
        <w:jc w:val="center"/>
        <w:rPr>
          <w:szCs w:val="24"/>
          <w:lang w:val="en-US"/>
        </w:rPr>
      </w:pPr>
      <w:r>
        <w:rPr>
          <w:rFonts w:ascii="Garamond" w:hAnsi="Garamond"/>
          <w:noProof/>
          <w:color w:val="1F497D"/>
          <w:lang w:val="en-US" w:eastAsia="zh-CN"/>
        </w:rPr>
        <w:drawing>
          <wp:inline distT="0" distB="0" distL="0" distR="0" wp14:anchorId="1DB62646" wp14:editId="6FE6FA68">
            <wp:extent cx="3048000" cy="1819275"/>
            <wp:effectExtent l="0" t="0" r="0" b="9525"/>
            <wp:docPr id="19" name="Image 19" descr="cid:image002.pn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BD7F.363DA41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CE5B22" w:rsidRPr="00712AE5" w:rsidRDefault="00CE5B22" w:rsidP="000F6F99">
      <w:pPr>
        <w:rPr>
          <w:szCs w:val="24"/>
          <w:lang w:val="en-US"/>
        </w:rPr>
      </w:pPr>
      <w:r w:rsidRPr="00712AE5">
        <w:rPr>
          <w:szCs w:val="24"/>
          <w:lang w:val="en-US"/>
        </w:rPr>
        <w:t xml:space="preserve">This approach leads to conclude that similarly to what was previously studied for </w:t>
      </w:r>
      <w:r>
        <w:rPr>
          <w:szCs w:val="24"/>
          <w:lang w:val="en-US"/>
        </w:rPr>
        <w:t xml:space="preserve">other </w:t>
      </w:r>
      <w:r w:rsidRPr="00712AE5">
        <w:rPr>
          <w:szCs w:val="24"/>
          <w:lang w:val="en-US"/>
        </w:rPr>
        <w:t>BSS systems (</w:t>
      </w:r>
      <w:r>
        <w:rPr>
          <w:szCs w:val="24"/>
          <w:lang w:val="en-US"/>
        </w:rPr>
        <w:t xml:space="preserve">i.e. for </w:t>
      </w:r>
      <w:r w:rsidRPr="00712AE5">
        <w:rPr>
          <w:szCs w:val="24"/>
          <w:lang w:val="en-US"/>
        </w:rPr>
        <w:t xml:space="preserve">satellites </w:t>
      </w:r>
      <w:r>
        <w:rPr>
          <w:szCs w:val="24"/>
          <w:lang w:val="en-US"/>
        </w:rPr>
        <w:t xml:space="preserve">using </w:t>
      </w:r>
      <w:r w:rsidRPr="00712AE5">
        <w:rPr>
          <w:szCs w:val="24"/>
          <w:lang w:val="en-US"/>
        </w:rPr>
        <w:t xml:space="preserve">fixed </w:t>
      </w:r>
      <w:r>
        <w:rPr>
          <w:szCs w:val="24"/>
          <w:lang w:val="en-US"/>
        </w:rPr>
        <w:t>beams</w:t>
      </w:r>
      <w:r w:rsidRPr="00712AE5">
        <w:rPr>
          <w:szCs w:val="24"/>
          <w:lang w:val="en-US"/>
        </w:rPr>
        <w:t xml:space="preserve">), the proposed pfd limit </w:t>
      </w:r>
      <w:r>
        <w:rPr>
          <w:szCs w:val="24"/>
          <w:lang w:val="en-US"/>
        </w:rPr>
        <w:t xml:space="preserve">of </w:t>
      </w:r>
      <w:r w:rsidRPr="00712AE5">
        <w:rPr>
          <w:szCs w:val="24"/>
          <w:lang w:val="en-US"/>
        </w:rPr>
        <w:t>-113</w:t>
      </w:r>
      <w:r>
        <w:rPr>
          <w:szCs w:val="24"/>
          <w:lang w:val="en-US"/>
        </w:rPr>
        <w:t xml:space="preserve"> </w:t>
      </w:r>
      <w:r w:rsidRPr="00712AE5">
        <w:rPr>
          <w:szCs w:val="24"/>
          <w:lang w:val="en-US"/>
        </w:rPr>
        <w:t>dBW/</w:t>
      </w:r>
      <w:r>
        <w:rPr>
          <w:szCs w:val="24"/>
          <w:lang w:val="en-US"/>
        </w:rPr>
        <w:t>(</w:t>
      </w:r>
      <w:r w:rsidRPr="00712AE5">
        <w:rPr>
          <w:szCs w:val="24"/>
          <w:lang w:val="en-US"/>
        </w:rPr>
        <w:t>m</w:t>
      </w:r>
      <w:r w:rsidRPr="00712AE5">
        <w:rPr>
          <w:szCs w:val="24"/>
          <w:vertAlign w:val="superscript"/>
          <w:lang w:val="en-US"/>
        </w:rPr>
        <w:t>2</w:t>
      </w:r>
      <w:r>
        <w:rPr>
          <w:szCs w:val="24"/>
          <w:lang w:val="en-US"/>
        </w:rPr>
        <w:t>.</w:t>
      </w:r>
      <w:r w:rsidRPr="00712AE5">
        <w:rPr>
          <w:szCs w:val="24"/>
          <w:lang w:val="en-US"/>
        </w:rPr>
        <w:t xml:space="preserve">MHz) does not cause additional constraint on the </w:t>
      </w:r>
      <w:r>
        <w:rPr>
          <w:szCs w:val="24"/>
          <w:lang w:val="en-US"/>
        </w:rPr>
        <w:t xml:space="preserve">BSS </w:t>
      </w:r>
      <w:r w:rsidRPr="00712AE5">
        <w:rPr>
          <w:szCs w:val="24"/>
          <w:lang w:val="en-US"/>
        </w:rPr>
        <w:t>operation</w:t>
      </w:r>
      <w:r>
        <w:rPr>
          <w:szCs w:val="24"/>
          <w:lang w:val="en-US"/>
        </w:rPr>
        <w:t>s</w:t>
      </w:r>
      <w:r w:rsidRPr="00712AE5">
        <w:rPr>
          <w:szCs w:val="24"/>
          <w:lang w:val="en-US"/>
        </w:rPr>
        <w:t xml:space="preserve"> for satellites equipped with </w:t>
      </w:r>
      <w:r>
        <w:rPr>
          <w:szCs w:val="24"/>
          <w:lang w:val="en-US"/>
        </w:rPr>
        <w:t>steerable spot beams</w:t>
      </w:r>
      <w:r w:rsidRPr="00712AE5">
        <w:rPr>
          <w:szCs w:val="24"/>
          <w:lang w:val="en-US"/>
        </w:rPr>
        <w:t>.</w:t>
      </w:r>
    </w:p>
    <w:p w:rsidR="00CE5B22" w:rsidRPr="00D32CED" w:rsidRDefault="00CE5B22" w:rsidP="000F6F99">
      <w:pPr>
        <w:pStyle w:val="Heading1"/>
        <w:rPr>
          <w:lang w:val="en-US"/>
        </w:rPr>
      </w:pPr>
      <w:r>
        <w:rPr>
          <w:lang w:val="en-US"/>
        </w:rPr>
        <w:t>3</w:t>
      </w:r>
      <w:r>
        <w:rPr>
          <w:lang w:val="en-US"/>
        </w:rPr>
        <w:tab/>
      </w:r>
      <w:r w:rsidRPr="00D32CED">
        <w:rPr>
          <w:lang w:val="en-US"/>
        </w:rPr>
        <w:t xml:space="preserve">Conclusions </w:t>
      </w:r>
    </w:p>
    <w:p w:rsidR="00B868FC" w:rsidRDefault="00CE5B22" w:rsidP="000F6F99">
      <w:pPr>
        <w:tabs>
          <w:tab w:val="clear" w:pos="1134"/>
          <w:tab w:val="clear" w:pos="1871"/>
          <w:tab w:val="clear" w:pos="2268"/>
        </w:tabs>
        <w:overflowPunct/>
        <w:autoSpaceDE/>
        <w:autoSpaceDN/>
        <w:adjustRightInd/>
        <w:spacing w:before="0"/>
        <w:textAlignment w:val="auto"/>
        <w:rPr>
          <w:szCs w:val="24"/>
          <w:lang w:val="en-US"/>
        </w:rPr>
      </w:pPr>
      <w:r>
        <w:rPr>
          <w:szCs w:val="24"/>
          <w:lang w:val="en-US"/>
        </w:rPr>
        <w:t xml:space="preserve">This study shows that, based on existing coordination and notification information regarding BSS satellite networks in the frequency band 1 452-1 492 MHz, a proposed pfd limit of </w:t>
      </w:r>
      <w:r>
        <w:rPr>
          <w:szCs w:val="24"/>
          <w:lang w:val="en-US"/>
        </w:rPr>
        <w:noBreakHyphen/>
        <w:t>113 dBW/(m</w:t>
      </w:r>
      <w:r w:rsidRPr="00AF4D16">
        <w:rPr>
          <w:szCs w:val="24"/>
          <w:vertAlign w:val="superscript"/>
          <w:lang w:val="en-US"/>
        </w:rPr>
        <w:t>2</w:t>
      </w:r>
      <w:r>
        <w:rPr>
          <w:szCs w:val="24"/>
          <w:lang w:val="en-US"/>
        </w:rPr>
        <w:t xml:space="preserve">.MHz) will entail very limited </w:t>
      </w:r>
      <w:r w:rsidRPr="003A0A00">
        <w:rPr>
          <w:szCs w:val="24"/>
          <w:lang w:val="en-US"/>
        </w:rPr>
        <w:t>design constrain</w:t>
      </w:r>
      <w:r>
        <w:rPr>
          <w:szCs w:val="24"/>
          <w:lang w:val="en-US"/>
        </w:rPr>
        <w:t>ts for BSS systems</w:t>
      </w:r>
      <w:r w:rsidRPr="003A0A00">
        <w:rPr>
          <w:szCs w:val="24"/>
          <w:lang w:val="en-US"/>
        </w:rPr>
        <w:t xml:space="preserve">. </w:t>
      </w:r>
      <w:r>
        <w:rPr>
          <w:szCs w:val="24"/>
          <w:lang w:val="en-US"/>
        </w:rPr>
        <w:t>This pfd limit enables an appropriate protection of IMT terminal stations within the frequency band 1 452</w:t>
      </w:r>
      <w:r>
        <w:rPr>
          <w:szCs w:val="24"/>
          <w:lang w:val="en-US"/>
        </w:rPr>
        <w:noBreakHyphen/>
        <w:t>1 492 MHz, while enabling coverage of countries willing to be part of a BSS systems and therefore accepting that this pfd limit will be exceeded over their territories.</w:t>
      </w:r>
    </w:p>
    <w:p w:rsidR="00BB0E28" w:rsidRDefault="00BB0E28" w:rsidP="0032202E">
      <w:pPr>
        <w:pStyle w:val="Reasons"/>
      </w:pPr>
    </w:p>
    <w:p w:rsidR="00BB0E28" w:rsidRDefault="00BB0E28">
      <w:pPr>
        <w:jc w:val="center"/>
      </w:pPr>
      <w:r>
        <w:t>______________</w:t>
      </w:r>
    </w:p>
    <w:sectPr w:rsidR="00BB0E28">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99" w:rsidRDefault="000F6F99">
      <w:r>
        <w:separator/>
      </w:r>
    </w:p>
  </w:endnote>
  <w:endnote w:type="continuationSeparator" w:id="0">
    <w:p w:rsidR="000F6F99" w:rsidRDefault="000F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99" w:rsidRPr="00DA0469" w:rsidRDefault="00654E0D" w:rsidP="00895C7F">
    <w:pPr>
      <w:pStyle w:val="Footer"/>
      <w:rPr>
        <w:lang w:val="en-US"/>
      </w:rPr>
    </w:pPr>
    <w:r>
      <w:fldChar w:fldCharType="begin"/>
    </w:r>
    <w:r>
      <w:instrText xml:space="preserve"> FILENAME \p  \* MERGEFORMAT </w:instrText>
    </w:r>
    <w:r>
      <w:fldChar w:fldCharType="separate"/>
    </w:r>
    <w:r>
      <w:t>P:\CHI\ITU-R\CONF-R\CMR15\000\072C.docx</w:t>
    </w:r>
    <w:r>
      <w:fldChar w:fldCharType="end"/>
    </w:r>
    <w:r w:rsidR="000F6F99">
      <w:t xml:space="preserve"> (388472)</w:t>
    </w:r>
    <w:r w:rsidR="000F6F99">
      <w:tab/>
    </w:r>
    <w:r w:rsidR="000F6F99">
      <w:fldChar w:fldCharType="begin"/>
    </w:r>
    <w:r w:rsidR="000F6F99">
      <w:instrText xml:space="preserve"> SAVEDATE \@ DD.MM.YY </w:instrText>
    </w:r>
    <w:r w:rsidR="000F6F99">
      <w:fldChar w:fldCharType="separate"/>
    </w:r>
    <w:r w:rsidR="009E389D">
      <w:t>29.10.15</w:t>
    </w:r>
    <w:r w:rsidR="000F6F99">
      <w:fldChar w:fldCharType="end"/>
    </w:r>
    <w:r w:rsidR="000F6F99">
      <w:tab/>
    </w:r>
    <w:r w:rsidR="000F6F99">
      <w:fldChar w:fldCharType="begin"/>
    </w:r>
    <w:r w:rsidR="000F6F99">
      <w:instrText xml:space="preserve"> PRINTDATE \@ DD.MM.YY </w:instrText>
    </w:r>
    <w:r w:rsidR="000F6F99">
      <w:fldChar w:fldCharType="separate"/>
    </w:r>
    <w:r w:rsidR="000F6F99">
      <w:t>03.07.06</w:t>
    </w:r>
    <w:r w:rsidR="000F6F9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99" w:rsidRPr="00895C7F" w:rsidRDefault="00654E0D" w:rsidP="00895C7F">
    <w:pPr>
      <w:pStyle w:val="Footer"/>
    </w:pPr>
    <w:r>
      <w:fldChar w:fldCharType="begin"/>
    </w:r>
    <w:r>
      <w:instrText xml:space="preserve"> FILENAME \p  \* MERGEFORMAT </w:instrText>
    </w:r>
    <w:r>
      <w:fldChar w:fldCharType="separate"/>
    </w:r>
    <w:r>
      <w:t>P:\CHI\ITU-R\CONF-R\CMR15\000\072C.docx</w:t>
    </w:r>
    <w:r>
      <w:fldChar w:fldCharType="end"/>
    </w:r>
    <w:r w:rsidR="000F6F99">
      <w:t xml:space="preserve"> (388472)</w:t>
    </w:r>
    <w:r w:rsidR="000F6F99">
      <w:tab/>
    </w:r>
    <w:r w:rsidR="000F6F99">
      <w:fldChar w:fldCharType="begin"/>
    </w:r>
    <w:r w:rsidR="000F6F99">
      <w:instrText xml:space="preserve"> SAVEDATE \@ DD.MM.YY </w:instrText>
    </w:r>
    <w:r w:rsidR="000F6F99">
      <w:fldChar w:fldCharType="separate"/>
    </w:r>
    <w:r w:rsidR="009E389D">
      <w:t>29.10.15</w:t>
    </w:r>
    <w:r w:rsidR="000F6F99">
      <w:fldChar w:fldCharType="end"/>
    </w:r>
    <w:r w:rsidR="000F6F99">
      <w:tab/>
    </w:r>
    <w:r w:rsidR="000F6F99">
      <w:fldChar w:fldCharType="begin"/>
    </w:r>
    <w:r w:rsidR="000F6F99">
      <w:instrText xml:space="preserve"> PRINTDATE \@ DD.MM.YY </w:instrText>
    </w:r>
    <w:r w:rsidR="000F6F99">
      <w:fldChar w:fldCharType="separate"/>
    </w:r>
    <w:r w:rsidR="000F6F99">
      <w:t>03.07.06</w:t>
    </w:r>
    <w:r w:rsidR="000F6F9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99" w:rsidRDefault="000F6F99">
      <w:r>
        <w:t>____________________</w:t>
      </w:r>
    </w:p>
  </w:footnote>
  <w:footnote w:type="continuationSeparator" w:id="0">
    <w:p w:rsidR="000F6F99" w:rsidRDefault="000F6F99">
      <w:r>
        <w:continuationSeparator/>
      </w:r>
    </w:p>
  </w:footnote>
  <w:footnote w:id="1">
    <w:p w:rsidR="000F6F99" w:rsidRPr="00C92058" w:rsidRDefault="000F6F99" w:rsidP="00CE5B22">
      <w:pPr>
        <w:pStyle w:val="FootnoteText"/>
      </w:pPr>
      <w:r>
        <w:rPr>
          <w:rStyle w:val="FootnoteReference"/>
        </w:rPr>
        <w:footnoteRef/>
      </w:r>
      <w:r>
        <w:t xml:space="preserve"> N: Notification, C: Coordination Request</w:t>
      </w:r>
    </w:p>
  </w:footnote>
  <w:footnote w:id="2">
    <w:p w:rsidR="000F6F99" w:rsidRPr="00C92058" w:rsidRDefault="000F6F99" w:rsidP="00CE5B22">
      <w:pPr>
        <w:pStyle w:val="FootnoteText"/>
        <w:rPr>
          <w:lang w:val="en-US"/>
        </w:rPr>
      </w:pPr>
      <w:r>
        <w:rPr>
          <w:rStyle w:val="FootnoteReference"/>
        </w:rPr>
        <w:footnoteRef/>
      </w:r>
      <w:r>
        <w:t xml:space="preserve"> </w:t>
      </w:r>
      <w:hyperlink r:id="rId1" w:history="1">
        <w:r w:rsidRPr="00AC4F07">
          <w:rPr>
            <w:rStyle w:val="Hyperlink"/>
          </w:rPr>
          <w:t>https://www.itu.int/online/sns</w:t>
        </w:r>
      </w:hyperlink>
      <w:r>
        <w:t xml:space="preserve"> select Query Builder option in the left menu</w:t>
      </w:r>
    </w:p>
  </w:footnote>
  <w:footnote w:id="3">
    <w:p w:rsidR="000F6F99" w:rsidRPr="00B315AF" w:rsidRDefault="000F6F99" w:rsidP="00CE5B22">
      <w:pPr>
        <w:pStyle w:val="FootnoteText"/>
        <w:rPr>
          <w:lang w:val="en-US"/>
        </w:rPr>
      </w:pPr>
      <w:r>
        <w:rPr>
          <w:rStyle w:val="FootnoteReference"/>
        </w:rPr>
        <w:footnoteRef/>
      </w:r>
      <w:r>
        <w:t xml:space="preserve"> </w:t>
      </w:r>
      <w:r w:rsidRPr="00B315AF">
        <w:rPr>
          <w:lang w:val="en-US"/>
        </w:rPr>
        <w:t xml:space="preserve">Graphical Interference Management System : </w:t>
      </w:r>
      <w:hyperlink r:id="rId2" w:history="1">
        <w:r w:rsidRPr="00EE7B21">
          <w:rPr>
            <w:rStyle w:val="Hyperlink"/>
            <w:lang w:val="en-US"/>
          </w:rPr>
          <w:t>http://www.itu.int/en/ITU-R/software/Pages/gims.aspx</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99" w:rsidRDefault="000F6F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54E0D">
      <w:rPr>
        <w:rStyle w:val="PageNumber"/>
        <w:noProof/>
      </w:rPr>
      <w:t>8</w:t>
    </w:r>
    <w:r>
      <w:rPr>
        <w:rStyle w:val="PageNumber"/>
      </w:rPr>
      <w:fldChar w:fldCharType="end"/>
    </w:r>
  </w:p>
  <w:p w:rsidR="000F6F99" w:rsidRDefault="000F6F99" w:rsidP="00B711CC">
    <w:pPr>
      <w:pStyle w:val="Header"/>
      <w:rPr>
        <w:lang w:val="en-US"/>
      </w:rPr>
    </w:pPr>
    <w:r>
      <w:rPr>
        <w:rStyle w:val="PageNumber"/>
      </w:rPr>
      <w:t>CMR15/</w:t>
    </w:r>
    <w:r>
      <w:t>72-</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892520"/>
    <w:multiLevelType w:val="hybridMultilevel"/>
    <w:tmpl w:val="D048D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9268B2"/>
    <w:multiLevelType w:val="hybridMultilevel"/>
    <w:tmpl w:val="9C14556E"/>
    <w:lvl w:ilvl="0" w:tplc="C436FEB8">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1F2A342E"/>
    <w:multiLevelType w:val="hybridMultilevel"/>
    <w:tmpl w:val="9D822A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0F19CD"/>
    <w:multiLevelType w:val="hybridMultilevel"/>
    <w:tmpl w:val="8BA495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6026444"/>
    <w:multiLevelType w:val="hybridMultilevel"/>
    <w:tmpl w:val="075238D6"/>
    <w:lvl w:ilvl="0" w:tplc="67B88BCE">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D316EFF"/>
    <w:multiLevelType w:val="hybridMultilevel"/>
    <w:tmpl w:val="0F0ECAEA"/>
    <w:lvl w:ilvl="0" w:tplc="72FA3C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FD4039"/>
    <w:multiLevelType w:val="hybridMultilevel"/>
    <w:tmpl w:val="279E2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77F1A"/>
    <w:multiLevelType w:val="hybridMultilevel"/>
    <w:tmpl w:val="2FD20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646B5A"/>
    <w:multiLevelType w:val="hybridMultilevel"/>
    <w:tmpl w:val="381260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F01B30"/>
    <w:multiLevelType w:val="hybridMultilevel"/>
    <w:tmpl w:val="141604F0"/>
    <w:lvl w:ilvl="0" w:tplc="7D3A980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9A2755"/>
    <w:multiLevelType w:val="hybridMultilevel"/>
    <w:tmpl w:val="9508DDE8"/>
    <w:lvl w:ilvl="0" w:tplc="A74A3DB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7"/>
  </w:num>
  <w:num w:numId="5">
    <w:abstractNumId w:val="2"/>
  </w:num>
  <w:num w:numId="6">
    <w:abstractNumId w:val="9"/>
  </w:num>
  <w:num w:numId="7">
    <w:abstractNumId w:val="3"/>
  </w:num>
  <w:num w:numId="8">
    <w:abstractNumId w:val="8"/>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F6F99"/>
    <w:rsid w:val="00100A0C"/>
    <w:rsid w:val="00103A2E"/>
    <w:rsid w:val="00120875"/>
    <w:rsid w:val="00123C07"/>
    <w:rsid w:val="00166859"/>
    <w:rsid w:val="001765EC"/>
    <w:rsid w:val="001853E8"/>
    <w:rsid w:val="00190778"/>
    <w:rsid w:val="001B176C"/>
    <w:rsid w:val="001B6360"/>
    <w:rsid w:val="001C689E"/>
    <w:rsid w:val="001F2EA5"/>
    <w:rsid w:val="001F4EA6"/>
    <w:rsid w:val="00214959"/>
    <w:rsid w:val="002233B0"/>
    <w:rsid w:val="002260A6"/>
    <w:rsid w:val="002742B3"/>
    <w:rsid w:val="002A4C9C"/>
    <w:rsid w:val="002B1E52"/>
    <w:rsid w:val="002B509B"/>
    <w:rsid w:val="002E2A59"/>
    <w:rsid w:val="002E4507"/>
    <w:rsid w:val="00305254"/>
    <w:rsid w:val="003169D2"/>
    <w:rsid w:val="003B4BEF"/>
    <w:rsid w:val="003C6B45"/>
    <w:rsid w:val="003F2FFC"/>
    <w:rsid w:val="0041282E"/>
    <w:rsid w:val="00427318"/>
    <w:rsid w:val="00437869"/>
    <w:rsid w:val="00465A34"/>
    <w:rsid w:val="004C4554"/>
    <w:rsid w:val="004D2DEC"/>
    <w:rsid w:val="004F2BE6"/>
    <w:rsid w:val="00527E8A"/>
    <w:rsid w:val="00542E85"/>
    <w:rsid w:val="00562479"/>
    <w:rsid w:val="00576849"/>
    <w:rsid w:val="005A0ACB"/>
    <w:rsid w:val="005E08D2"/>
    <w:rsid w:val="005E7FD8"/>
    <w:rsid w:val="00622560"/>
    <w:rsid w:val="00641DDF"/>
    <w:rsid w:val="00644391"/>
    <w:rsid w:val="00647712"/>
    <w:rsid w:val="00654E0D"/>
    <w:rsid w:val="00662E12"/>
    <w:rsid w:val="00691142"/>
    <w:rsid w:val="006B67CE"/>
    <w:rsid w:val="006C38ED"/>
    <w:rsid w:val="006E6182"/>
    <w:rsid w:val="006F3C60"/>
    <w:rsid w:val="00733A01"/>
    <w:rsid w:val="00736415"/>
    <w:rsid w:val="007654BD"/>
    <w:rsid w:val="00770D2A"/>
    <w:rsid w:val="007864F6"/>
    <w:rsid w:val="007A69DE"/>
    <w:rsid w:val="007B515D"/>
    <w:rsid w:val="007B7C4B"/>
    <w:rsid w:val="007D46CF"/>
    <w:rsid w:val="007F0FC5"/>
    <w:rsid w:val="007F5C36"/>
    <w:rsid w:val="008047DB"/>
    <w:rsid w:val="008129A9"/>
    <w:rsid w:val="008221A4"/>
    <w:rsid w:val="00824BD6"/>
    <w:rsid w:val="0083672D"/>
    <w:rsid w:val="00844734"/>
    <w:rsid w:val="00865DFB"/>
    <w:rsid w:val="00895C7F"/>
    <w:rsid w:val="008A7416"/>
    <w:rsid w:val="008B6852"/>
    <w:rsid w:val="008C26FF"/>
    <w:rsid w:val="008D17ED"/>
    <w:rsid w:val="008D1D14"/>
    <w:rsid w:val="008E1785"/>
    <w:rsid w:val="008E7127"/>
    <w:rsid w:val="008E7C8E"/>
    <w:rsid w:val="00912959"/>
    <w:rsid w:val="009315C0"/>
    <w:rsid w:val="0094022B"/>
    <w:rsid w:val="009657F9"/>
    <w:rsid w:val="0099525B"/>
    <w:rsid w:val="009C72B7"/>
    <w:rsid w:val="009D5D1E"/>
    <w:rsid w:val="009E389D"/>
    <w:rsid w:val="009E751F"/>
    <w:rsid w:val="00A0052C"/>
    <w:rsid w:val="00A12D2F"/>
    <w:rsid w:val="00A31B14"/>
    <w:rsid w:val="00A323DC"/>
    <w:rsid w:val="00A466E6"/>
    <w:rsid w:val="00A815BE"/>
    <w:rsid w:val="00AA5DA1"/>
    <w:rsid w:val="00AE369F"/>
    <w:rsid w:val="00B026CB"/>
    <w:rsid w:val="00B711CC"/>
    <w:rsid w:val="00B851D4"/>
    <w:rsid w:val="00B868FC"/>
    <w:rsid w:val="00B95072"/>
    <w:rsid w:val="00BB0E28"/>
    <w:rsid w:val="00BB26CD"/>
    <w:rsid w:val="00C07239"/>
    <w:rsid w:val="00C364B1"/>
    <w:rsid w:val="00C47D87"/>
    <w:rsid w:val="00C627F9"/>
    <w:rsid w:val="00C6584D"/>
    <w:rsid w:val="00C929E0"/>
    <w:rsid w:val="00CB4E5A"/>
    <w:rsid w:val="00CC73D7"/>
    <w:rsid w:val="00CE5B22"/>
    <w:rsid w:val="00CF0AD7"/>
    <w:rsid w:val="00CF0BE1"/>
    <w:rsid w:val="00D21B89"/>
    <w:rsid w:val="00D36E6B"/>
    <w:rsid w:val="00D52A14"/>
    <w:rsid w:val="00D6206A"/>
    <w:rsid w:val="00D74498"/>
    <w:rsid w:val="00D74599"/>
    <w:rsid w:val="00DA0469"/>
    <w:rsid w:val="00DC530B"/>
    <w:rsid w:val="00DD13B7"/>
    <w:rsid w:val="00DF3B0C"/>
    <w:rsid w:val="00E14984"/>
    <w:rsid w:val="00E22A25"/>
    <w:rsid w:val="00E560F1"/>
    <w:rsid w:val="00E80397"/>
    <w:rsid w:val="00E92319"/>
    <w:rsid w:val="00EE5AD2"/>
    <w:rsid w:val="00F837F4"/>
    <w:rsid w:val="00FC59C4"/>
    <w:rsid w:val="00FE59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0D8F60-6438-4D15-9114-D38C4E24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ef"/>
    <w:basedOn w:val="DefaultParagraphFont"/>
    <w:qFormat/>
    <w:rsid w:val="00B026C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erChar">
    <w:name w:val="Footer Char"/>
    <w:basedOn w:val="DefaultParagraphFont"/>
    <w:link w:val="Footer"/>
    <w:uiPriority w:val="99"/>
    <w:rsid w:val="00CE5B22"/>
    <w:rPr>
      <w:rFonts w:ascii="Times New Roman" w:hAnsi="Times New Roman"/>
      <w:caps/>
      <w:noProof/>
      <w:sz w:val="16"/>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CE5B22"/>
    <w:rPr>
      <w:rFonts w:ascii="Times New Roman" w:hAnsi="Times New Roman"/>
      <w:sz w:val="22"/>
      <w:lang w:val="en-GB" w:eastAsia="en-US"/>
    </w:rPr>
  </w:style>
  <w:style w:type="character" w:customStyle="1" w:styleId="HeaderChar">
    <w:name w:val="Header Char"/>
    <w:basedOn w:val="DefaultParagraphFont"/>
    <w:link w:val="Header"/>
    <w:uiPriority w:val="99"/>
    <w:rsid w:val="00CE5B22"/>
    <w:rPr>
      <w:rFonts w:ascii="Times New Roman" w:hAnsi="Times New Roman"/>
      <w:sz w:val="18"/>
      <w:lang w:val="en-GB" w:eastAsia="en-US"/>
    </w:rPr>
  </w:style>
  <w:style w:type="character" w:customStyle="1" w:styleId="BalloonTextChar">
    <w:name w:val="Balloon Text Char"/>
    <w:basedOn w:val="DefaultParagraphFont"/>
    <w:link w:val="BalloonText"/>
    <w:uiPriority w:val="99"/>
    <w:semiHidden/>
    <w:rsid w:val="00CE5B22"/>
    <w:rPr>
      <w:rFonts w:ascii="Tahoma" w:hAnsi="Tahoma" w:cs="Tahoma"/>
      <w:sz w:val="16"/>
      <w:szCs w:val="16"/>
      <w:lang w:val="en-GB" w:eastAsia="en-US"/>
    </w:rPr>
  </w:style>
  <w:style w:type="character" w:customStyle="1" w:styleId="TableNoChar">
    <w:name w:val="Table_No Char"/>
    <w:link w:val="TableNo"/>
    <w:locked/>
    <w:rsid w:val="00CE5B22"/>
    <w:rPr>
      <w:rFonts w:ascii="Times New Roman" w:hAnsi="Times New Roman"/>
      <w:caps/>
      <w:lang w:val="en-GB" w:eastAsia="en-US"/>
    </w:rPr>
  </w:style>
  <w:style w:type="character" w:customStyle="1" w:styleId="TabletextChar">
    <w:name w:val="Table_text Char"/>
    <w:link w:val="Tabletext"/>
    <w:locked/>
    <w:rsid w:val="00CE5B22"/>
    <w:rPr>
      <w:rFonts w:ascii="Times New Roman" w:hAnsi="Times New Roman"/>
      <w:lang w:val="en-GB" w:eastAsia="en-US"/>
    </w:rPr>
  </w:style>
  <w:style w:type="character" w:customStyle="1" w:styleId="TabletitleChar">
    <w:name w:val="Table_title Char"/>
    <w:link w:val="Tabletitle"/>
    <w:locked/>
    <w:rsid w:val="00CE5B22"/>
    <w:rPr>
      <w:rFonts w:ascii="Times New Roman Bold" w:hAnsi="Times New Roman Bold"/>
      <w:b/>
      <w:lang w:val="en-GB" w:eastAsia="en-US"/>
    </w:rPr>
  </w:style>
  <w:style w:type="character" w:customStyle="1" w:styleId="HeadingbChar">
    <w:name w:val="Heading_b Char"/>
    <w:link w:val="Headingb"/>
    <w:locked/>
    <w:rsid w:val="00CE5B22"/>
    <w:rPr>
      <w:rFonts w:ascii="Times" w:hAnsi="Times"/>
      <w:b/>
      <w:sz w:val="24"/>
      <w:lang w:val="en-GB" w:eastAsia="en-US"/>
    </w:rPr>
  </w:style>
  <w:style w:type="paragraph" w:styleId="ListParagraph">
    <w:name w:val="List Paragraph"/>
    <w:basedOn w:val="Normal"/>
    <w:uiPriority w:val="34"/>
    <w:qFormat/>
    <w:rsid w:val="00CE5B2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fr-FR"/>
    </w:rPr>
  </w:style>
  <w:style w:type="table" w:styleId="TableGrid">
    <w:name w:val="Table Grid"/>
    <w:basedOn w:val="TableNormal"/>
    <w:uiPriority w:val="59"/>
    <w:rsid w:val="00CE5B22"/>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cid:image006.jpg@01D0BD7F.363DA4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cid:image001.jpg@01D0BD7F.363DA4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cid:image002.png@01D0BD7F.363DA41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oftware/Pages/gims.aspx" TargetMode="External"/><Relationship Id="rId1" Type="http://schemas.openxmlformats.org/officeDocument/2006/relationships/hyperlink" Target="https://www.itu.int/online/s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R15-WRC15-C-0072!!MSW-C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B1C6B-1F28-40A9-A3F9-53528D9D669E}">
  <ds:schemaRefs>
    <ds:schemaRef ds:uri="http://www.w3.org/XML/1998/namespace"/>
    <ds:schemaRef ds:uri="http://schemas.microsoft.com/office/2006/documentManagement/types"/>
    <ds:schemaRef ds:uri="32a1a8c5-2265-4ebc-b7a0-2071e2c5c9bb"/>
    <ds:schemaRef ds:uri="http://purl.org/dc/dcmitype/"/>
    <ds:schemaRef ds:uri="http://schemas.microsoft.com/office/2006/metadata/properties"/>
    <ds:schemaRef ds:uri="996b2e75-67fd-4955-a3b0-5ab9934cb50b"/>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3117</Words>
  <Characters>12720</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R15-WRC15-C-0072!!MSW-C</vt:lpstr>
    </vt:vector>
  </TitlesOfParts>
  <Manager>General Secretariat - Pool</Manager>
  <Company>International Telecommunication Union (ITU)</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R15-WRC15-C-0072!!MSW-C</dc:title>
  <dc:subject>World Radiocommunication Conference - 2015</dc:subject>
  <dc:creator>Documents Proposals Manager (DPM)</dc:creator>
  <cp:keywords>DPM_v5.2015.10.220_prod</cp:keywords>
  <dc:description/>
  <cp:lastModifiedBy>Cong, Cong</cp:lastModifiedBy>
  <cp:revision>14</cp:revision>
  <cp:lastPrinted>2006-07-03T06:56:00Z</cp:lastPrinted>
  <dcterms:created xsi:type="dcterms:W3CDTF">2015-10-29T16:56:00Z</dcterms:created>
  <dcterms:modified xsi:type="dcterms:W3CDTF">2015-10-29T18:22:00Z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