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411D08" w:rsidTr="00FA57E0">
        <w:trPr>
          <w:cantSplit/>
        </w:trPr>
        <w:tc>
          <w:tcPr>
            <w:tcW w:w="6521" w:type="dxa"/>
          </w:tcPr>
          <w:p w:rsidR="005651C9" w:rsidRPr="00411D0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11D0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11D0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411D0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11D08">
              <w:rPr>
                <w:noProof/>
                <w:lang w:eastAsia="zh-CN"/>
              </w:rPr>
              <w:drawing>
                <wp:inline distT="0" distB="0" distL="0" distR="0" wp14:anchorId="2A112A9E" wp14:editId="6F9CC1A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11D08" w:rsidTr="00FA57E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411D0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11D0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411D0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11D08" w:rsidTr="00FA57E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411D0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411D0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11D08" w:rsidTr="00FA57E0">
        <w:trPr>
          <w:cantSplit/>
        </w:trPr>
        <w:tc>
          <w:tcPr>
            <w:tcW w:w="6521" w:type="dxa"/>
            <w:shd w:val="clear" w:color="auto" w:fill="auto"/>
          </w:tcPr>
          <w:p w:rsidR="005651C9" w:rsidRPr="00411D0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11D0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411D0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11D0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24</w:t>
            </w:r>
            <w:r w:rsidRPr="00411D0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70</w:t>
            </w:r>
            <w:r w:rsidR="005651C9" w:rsidRPr="00411D0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11D0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11D08" w:rsidTr="00FA57E0">
        <w:trPr>
          <w:cantSplit/>
        </w:trPr>
        <w:tc>
          <w:tcPr>
            <w:tcW w:w="6521" w:type="dxa"/>
            <w:shd w:val="clear" w:color="auto" w:fill="auto"/>
          </w:tcPr>
          <w:p w:rsidR="000F33D8" w:rsidRPr="00411D0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411D0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11D08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11D08" w:rsidTr="00FA57E0">
        <w:trPr>
          <w:cantSplit/>
        </w:trPr>
        <w:tc>
          <w:tcPr>
            <w:tcW w:w="6521" w:type="dxa"/>
          </w:tcPr>
          <w:p w:rsidR="000F33D8" w:rsidRPr="00411D0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411D0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11D0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11D08" w:rsidTr="009546EA">
        <w:trPr>
          <w:cantSplit/>
        </w:trPr>
        <w:tc>
          <w:tcPr>
            <w:tcW w:w="10031" w:type="dxa"/>
            <w:gridSpan w:val="2"/>
          </w:tcPr>
          <w:p w:rsidR="000F33D8" w:rsidRPr="00411D0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11D08">
        <w:trPr>
          <w:cantSplit/>
        </w:trPr>
        <w:tc>
          <w:tcPr>
            <w:tcW w:w="10031" w:type="dxa"/>
            <w:gridSpan w:val="2"/>
          </w:tcPr>
          <w:p w:rsidR="000F33D8" w:rsidRPr="00411D08" w:rsidRDefault="000F33D8" w:rsidP="004D7483">
            <w:pPr>
              <w:pStyle w:val="Source"/>
            </w:pPr>
            <w:bookmarkStart w:id="4" w:name="dsource" w:colFirst="0" w:colLast="0"/>
            <w:r w:rsidRPr="00411D08">
              <w:t>Бразилия (Федеративная Республика)</w:t>
            </w:r>
          </w:p>
        </w:tc>
      </w:tr>
      <w:tr w:rsidR="000F33D8" w:rsidRPr="00411D08">
        <w:trPr>
          <w:cantSplit/>
        </w:trPr>
        <w:tc>
          <w:tcPr>
            <w:tcW w:w="10031" w:type="dxa"/>
            <w:gridSpan w:val="2"/>
          </w:tcPr>
          <w:p w:rsidR="000F33D8" w:rsidRPr="00411D08" w:rsidRDefault="004D7483" w:rsidP="004D7483">
            <w:pPr>
              <w:pStyle w:val="Title1"/>
            </w:pPr>
            <w:bookmarkStart w:id="5" w:name="dtitle1" w:colFirst="0" w:colLast="0"/>
            <w:bookmarkEnd w:id="4"/>
            <w:r w:rsidRPr="00411D08">
              <w:t>предложения для работы конференции</w:t>
            </w:r>
          </w:p>
        </w:tc>
      </w:tr>
      <w:tr w:rsidR="000F33D8" w:rsidRPr="00411D08">
        <w:trPr>
          <w:cantSplit/>
        </w:trPr>
        <w:tc>
          <w:tcPr>
            <w:tcW w:w="10031" w:type="dxa"/>
            <w:gridSpan w:val="2"/>
          </w:tcPr>
          <w:p w:rsidR="000F33D8" w:rsidRPr="00411D0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11D08">
        <w:trPr>
          <w:cantSplit/>
        </w:trPr>
        <w:tc>
          <w:tcPr>
            <w:tcW w:w="10031" w:type="dxa"/>
            <w:gridSpan w:val="2"/>
          </w:tcPr>
          <w:p w:rsidR="000F33D8" w:rsidRPr="00411D0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11D08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411D08" w:rsidRDefault="00911559" w:rsidP="004D748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11D08">
        <w:t>10</w:t>
      </w:r>
      <w:r w:rsidRPr="00411D08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411D08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1813CB" w:rsidRPr="00411D08" w:rsidRDefault="001813CB" w:rsidP="001813CB">
      <w:pPr>
        <w:pStyle w:val="Headingb"/>
        <w:rPr>
          <w:lang w:val="ru-RU"/>
        </w:rPr>
      </w:pPr>
      <w:r w:rsidRPr="00411D08">
        <w:rPr>
          <w:lang w:val="ru-RU"/>
        </w:rPr>
        <w:t>Базовая информация</w:t>
      </w:r>
    </w:p>
    <w:p w:rsidR="001813CB" w:rsidRPr="00411D08" w:rsidRDefault="001813CB" w:rsidP="001813CB">
      <w:pPr>
        <w:rPr>
          <w:szCs w:val="22"/>
        </w:rPr>
      </w:pPr>
      <w:r w:rsidRPr="00411D08">
        <w:t>Информационно-коммуникационные технологии (ИКТ) в последние несколько десятилетий играют важную роль в преобразовании нашего общества, в отношении как социальных, так и культурных и экономических аспектов. ИКТ меняют не только то, как мы живем и взаимодействуем между собой, но и в основном то, как в глобальных масштабах развиваются производственные процессы. Изменение моделей рабочих процессов в частном и государственном секторах, гиперсоединенная экономика, новые хозяйственные перспективы, электронное правительство – это лишь несколько примеров того, как новые технологии воздействуют на социально-экономические организации.</w:t>
      </w:r>
    </w:p>
    <w:p w:rsidR="001813CB" w:rsidRPr="00411D08" w:rsidRDefault="001813CB" w:rsidP="001813CB">
      <w:pPr>
        <w:rPr>
          <w:rFonts w:ascii="Calibri" w:hAnsi="Calibri"/>
        </w:rPr>
      </w:pPr>
      <w:r w:rsidRPr="00411D08">
        <w:t>В 2020 году и впоследствии службы беспроводной связи будут оказывать на нашу экономику еще более масштабное воздействие благодаря повышению качества обслуживания и удобства пользователей, увеличению скорости работы сетей и их повсеместной распространенности, а также новым сегментам рынка, таким как межмашинное взаимодействие (M2M) и интернет вещей (IoT). Огромное количество беспроводных устройств и датчиков, осуществляющих замеры окружающей среды, передача данных и отчетов о ходе работы позволят сократить потребление энергии и воды и улучшить управление важнейшей инфраструктурой. Установленные в общественных местах камеры видеонаблюдения с высокой разрешающей способностью, беспроводные датчики для обнаружения биологических и химических опасностей, "умные" автотрассы (связь между транспортными средствами и дорогой), управление дорожным движением и автоматизация процессов – все это повысит эффективность и производительность и повлияет на то, как управляются здания, города, материально-техническое снабжение и заводы.</w:t>
      </w:r>
    </w:p>
    <w:p w:rsidR="001813CB" w:rsidRPr="00411D08" w:rsidRDefault="001813CB" w:rsidP="001813CB">
      <w:r w:rsidRPr="00411D08">
        <w:t xml:space="preserve">Мобильные услуги и применения будущего также займут новые сегменты рынка, такие как "умные" электросети, электронное здравоохранение, телемедицина, новые инструменты дистанционного обучения, онлайновые игры (доставляемые по беспроводной связи с графикой высокой разрешающей способности), мобильные системы потокового видео </w:t>
      </w:r>
      <w:r w:rsidRPr="00411D08">
        <w:rPr>
          <w:lang w:eastAsia="ko-KR"/>
        </w:rPr>
        <w:t>4K и 8K (даже в переполненных поездах метро/автобусах и в общественных местах), виртуальная реальность и дополненная реальность</w:t>
      </w:r>
      <w:r w:rsidRPr="00411D08">
        <w:t xml:space="preserve">. </w:t>
      </w:r>
      <w:r w:rsidRPr="00411D08">
        <w:lastRenderedPageBreak/>
        <w:t>Перспективной областью является аналитика больших данных, которая позволяет выявлять и комбинировать соответствующие данные, предоставляющие предприятиям возможность эффективнее принимать и выполнять решения.</w:t>
      </w:r>
    </w:p>
    <w:p w:rsidR="001813CB" w:rsidRPr="00411D08" w:rsidRDefault="001813CB" w:rsidP="001813CB">
      <w:pPr>
        <w:rPr>
          <w:lang w:eastAsia="ko-KR"/>
        </w:rPr>
      </w:pPr>
      <w:r w:rsidRPr="00411D08">
        <w:rPr>
          <w:lang w:eastAsia="ko-KR"/>
        </w:rPr>
        <w:t>Все перечисленные выше применения, как и другие, пока еще непрогнозируемые, будут и далее определять объем трафика данных в подвижной широкополосной связи</w:t>
      </w:r>
      <w:r w:rsidRPr="00411D08">
        <w:t>.</w:t>
      </w:r>
      <w:r w:rsidRPr="00411D08">
        <w:rPr>
          <w:lang w:eastAsia="ko-KR"/>
        </w:rPr>
        <w:t xml:space="preserve"> Следующее поколение технологий подвижной связи сможет поддерживать в будущем спрос на трафик подвижной связи, работая в эффективных и более широких полосах пропускания. Непрерывная полоса пропускания систем с расширенной полосой (приблизительно от 500 МГц до 1 ГГц или больше) будет считаться решающим условием эффективного предоставления сверхвысоких скоростей передачи данных конечным пользователям.</w:t>
      </w:r>
    </w:p>
    <w:p w:rsidR="001813CB" w:rsidRPr="00411D08" w:rsidRDefault="001813CB" w:rsidP="001813CB">
      <w:pPr>
        <w:rPr>
          <w:lang w:eastAsia="ko-KR"/>
        </w:rPr>
      </w:pPr>
      <w:r w:rsidRPr="00411D08">
        <w:rPr>
          <w:lang w:eastAsia="ko-KR"/>
        </w:rPr>
        <w:t>В Рекомендации МСЭ-R M.2083 четко рекомендуется рассмотреть полосы частот выше 6 ГГц для поддержки сценариев использования, в которых требуется от нескольких сот МГц до по меньшей мере 1 ГГц IMT для 2020 года и на последующий период. Наряду с этим в Отчете МСЭ-R M.2376 подводятся итоги теоретического и экспериментального анализа возможности развертывания IMT в полосах выше 6 ГГц и делается вывод об осуществимости использования более высоких полос частот между 6 ГГц и 100 ГГц для IMT.</w:t>
      </w:r>
    </w:p>
    <w:p w:rsidR="001813CB" w:rsidRPr="00411D08" w:rsidRDefault="001813CB" w:rsidP="001813CB">
      <w:pPr>
        <w:rPr>
          <w:lang w:eastAsia="ko-KR"/>
        </w:rPr>
      </w:pPr>
      <w:r w:rsidRPr="00411D08">
        <w:rPr>
          <w:lang w:eastAsia="ko-KR"/>
        </w:rPr>
        <w:t>Наряду с этим в многочисленных проведенных недавно экспериментах (и многих проводимых в настоящее время), в которых были достигнуты положительные результаты как в отрасли, так и в академических организациях, основное внимание уделяется возможному использованию и преимуществам внедрения в будущем IMT в более высоких полосах частот.</w:t>
      </w:r>
    </w:p>
    <w:p w:rsidR="00360AD6" w:rsidRPr="00411D08" w:rsidRDefault="00171486" w:rsidP="00171486">
      <w:pPr>
        <w:rPr>
          <w:highlight w:val="yellow"/>
        </w:rPr>
      </w:pPr>
      <w:r w:rsidRPr="00411D08">
        <w:t>В настоящее время д</w:t>
      </w:r>
      <w:r w:rsidR="00AC04DA" w:rsidRPr="00411D08">
        <w:t xml:space="preserve">иапазон </w:t>
      </w:r>
      <w:r w:rsidR="00360AD6" w:rsidRPr="00411D08">
        <w:t xml:space="preserve">Ka </w:t>
      </w:r>
      <w:r w:rsidR="00AC04DA" w:rsidRPr="00411D08">
        <w:t xml:space="preserve">широко используется </w:t>
      </w:r>
      <w:r w:rsidRPr="00411D08">
        <w:t>а</w:t>
      </w:r>
      <w:r w:rsidR="00AC04DA" w:rsidRPr="00411D08">
        <w:t xml:space="preserve">дминистраций Бразилии и администрациями других стран </w:t>
      </w:r>
      <w:r w:rsidR="00AC04DA" w:rsidRPr="00411D08">
        <w:rPr>
          <w:color w:val="000000"/>
        </w:rPr>
        <w:t>для национальных систем безопасности, социального охвата и большого числа спутниковых служб связи</w:t>
      </w:r>
      <w:r w:rsidR="00360AD6" w:rsidRPr="00411D08">
        <w:t>.</w:t>
      </w:r>
      <w:r w:rsidR="00AC04DA" w:rsidRPr="00411D08">
        <w:t xml:space="preserve"> Миллиарды долларов уже вложены</w:t>
      </w:r>
      <w:r w:rsidR="00AC04DA" w:rsidRPr="00411D08">
        <w:rPr>
          <w:color w:val="000000"/>
        </w:rPr>
        <w:t xml:space="preserve"> в сети спутниковой связи</w:t>
      </w:r>
      <w:r w:rsidR="00AC04DA" w:rsidRPr="00411D08">
        <w:t xml:space="preserve">, которые часто используются в качестве основы для применения других технологий широкополосного доступа (например, для </w:t>
      </w:r>
      <w:r w:rsidR="006330A7" w:rsidRPr="00411D08">
        <w:t xml:space="preserve">транзитных линий для </w:t>
      </w:r>
      <w:r w:rsidR="00360AD6" w:rsidRPr="00411D08">
        <w:t xml:space="preserve">IMT) </w:t>
      </w:r>
      <w:r w:rsidR="006330A7" w:rsidRPr="00411D08">
        <w:t xml:space="preserve">и в настоящее время широкомасштабные капиталовложения направляются </w:t>
      </w:r>
      <w:r w:rsidR="00880488" w:rsidRPr="00411D08">
        <w:t>в новые</w:t>
      </w:r>
      <w:r w:rsidR="006330A7" w:rsidRPr="00411D08">
        <w:t xml:space="preserve"> системы и </w:t>
      </w:r>
      <w:r w:rsidR="00880488" w:rsidRPr="00411D08">
        <w:t>сети, использующие</w:t>
      </w:r>
      <w:r w:rsidR="006330A7" w:rsidRPr="00411D08">
        <w:t xml:space="preserve"> новейшие технологии для работы в диапазоне</w:t>
      </w:r>
      <w:r w:rsidR="00360AD6" w:rsidRPr="00411D08">
        <w:t xml:space="preserve"> Ka </w:t>
      </w:r>
      <w:r w:rsidR="00880488" w:rsidRPr="00411D08">
        <w:t>и полосах более высоких частот, распределенных сейчас спутниковой службе. Общая сумма капиталовложений в спутники, обеспечивающие покрытие всей территории Бразилии, составляет 4 миллиарда долл. США.</w:t>
      </w:r>
    </w:p>
    <w:p w:rsidR="00360AD6" w:rsidRPr="00411D08" w:rsidRDefault="00880488" w:rsidP="00880488">
      <w:pPr>
        <w:rPr>
          <w:lang w:eastAsia="ko-KR"/>
        </w:rPr>
      </w:pPr>
      <w:r w:rsidRPr="00411D08">
        <w:rPr>
          <w:lang w:eastAsia="ko-KR"/>
        </w:rPr>
        <w:t xml:space="preserve">Администрация Бразилии </w:t>
      </w:r>
      <w:r w:rsidR="00171486" w:rsidRPr="00411D08">
        <w:rPr>
          <w:lang w:eastAsia="ko-KR"/>
        </w:rPr>
        <w:t>предлагает включить</w:t>
      </w:r>
      <w:r w:rsidRPr="00411D08">
        <w:rPr>
          <w:lang w:eastAsia="ko-KR"/>
        </w:rPr>
        <w:t xml:space="preserve"> в повестку дня </w:t>
      </w:r>
      <w:r w:rsidR="002E4D8E" w:rsidRPr="00411D08">
        <w:rPr>
          <w:lang w:eastAsia="ko-KR"/>
        </w:rPr>
        <w:t>ВКР</w:t>
      </w:r>
      <w:r w:rsidR="00360AD6" w:rsidRPr="00411D08">
        <w:rPr>
          <w:lang w:eastAsia="ko-KR"/>
        </w:rPr>
        <w:t>-19</w:t>
      </w:r>
      <w:r w:rsidRPr="00411D08">
        <w:rPr>
          <w:lang w:eastAsia="ko-KR"/>
        </w:rPr>
        <w:t xml:space="preserve"> следующий пункт, направленный на исследование вопроса об определении дополнительного спектра для </w:t>
      </w:r>
      <w:r w:rsidR="00360AD6" w:rsidRPr="00411D08">
        <w:rPr>
          <w:lang w:eastAsia="ko-KR"/>
        </w:rPr>
        <w:t>IMT.</w:t>
      </w:r>
    </w:p>
    <w:p w:rsidR="009B5CC2" w:rsidRPr="00411D08" w:rsidRDefault="009B5CC2" w:rsidP="00360AD6">
      <w:r w:rsidRPr="00411D08">
        <w:br w:type="page"/>
      </w:r>
    </w:p>
    <w:p w:rsidR="0097586C" w:rsidRPr="00411D08" w:rsidRDefault="0097586C" w:rsidP="0097586C">
      <w:pPr>
        <w:pStyle w:val="Proposal"/>
      </w:pPr>
      <w:r w:rsidRPr="00411D08">
        <w:lastRenderedPageBreak/>
        <w:t>ADD</w:t>
      </w:r>
      <w:r w:rsidRPr="00411D08">
        <w:tab/>
        <w:t>B/70A24/1</w:t>
      </w:r>
    </w:p>
    <w:p w:rsidR="0097586C" w:rsidRPr="00411D08" w:rsidRDefault="0097586C" w:rsidP="0097586C">
      <w:pPr>
        <w:pStyle w:val="ResNo"/>
      </w:pPr>
      <w:r w:rsidRPr="00411D08">
        <w:t>Проект новой Резолюции [B-A10-2019] (ВКР-15)</w:t>
      </w:r>
    </w:p>
    <w:p w:rsidR="005849E3" w:rsidRPr="00411D08" w:rsidRDefault="005849E3" w:rsidP="005849E3">
      <w:pPr>
        <w:pStyle w:val="Restitle"/>
      </w:pPr>
      <w:bookmarkStart w:id="8" w:name="_Toc323908572"/>
      <w:bookmarkStart w:id="9" w:name="_Toc329089756"/>
      <w:r w:rsidRPr="00411D08">
        <w:t>Повестка дня Всемирной конференции радиосвязи 2019 года</w:t>
      </w:r>
      <w:bookmarkEnd w:id="8"/>
      <w:bookmarkEnd w:id="9"/>
    </w:p>
    <w:p w:rsidR="005849E3" w:rsidRPr="00411D08" w:rsidRDefault="005849E3" w:rsidP="005849E3">
      <w:pPr>
        <w:pStyle w:val="Normalaftertitle"/>
      </w:pPr>
      <w:r w:rsidRPr="00411D08">
        <w:t>Всемирная конференция радиосвязи (Женева, 2015 г.),</w:t>
      </w:r>
    </w:p>
    <w:p w:rsidR="005849E3" w:rsidRPr="00411D08" w:rsidRDefault="005849E3" w:rsidP="005849E3">
      <w:r w:rsidRPr="00411D08">
        <w:t>...</w:t>
      </w:r>
    </w:p>
    <w:p w:rsidR="005849E3" w:rsidRPr="00411D08" w:rsidRDefault="005849E3" w:rsidP="005849E3">
      <w:pPr>
        <w:pStyle w:val="Call"/>
      </w:pPr>
      <w:r w:rsidRPr="00411D08">
        <w:t>решает</w:t>
      </w:r>
    </w:p>
    <w:p w:rsidR="005849E3" w:rsidRPr="00411D08" w:rsidRDefault="005849E3" w:rsidP="005849E3">
      <w:r w:rsidRPr="00411D08">
        <w:t>...</w:t>
      </w:r>
    </w:p>
    <w:p w:rsidR="005849E3" w:rsidRPr="00411D08" w:rsidRDefault="005849E3" w:rsidP="00880488">
      <w:pPr>
        <w:rPr>
          <w:b/>
          <w:caps/>
        </w:rPr>
      </w:pPr>
      <w:r w:rsidRPr="00411D08">
        <w:rPr>
          <w:lang w:eastAsia="zh-CN"/>
        </w:rPr>
        <w:t>1</w:t>
      </w:r>
      <w:r w:rsidR="00911559" w:rsidRPr="00411D08">
        <w:rPr>
          <w:lang w:eastAsia="zh-CN"/>
        </w:rPr>
        <w:t>[IMT6ГГц</w:t>
      </w:r>
      <w:r w:rsidRPr="00411D08">
        <w:rPr>
          <w:lang w:eastAsia="zh-CN"/>
        </w:rPr>
        <w:t>]</w:t>
      </w:r>
      <w:r w:rsidRPr="00411D08">
        <w:rPr>
          <w:lang w:eastAsia="zh-CN"/>
        </w:rPr>
        <w:tab/>
        <w:t>рассмотреть вопрос об определении для IMT полос частот в диапазоне между 10 ГГц и 76 ГГц, в соответствии с Резолюцией</w:t>
      </w:r>
      <w:r w:rsidR="00911559" w:rsidRPr="00411D08">
        <w:rPr>
          <w:lang w:eastAsia="zh-CN"/>
        </w:rPr>
        <w:t xml:space="preserve"> [</w:t>
      </w:r>
      <w:r w:rsidR="00880488" w:rsidRPr="00411D08">
        <w:rPr>
          <w:lang w:eastAsia="zh-CN"/>
        </w:rPr>
        <w:t>В-В10</w:t>
      </w:r>
      <w:r w:rsidRPr="00411D08">
        <w:rPr>
          <w:lang w:eastAsia="zh-CN"/>
        </w:rPr>
        <w:t>] (ВКР</w:t>
      </w:r>
      <w:r w:rsidRPr="00411D08">
        <w:rPr>
          <w:lang w:eastAsia="zh-CN"/>
        </w:rPr>
        <w:noBreakHyphen/>
        <w:t>15);</w:t>
      </w:r>
    </w:p>
    <w:p w:rsidR="005849E3" w:rsidRPr="00411D08" w:rsidRDefault="005849E3" w:rsidP="005849E3">
      <w:pPr>
        <w:pStyle w:val="Reasons"/>
      </w:pPr>
      <w:r w:rsidRPr="00411D08">
        <w:rPr>
          <w:b/>
          <w:bCs/>
        </w:rPr>
        <w:t>Основания</w:t>
      </w:r>
      <w:r w:rsidRPr="00411D08">
        <w:t>:</w:t>
      </w:r>
      <w:r w:rsidRPr="00411D08">
        <w:tab/>
        <w:t>Добавить в повестку дня ВКР-19 пункт, который дал бы возможность рассмотреть вопрос об определении для IMT дополнительных полос частот в диапазоне 10−76 ГГц, обеспечивая при этом совместимость с существующими службами.</w:t>
      </w:r>
    </w:p>
    <w:p w:rsidR="0097586C" w:rsidRPr="00411D08" w:rsidRDefault="0097586C" w:rsidP="0097586C">
      <w:pPr>
        <w:pStyle w:val="Proposal"/>
      </w:pPr>
      <w:r w:rsidRPr="00411D08">
        <w:t>ADD</w:t>
      </w:r>
      <w:r w:rsidRPr="00411D08">
        <w:tab/>
        <w:t>B/70A24/2</w:t>
      </w:r>
    </w:p>
    <w:p w:rsidR="0097586C" w:rsidRPr="00411D08" w:rsidRDefault="0097586C" w:rsidP="0097586C">
      <w:pPr>
        <w:pStyle w:val="ResNo"/>
      </w:pPr>
      <w:r w:rsidRPr="00411D08">
        <w:t>Проект новой Резолюции [B-B10] (ВКР-15)</w:t>
      </w:r>
    </w:p>
    <w:p w:rsidR="001B31D9" w:rsidRPr="00411D08" w:rsidRDefault="001B31D9" w:rsidP="001B31D9">
      <w:pPr>
        <w:pStyle w:val="Restitle"/>
        <w:rPr>
          <w:lang w:eastAsia="ja-JP"/>
        </w:rPr>
      </w:pPr>
      <w:r w:rsidRPr="00411D08">
        <w:t xml:space="preserve">Исследования определения диапазона частот между </w:t>
      </w:r>
      <w:r w:rsidR="0097586C" w:rsidRPr="00411D08">
        <w:rPr>
          <w:lang w:eastAsia="ko-KR"/>
        </w:rPr>
        <w:t>10 ГГц и 76 ГГц для </w:t>
      </w:r>
      <w:r w:rsidRPr="00411D08">
        <w:rPr>
          <w:lang w:eastAsia="ko-KR"/>
        </w:rPr>
        <w:t>дальнейшего развития наземного элемента</w:t>
      </w:r>
      <w:r w:rsidRPr="00411D08">
        <w:rPr>
          <w:lang w:eastAsia="ja-JP"/>
        </w:rPr>
        <w:t xml:space="preserve"> IMT на </w:t>
      </w:r>
      <w:r w:rsidRPr="00411D08">
        <w:rPr>
          <w:rFonts w:cs="Times New Roman Bold"/>
          <w:lang w:eastAsia="ja-JP"/>
        </w:rPr>
        <w:t xml:space="preserve">2020 год </w:t>
      </w:r>
      <w:r w:rsidR="0097586C" w:rsidRPr="00411D08">
        <w:rPr>
          <w:rFonts w:cs="Times New Roman Bold"/>
          <w:lang w:eastAsia="ja-JP"/>
        </w:rPr>
        <w:br/>
      </w:r>
      <w:r w:rsidRPr="00411D08">
        <w:rPr>
          <w:rFonts w:cs="Times New Roman Bold"/>
          <w:lang w:eastAsia="ja-JP"/>
        </w:rPr>
        <w:t>и последующий период</w:t>
      </w:r>
    </w:p>
    <w:p w:rsidR="001B31D9" w:rsidRPr="00411D08" w:rsidRDefault="001B31D9" w:rsidP="001B31D9">
      <w:pPr>
        <w:pStyle w:val="Normalaftertitle"/>
      </w:pPr>
      <w:r w:rsidRPr="00411D08">
        <w:t>Всемирная конференция радиосвязи (Женева, 2015 г.),</w:t>
      </w:r>
    </w:p>
    <w:p w:rsidR="001B31D9" w:rsidRPr="00411D08" w:rsidRDefault="001B31D9" w:rsidP="001B31D9">
      <w:pPr>
        <w:pStyle w:val="Call"/>
        <w:rPr>
          <w:i w:val="0"/>
          <w:iCs/>
        </w:rPr>
      </w:pPr>
      <w:r w:rsidRPr="00411D08">
        <w:t>учитывая</w:t>
      </w:r>
      <w:r w:rsidRPr="00411D08">
        <w:rPr>
          <w:i w:val="0"/>
          <w:iCs/>
        </w:rPr>
        <w:t>,</w:t>
      </w:r>
    </w:p>
    <w:p w:rsidR="001B31D9" w:rsidRPr="00411D08" w:rsidRDefault="001B31D9" w:rsidP="001B31D9">
      <w:r w:rsidRPr="00411D08">
        <w:rPr>
          <w:i/>
          <w:iCs/>
        </w:rPr>
        <w:t>a)</w:t>
      </w:r>
      <w:r w:rsidRPr="00411D08">
        <w:rPr>
          <w:i/>
          <w:iCs/>
        </w:rPr>
        <w:tab/>
      </w:r>
      <w:r w:rsidRPr="00411D08">
        <w:t>что системы Международной подвижной электросвязи (IMT) стали основным методом обеспечения доставки применений подвижной широкополосной связи широкого покрытия;</w:t>
      </w:r>
    </w:p>
    <w:p w:rsidR="001B31D9" w:rsidRPr="00411D08" w:rsidRDefault="001B31D9" w:rsidP="001B31D9">
      <w:r w:rsidRPr="00411D08">
        <w:rPr>
          <w:i/>
          <w:iCs/>
        </w:rPr>
        <w:t>b)</w:t>
      </w:r>
      <w:r w:rsidRPr="00411D08">
        <w:rPr>
          <w:i/>
          <w:iCs/>
        </w:rPr>
        <w:tab/>
      </w:r>
      <w:r w:rsidRPr="00411D08">
        <w:t>что системы IMT и другие системы подвижной широкополосной связи способствуют глобальному социально-экономическому развитию путем обеспечения широкого диапазона мультимедийных применений, таких как мобильная телемедицина, телеработа, дистанционное обучение и другие применения;</w:t>
      </w:r>
    </w:p>
    <w:p w:rsidR="001B31D9" w:rsidRPr="00411D08" w:rsidRDefault="001B31D9" w:rsidP="001B31D9">
      <w:r w:rsidRPr="00411D08">
        <w:rPr>
          <w:i/>
          <w:iCs/>
        </w:rPr>
        <w:t>c)</w:t>
      </w:r>
      <w:r w:rsidRPr="00411D08">
        <w:rPr>
          <w:i/>
          <w:iCs/>
        </w:rPr>
        <w:tab/>
      </w:r>
      <w:r w:rsidRPr="00411D08">
        <w:t>что системы IMT и другие системы подвижной широкополосной связи способствуют сокращению цифрового разрыва между городскими и сельскими районами, включая недостаточно обслуживаемые сообщества;</w:t>
      </w:r>
    </w:p>
    <w:p w:rsidR="001B31D9" w:rsidRPr="00411D08" w:rsidRDefault="001B31D9" w:rsidP="001B31D9">
      <w:r w:rsidRPr="00411D08">
        <w:rPr>
          <w:i/>
          <w:iCs/>
        </w:rPr>
        <w:t>d)</w:t>
      </w:r>
      <w:r w:rsidRPr="00411D08">
        <w:rPr>
          <w:i/>
          <w:iCs/>
        </w:rPr>
        <w:tab/>
      </w:r>
      <w:r w:rsidRPr="00411D08">
        <w:t>что на многих развивающихся рынках главным механизмом доставки, обеспечивающим широкополосный доступ, как ожидается, станут мобильные устройства;</w:t>
      </w:r>
    </w:p>
    <w:p w:rsidR="001B31D9" w:rsidRPr="00411D08" w:rsidRDefault="001B31D9" w:rsidP="001B31D9">
      <w:r w:rsidRPr="00411D08">
        <w:rPr>
          <w:i/>
          <w:iCs/>
        </w:rPr>
        <w:t>e)</w:t>
      </w:r>
      <w:r w:rsidRPr="00411D08">
        <w:rPr>
          <w:i/>
          <w:iCs/>
        </w:rPr>
        <w:tab/>
      </w:r>
      <w:r w:rsidRPr="00411D08">
        <w:t>что надлежащее и своевременное предоставление спектра и обеспечение регламентарных положений имеют существенное значение для обеспечения будущего развития систем IMT и других систем подвижной широкополосной связи;</w:t>
      </w:r>
    </w:p>
    <w:p w:rsidR="001B31D9" w:rsidRPr="00411D08" w:rsidRDefault="001B31D9" w:rsidP="001B31D9">
      <w:r w:rsidRPr="00411D08">
        <w:rPr>
          <w:i/>
          <w:iCs/>
        </w:rPr>
        <w:t>f)</w:t>
      </w:r>
      <w:r w:rsidRPr="00411D08">
        <w:rPr>
          <w:i/>
          <w:iCs/>
        </w:rPr>
        <w:tab/>
      </w:r>
      <w:r w:rsidRPr="00411D08">
        <w:t>что существует необходимость постоянного использования преимуществ технологических достижений в целях расширения эффективного использования спектра и содействия доступу к спектру;</w:t>
      </w:r>
    </w:p>
    <w:p w:rsidR="001B31D9" w:rsidRPr="00411D08" w:rsidRDefault="001B31D9" w:rsidP="001B31D9">
      <w:r w:rsidRPr="00411D08">
        <w:rPr>
          <w:i/>
          <w:lang w:eastAsia="ko-KR"/>
        </w:rPr>
        <w:lastRenderedPageBreak/>
        <w:t>g)</w:t>
      </w:r>
      <w:r w:rsidRPr="00411D08">
        <w:tab/>
        <w:t xml:space="preserve">что предполагается, что системы </w:t>
      </w:r>
      <w:r w:rsidRPr="00411D08">
        <w:rPr>
          <w:lang w:eastAsia="ja-JP"/>
        </w:rPr>
        <w:t>IMT-2020 будут распространять и поддерживать различные сценарии использования, которые выйдут за пределы существующих в настоящее время систем IMT</w:t>
      </w:r>
      <w:r w:rsidRPr="00411D08">
        <w:t>;</w:t>
      </w:r>
    </w:p>
    <w:p w:rsidR="001B31D9" w:rsidRPr="00411D08" w:rsidRDefault="001B31D9" w:rsidP="001B31D9">
      <w:r w:rsidRPr="00411D08">
        <w:rPr>
          <w:i/>
        </w:rPr>
        <w:t>h</w:t>
      </w:r>
      <w:r w:rsidRPr="00411D08">
        <w:rPr>
          <w:i/>
          <w:iCs/>
        </w:rPr>
        <w:t>)</w:t>
      </w:r>
      <w:r w:rsidRPr="00411D08">
        <w:rPr>
          <w:i/>
          <w:iCs/>
        </w:rPr>
        <w:tab/>
      </w:r>
      <w:r w:rsidRPr="00411D08">
        <w:t>что весьма желательно согласование на всемирном уровне полос частот и планов размещения частот для систем IMT и других систем подвижной широкополосной связи в целях обеспечения глобального роуминга и преимуществ, обусловливаемых экономией благодаря росту масштабов производства;</w:t>
      </w:r>
    </w:p>
    <w:p w:rsidR="001B31D9" w:rsidRPr="00411D08" w:rsidRDefault="001B31D9" w:rsidP="001B31D9">
      <w:r w:rsidRPr="00411D08">
        <w:rPr>
          <w:i/>
        </w:rPr>
        <w:t>i)</w:t>
      </w:r>
      <w:r w:rsidRPr="00411D08">
        <w:rPr>
          <w:i/>
        </w:rPr>
        <w:tab/>
      </w:r>
      <w:r w:rsidRPr="00411D08">
        <w:rPr>
          <w:iCs/>
        </w:rPr>
        <w:t xml:space="preserve">что предполагается, что </w:t>
      </w:r>
      <w:r w:rsidRPr="00411D08">
        <w:t xml:space="preserve">IMT и системы подвижной широкополосной связи к 2020 году и в последующий период </w:t>
      </w:r>
      <w:r w:rsidRPr="00411D08">
        <w:rPr>
          <w:lang w:eastAsia="ja-JP"/>
        </w:rPr>
        <w:t>будут распространять и поддерживать различные сценарии использования</w:t>
      </w:r>
      <w:r w:rsidRPr="00411D08">
        <w:t xml:space="preserve"> и применения;</w:t>
      </w:r>
    </w:p>
    <w:p w:rsidR="001B31D9" w:rsidRPr="00411D08" w:rsidRDefault="001B31D9" w:rsidP="001B31D9">
      <w:r w:rsidRPr="00411D08">
        <w:rPr>
          <w:i/>
        </w:rPr>
        <w:t>j</w:t>
      </w:r>
      <w:r w:rsidRPr="00411D08">
        <w:t>)</w:t>
      </w:r>
      <w:r w:rsidRPr="00411D08">
        <w:tab/>
        <w:t>что в связи с увеличением спроса на трафик передачи данных существует потребность в совершенствовании опыта пользователей, связи высокой надежности и с малым временем ожидания;</w:t>
      </w:r>
    </w:p>
    <w:p w:rsidR="001B31D9" w:rsidRPr="00411D08" w:rsidRDefault="001B31D9" w:rsidP="001B31D9">
      <w:pPr>
        <w:tabs>
          <w:tab w:val="left" w:pos="2694"/>
        </w:tabs>
      </w:pPr>
      <w:r w:rsidRPr="00411D08">
        <w:rPr>
          <w:i/>
        </w:rPr>
        <w:t>k</w:t>
      </w:r>
      <w:r w:rsidRPr="00411D08">
        <w:t>)</w:t>
      </w:r>
      <w:r w:rsidRPr="00411D08">
        <w:tab/>
        <w:t>что для систем подвижной широкополосной связи с очень высокой скоростью передачи данных (например, пропускной способностью до 1 Гбит/с) и для уменьшения масштабов инфраструктуры, сложности пользовательских устройств и влияния экономических факторов требуется бóльшая полоса пропускания;</w:t>
      </w:r>
    </w:p>
    <w:p w:rsidR="001B31D9" w:rsidRPr="00411D08" w:rsidRDefault="001B31D9" w:rsidP="001B31D9">
      <w:r w:rsidRPr="00411D08">
        <w:rPr>
          <w:i/>
        </w:rPr>
        <w:t>l)</w:t>
      </w:r>
      <w:r w:rsidRPr="00411D08">
        <w:tab/>
        <w:t>что для систем подвижной широкополосной связи с очень высокой скоростью передачи данных бóльшая полоса пропускания содействует повышению энергоэффективности, тем самым уменьшая воздействие на окружающую среду таких будущих сетей подвижной широкополосной связи с очень высокой скоростью передачи данных;</w:t>
      </w:r>
    </w:p>
    <w:p w:rsidR="001B31D9" w:rsidRPr="00411D08" w:rsidRDefault="001B31D9" w:rsidP="001B31D9">
      <w:r w:rsidRPr="00411D08">
        <w:rPr>
          <w:i/>
          <w:color w:val="000000"/>
        </w:rPr>
        <w:t>m)</w:t>
      </w:r>
      <w:r w:rsidRPr="00411D08">
        <w:tab/>
        <w:t>что многие страны еще не обеспечили наличие спектра, уже определенного в Регламенте радиосвязи для IMT, по различным причинам, в том числе в связи с использованием этого спектра другими системами и службами;</w:t>
      </w:r>
    </w:p>
    <w:p w:rsidR="001B31D9" w:rsidRPr="00411D08" w:rsidRDefault="001B31D9" w:rsidP="001B31D9">
      <w:r w:rsidRPr="00411D08">
        <w:rPr>
          <w:i/>
        </w:rPr>
        <w:t>n</w:t>
      </w:r>
      <w:r w:rsidRPr="00411D08">
        <w:t>)</w:t>
      </w:r>
      <w:r w:rsidRPr="00411D08">
        <w:tab/>
        <w:t>что связанные с частотами вопросы подвижной широкополосной связи в полосах частот ниже 6 ГГц изучались при подготовке к ВКР-15;</w:t>
      </w:r>
    </w:p>
    <w:p w:rsidR="001B31D9" w:rsidRPr="00411D08" w:rsidRDefault="001B31D9" w:rsidP="001B31D9">
      <w:pPr>
        <w:rPr>
          <w:i/>
        </w:rPr>
      </w:pPr>
      <w:r w:rsidRPr="00411D08">
        <w:rPr>
          <w:i/>
        </w:rPr>
        <w:t>o)</w:t>
      </w:r>
      <w:r w:rsidRPr="00411D08">
        <w:rPr>
          <w:i/>
        </w:rPr>
        <w:tab/>
      </w:r>
      <w:r w:rsidRPr="00411D08">
        <w:rPr>
          <w:iCs/>
        </w:rPr>
        <w:t>что существует необходимость обеспечения защиты действующих первичных служб при рассмотрении полос частот для возможных дополнительных распределений какой-либо службе</w:t>
      </w:r>
      <w:r w:rsidRPr="00411D08">
        <w:t>;</w:t>
      </w:r>
    </w:p>
    <w:p w:rsidR="001B31D9" w:rsidRPr="00411D08" w:rsidRDefault="001B31D9" w:rsidP="00163CEC">
      <w:r w:rsidRPr="00411D08">
        <w:rPr>
          <w:i/>
        </w:rPr>
        <w:t>p)</w:t>
      </w:r>
      <w:r w:rsidRPr="00411D08">
        <w:rPr>
          <w:i/>
        </w:rPr>
        <w:tab/>
      </w:r>
      <w:r w:rsidRPr="00411D08">
        <w:rPr>
          <w:iCs/>
        </w:rPr>
        <w:t>что спектр в более высоких полосах может поддерживать бóльшую полосу пропускания каналов, чем имеющаяся в более низких полосах частот, и поэтому больше подходит для предоставления услуг высокоскоростной передачи данных</w:t>
      </w:r>
      <w:r w:rsidRPr="00411D08">
        <w:t>,</w:t>
      </w:r>
    </w:p>
    <w:p w:rsidR="001B31D9" w:rsidRPr="00411D08" w:rsidRDefault="001B31D9" w:rsidP="001B31D9">
      <w:pPr>
        <w:pStyle w:val="Call"/>
        <w:rPr>
          <w:rFonts w:eastAsia="Batang"/>
        </w:rPr>
      </w:pPr>
      <w:r w:rsidRPr="00411D08">
        <w:t>отмечая</w:t>
      </w:r>
      <w:r w:rsidRPr="00411D08">
        <w:rPr>
          <w:i w:val="0"/>
          <w:iCs/>
        </w:rPr>
        <w:t>,</w:t>
      </w:r>
    </w:p>
    <w:p w:rsidR="001B31D9" w:rsidRPr="00411D08" w:rsidRDefault="001B31D9" w:rsidP="001B31D9">
      <w:r w:rsidRPr="00411D08">
        <w:rPr>
          <w:i/>
        </w:rPr>
        <w:t>a)</w:t>
      </w:r>
      <w:r w:rsidRPr="00411D08">
        <w:tab/>
        <w:t>что IMT охватывает одновременно и IMT</w:t>
      </w:r>
      <w:r w:rsidRPr="00411D08">
        <w:noBreakHyphen/>
        <w:t>2000, и IMT-Advanced [и IMT-2020], как определено в Резолюции МСЭ-R 56;</w:t>
      </w:r>
    </w:p>
    <w:p w:rsidR="001B31D9" w:rsidRPr="00411D08" w:rsidRDefault="001B31D9" w:rsidP="001B31D9">
      <w:r w:rsidRPr="00411D08">
        <w:rPr>
          <w:i/>
        </w:rPr>
        <w:t>b)</w:t>
      </w:r>
      <w:r w:rsidRPr="00411D08">
        <w:tab/>
        <w:t xml:space="preserve">что в Резолюции МСЭ-R 57 определяются принципы процесса разработки IMT-Advanced, а в Вопросе </w:t>
      </w:r>
      <w:r w:rsidRPr="00411D08">
        <w:rPr>
          <w:rFonts w:eastAsia="MS Mincho"/>
        </w:rPr>
        <w:t>МСЭ</w:t>
      </w:r>
      <w:r w:rsidRPr="00411D08">
        <w:t>-R 77-7/5 рассматриваются потребности развивающихся стран в области развития и внедрения IMT;</w:t>
      </w:r>
    </w:p>
    <w:p w:rsidR="001B31D9" w:rsidRPr="00411D08" w:rsidRDefault="001B31D9" w:rsidP="001B31D9">
      <w:pPr>
        <w:rPr>
          <w:lang w:eastAsia="nl-NL"/>
        </w:rPr>
      </w:pPr>
      <w:r w:rsidRPr="00411D08">
        <w:rPr>
          <w:i/>
        </w:rPr>
        <w:t>c)</w:t>
      </w:r>
      <w:r w:rsidRPr="00411D08">
        <w:tab/>
        <w:t xml:space="preserve">что в рамках Вопроса </w:t>
      </w:r>
      <w:r w:rsidRPr="00411D08">
        <w:rPr>
          <w:rFonts w:eastAsia="MS Mincho"/>
        </w:rPr>
        <w:t>МСЭ</w:t>
      </w:r>
      <w:r w:rsidRPr="00411D08">
        <w:noBreakHyphen/>
        <w:t>R 229</w:t>
      </w:r>
      <w:r w:rsidRPr="00411D08">
        <w:noBreakHyphen/>
        <w:t>3/5 рассматривается дальнейшее развитие IMT;</w:t>
      </w:r>
    </w:p>
    <w:p w:rsidR="001B31D9" w:rsidRPr="00411D08" w:rsidRDefault="001B31D9" w:rsidP="001B31D9">
      <w:pPr>
        <w:rPr>
          <w:rFonts w:eastAsia="MS Mincho"/>
          <w:lang w:eastAsia="ja-JP"/>
        </w:rPr>
      </w:pPr>
      <w:r w:rsidRPr="00411D08">
        <w:rPr>
          <w:i/>
        </w:rPr>
        <w:t>d)</w:t>
      </w:r>
      <w:r w:rsidRPr="00411D08">
        <w:rPr>
          <w:i/>
        </w:rPr>
        <w:tab/>
      </w:r>
      <w:r w:rsidRPr="00411D08">
        <w:t>что в Рекомендациях МСЭ-R M.1457 и МСЭ-R M.2012 содержатся подробные спецификации наземных радиоинтерфейсов IMT-2000 и IMT-Advanced, соответственно</w:t>
      </w:r>
      <w:r w:rsidRPr="00411D08">
        <w:rPr>
          <w:rFonts w:eastAsia="MS Mincho"/>
          <w:lang w:eastAsia="ja-JP"/>
        </w:rPr>
        <w:t>;</w:t>
      </w:r>
    </w:p>
    <w:p w:rsidR="001B31D9" w:rsidRPr="00411D08" w:rsidRDefault="001B31D9" w:rsidP="001B31D9">
      <w:pPr>
        <w:rPr>
          <w:rFonts w:eastAsia="Malgun Gothic"/>
          <w:lang w:eastAsia="ko-KR"/>
        </w:rPr>
      </w:pPr>
      <w:r w:rsidRPr="00411D08">
        <w:rPr>
          <w:rFonts w:eastAsia="Malgun Gothic"/>
          <w:i/>
          <w:lang w:eastAsia="ko-KR"/>
        </w:rPr>
        <w:t>e</w:t>
      </w:r>
      <w:r w:rsidRPr="00411D08">
        <w:rPr>
          <w:rFonts w:eastAsia="Malgun Gothic"/>
          <w:i/>
        </w:rPr>
        <w:t>)</w:t>
      </w:r>
      <w:r w:rsidRPr="00411D08">
        <w:rPr>
          <w:rFonts w:eastAsia="Malgun Gothic"/>
        </w:rPr>
        <w:tab/>
        <w:t xml:space="preserve">что в </w:t>
      </w:r>
      <w:r w:rsidRPr="00411D08">
        <w:rPr>
          <w:rFonts w:eastAsia="Malgun Gothic"/>
          <w:lang w:eastAsia="ko-KR"/>
        </w:rPr>
        <w:t>МСЭ-R продолжаются исследования характеристик распространения применительно к системам подвижной связи в более высоких полосах частот;</w:t>
      </w:r>
    </w:p>
    <w:p w:rsidR="001B31D9" w:rsidRPr="00411D08" w:rsidRDefault="001B31D9" w:rsidP="001B31D9">
      <w:r w:rsidRPr="00411D08">
        <w:rPr>
          <w:i/>
        </w:rPr>
        <w:t>f)</w:t>
      </w:r>
      <w:r w:rsidRPr="00411D08">
        <w:tab/>
        <w:t xml:space="preserve">что в Отчете МСЭ-R M.2290 </w:t>
      </w:r>
      <w:r w:rsidRPr="00411D08">
        <w:rPr>
          <w:color w:val="000000"/>
        </w:rPr>
        <w:t>"Оценка будущих потребностей в спектре для наземного сегмента IMT" прогнозируется, что общие глобальные потребности в спектре к 2020 году составят примерно</w:t>
      </w:r>
      <w:r w:rsidRPr="00411D08">
        <w:t xml:space="preserve"> 1340</w:t>
      </w:r>
      <w:r w:rsidRPr="00411D08">
        <w:rPr>
          <w:color w:val="000000"/>
        </w:rPr>
        <w:t> </w:t>
      </w:r>
      <w:r w:rsidRPr="00411D08">
        <w:t>МГц и 1960</w:t>
      </w:r>
      <w:r w:rsidRPr="00411D08">
        <w:rPr>
          <w:color w:val="000000"/>
        </w:rPr>
        <w:t> </w:t>
      </w:r>
      <w:r w:rsidRPr="00411D08">
        <w:t xml:space="preserve">МГц для </w:t>
      </w:r>
      <w:r w:rsidRPr="00411D08">
        <w:rPr>
          <w:color w:val="000000"/>
        </w:rPr>
        <w:t>условий с более низкой и более высокой плотностью пользователей</w:t>
      </w:r>
      <w:r w:rsidRPr="00411D08">
        <w:t>, соответственно;</w:t>
      </w:r>
    </w:p>
    <w:p w:rsidR="001B31D9" w:rsidRPr="00411D08" w:rsidRDefault="001B31D9" w:rsidP="001B31D9">
      <w:r w:rsidRPr="00411D08">
        <w:rPr>
          <w:i/>
        </w:rPr>
        <w:lastRenderedPageBreak/>
        <w:t>g)</w:t>
      </w:r>
      <w:r w:rsidRPr="00411D08">
        <w:tab/>
        <w:t>что в Отчете МСЭ-R M.2370 анализируются тенденции, влияющие на будущий рост трафика IMT в период после 2020 года и даются оценки глобального спроса на трафик на период 2020−2030 годов;</w:t>
      </w:r>
    </w:p>
    <w:p w:rsidR="001B31D9" w:rsidRPr="00411D08" w:rsidRDefault="001B31D9" w:rsidP="001B31D9">
      <w:pPr>
        <w:rPr>
          <w:rFonts w:eastAsia="MS Mincho"/>
          <w:lang w:eastAsia="ja-JP"/>
        </w:rPr>
      </w:pPr>
      <w:r w:rsidRPr="00411D08">
        <w:rPr>
          <w:rFonts w:eastAsia="MS Mincho"/>
          <w:i/>
          <w:lang w:eastAsia="ja-JP"/>
        </w:rPr>
        <w:t>h)</w:t>
      </w:r>
      <w:r w:rsidRPr="00411D08">
        <w:rPr>
          <w:rFonts w:eastAsia="MS Mincho"/>
          <w:lang w:eastAsia="ja-JP"/>
        </w:rPr>
        <w:tab/>
        <w:t xml:space="preserve">что в Отчете </w:t>
      </w:r>
      <w:r w:rsidRPr="00411D08">
        <w:t>МСЭ</w:t>
      </w:r>
      <w:r w:rsidRPr="00411D08">
        <w:rPr>
          <w:rFonts w:eastAsia="MS Mincho"/>
          <w:lang w:eastAsia="ja-JP"/>
        </w:rPr>
        <w:noBreakHyphen/>
        <w:t>R M.2320 приводится информация о тенденциях развития технологий наземного сегмента систем IMT с учетом периода 2015−2020 годов и далее;</w:t>
      </w:r>
    </w:p>
    <w:p w:rsidR="001B31D9" w:rsidRPr="00411D08" w:rsidRDefault="001B31D9" w:rsidP="001B31D9">
      <w:pPr>
        <w:rPr>
          <w:lang w:eastAsia="nl-NL"/>
        </w:rPr>
      </w:pPr>
      <w:r w:rsidRPr="00411D08">
        <w:rPr>
          <w:i/>
          <w:lang w:eastAsia="nl-NL"/>
        </w:rPr>
        <w:t>i)</w:t>
      </w:r>
      <w:r w:rsidRPr="00411D08">
        <w:rPr>
          <w:lang w:eastAsia="nl-NL"/>
        </w:rPr>
        <w:tab/>
        <w:t xml:space="preserve">что в Отчете </w:t>
      </w:r>
      <w:r w:rsidRPr="00411D08">
        <w:t>МСЭ</w:t>
      </w:r>
      <w:r w:rsidRPr="00411D08">
        <w:rPr>
          <w:lang w:eastAsia="nl-NL"/>
        </w:rPr>
        <w:t>-R M.2376 исследуется техническая возможность развертывания IMT в полосах частот выше 6 ГГц;</w:t>
      </w:r>
    </w:p>
    <w:p w:rsidR="001B31D9" w:rsidRPr="00411D08" w:rsidRDefault="001B31D9" w:rsidP="001B31D9">
      <w:pPr>
        <w:rPr>
          <w:lang w:eastAsia="nl-NL"/>
        </w:rPr>
      </w:pPr>
      <w:r w:rsidRPr="00411D08">
        <w:rPr>
          <w:i/>
          <w:lang w:eastAsia="nl-NL"/>
        </w:rPr>
        <w:t>j)</w:t>
      </w:r>
      <w:r w:rsidRPr="00411D08">
        <w:rPr>
          <w:lang w:eastAsia="nl-NL"/>
        </w:rPr>
        <w:tab/>
        <w:t xml:space="preserve">что в Рекомендации </w:t>
      </w:r>
      <w:r w:rsidRPr="00411D08">
        <w:t>МСЭ</w:t>
      </w:r>
      <w:r w:rsidRPr="00411D08">
        <w:rPr>
          <w:lang w:eastAsia="nl-NL"/>
        </w:rPr>
        <w:t xml:space="preserve">-R M.2083 определяются </w:t>
      </w:r>
      <w:r w:rsidRPr="00411D08">
        <w:rPr>
          <w:color w:val="000000"/>
        </w:rPr>
        <w:t>основы и общие задачи будущего развития IMT на период до 2020 года и далее</w:t>
      </w:r>
      <w:r w:rsidRPr="00411D08">
        <w:rPr>
          <w:lang w:eastAsia="nl-NL"/>
        </w:rPr>
        <w:t>,</w:t>
      </w:r>
    </w:p>
    <w:p w:rsidR="001B31D9" w:rsidRPr="00411D08" w:rsidRDefault="001B31D9" w:rsidP="001B31D9">
      <w:pPr>
        <w:pStyle w:val="Call"/>
      </w:pPr>
      <w:r w:rsidRPr="00411D08">
        <w:t>признавая</w:t>
      </w:r>
      <w:r w:rsidRPr="00411D08">
        <w:rPr>
          <w:i w:val="0"/>
          <w:iCs/>
        </w:rPr>
        <w:t>,</w:t>
      </w:r>
    </w:p>
    <w:p w:rsidR="001B31D9" w:rsidRPr="00411D08" w:rsidRDefault="001B31D9" w:rsidP="001B31D9">
      <w:r w:rsidRPr="00411D08">
        <w:rPr>
          <w:i/>
          <w:iCs/>
        </w:rPr>
        <w:t>a)</w:t>
      </w:r>
      <w:r w:rsidRPr="00411D08">
        <w:tab/>
        <w:t>что между определением полос частот всемирными конференциями радиосвязи и развертыванием систем в этих полосах проходит довольно длительный период времени, и, следовательно, для поддержки развития и согласования IMT и других применений наземной подвижной широкополосной связи важна своевременная доступность спектра;</w:t>
      </w:r>
    </w:p>
    <w:p w:rsidR="001B31D9" w:rsidRPr="00411D08" w:rsidRDefault="001B31D9" w:rsidP="001B31D9">
      <w:r w:rsidRPr="00411D08">
        <w:rPr>
          <w:i/>
          <w:color w:val="000000"/>
        </w:rPr>
        <w:t>b)</w:t>
      </w:r>
      <w:r w:rsidRPr="00411D08">
        <w:tab/>
        <w:t>что IMT представляет собой применение подвижной службы;</w:t>
      </w:r>
    </w:p>
    <w:p w:rsidR="001B31D9" w:rsidRPr="00411D08" w:rsidRDefault="001B31D9" w:rsidP="001B31D9">
      <w:pPr>
        <w:rPr>
          <w:color w:val="000000"/>
        </w:rPr>
      </w:pPr>
      <w:r w:rsidRPr="00411D08">
        <w:rPr>
          <w:i/>
          <w:color w:val="000000"/>
        </w:rPr>
        <w:t>c)</w:t>
      </w:r>
      <w:r w:rsidRPr="00411D08">
        <w:rPr>
          <w:i/>
          <w:color w:val="000000"/>
        </w:rPr>
        <w:tab/>
      </w:r>
      <w:r w:rsidRPr="00411D08">
        <w:rPr>
          <w:iCs/>
          <w:color w:val="000000"/>
        </w:rPr>
        <w:t>что хотя в примечаниях Статьи </w:t>
      </w:r>
      <w:r w:rsidRPr="00411D08">
        <w:rPr>
          <w:b/>
          <w:bCs/>
          <w:iCs/>
          <w:color w:val="000000"/>
        </w:rPr>
        <w:t>5</w:t>
      </w:r>
      <w:r w:rsidRPr="00411D08">
        <w:rPr>
          <w:iCs/>
          <w:color w:val="000000"/>
        </w:rPr>
        <w:t xml:space="preserve"> определены многие полосы частот и настоятельно рекомендуется согласование на глобальном уровне, их использование зависит от национальных регламентарных норм и приоритетов каждой страны и поэтому вся определенная полоса может не быть доступна</w:t>
      </w:r>
      <w:r w:rsidRPr="00411D08">
        <w:rPr>
          <w:color w:val="000000"/>
        </w:rPr>
        <w:t>;</w:t>
      </w:r>
    </w:p>
    <w:p w:rsidR="001B31D9" w:rsidRPr="00411D08" w:rsidRDefault="001B31D9" w:rsidP="001B31D9">
      <w:pPr>
        <w:rPr>
          <w:color w:val="000000"/>
        </w:rPr>
      </w:pPr>
      <w:r w:rsidRPr="00411D08">
        <w:rPr>
          <w:i/>
          <w:color w:val="000000"/>
        </w:rPr>
        <w:t>d)</w:t>
      </w:r>
      <w:r w:rsidRPr="00411D08">
        <w:rPr>
          <w:color w:val="000000"/>
        </w:rPr>
        <w:tab/>
      </w:r>
      <w:r w:rsidRPr="00411D08">
        <w:t>использование соответствующих частей спектра другими службами радиосвязи, многие из которых требуют значительных инвестиций в инфраструктуру или представляют значительную социальную ценность, а также возрастающие потребности этих служб</w:t>
      </w:r>
      <w:r w:rsidRPr="00411D08">
        <w:rPr>
          <w:color w:val="000000"/>
        </w:rPr>
        <w:t>,</w:t>
      </w:r>
    </w:p>
    <w:p w:rsidR="001B31D9" w:rsidRPr="00411D08" w:rsidRDefault="001B31D9" w:rsidP="001B31D9">
      <w:pPr>
        <w:pStyle w:val="Call"/>
        <w:rPr>
          <w:iCs/>
        </w:rPr>
      </w:pPr>
      <w:r w:rsidRPr="00411D08">
        <w:t xml:space="preserve">решает предложить </w:t>
      </w:r>
      <w:r w:rsidRPr="00411D08">
        <w:rPr>
          <w:rFonts w:eastAsia="MS Mincho"/>
        </w:rPr>
        <w:t>МСЭ</w:t>
      </w:r>
      <w:r w:rsidRPr="00411D08">
        <w:t>-R</w:t>
      </w:r>
    </w:p>
    <w:p w:rsidR="001B31D9" w:rsidRPr="00411D08" w:rsidRDefault="001B31D9" w:rsidP="001B31D9">
      <w:r w:rsidRPr="00411D08">
        <w:t>1</w:t>
      </w:r>
      <w:r w:rsidRPr="00411D08">
        <w:tab/>
        <w:t>провести и завершить к ВКР-19 соответствующие исследования для определения потребностей в спектре для наземного сегмента IMT в диапазоне частот между 10</w:t>
      </w:r>
      <w:r w:rsidRPr="00411D08">
        <w:rPr>
          <w:color w:val="000000"/>
        </w:rPr>
        <w:t> ГГц</w:t>
      </w:r>
      <w:r w:rsidRPr="00411D08">
        <w:t xml:space="preserve"> и 76</w:t>
      </w:r>
      <w:r w:rsidRPr="00411D08">
        <w:rPr>
          <w:color w:val="000000"/>
        </w:rPr>
        <w:t> ГГц</w:t>
      </w:r>
      <w:r w:rsidRPr="00411D08">
        <w:t>, принимая во внимание:</w:t>
      </w:r>
    </w:p>
    <w:p w:rsidR="001B31D9" w:rsidRPr="00411D08" w:rsidRDefault="001B31D9" w:rsidP="001B31D9">
      <w:pPr>
        <w:pStyle w:val="enumlev1"/>
      </w:pPr>
      <w:r w:rsidRPr="00411D08">
        <w:t>–</w:t>
      </w:r>
      <w:r w:rsidRPr="00411D08">
        <w:tab/>
        <w:t>технические и эксплуатационные характеристики систем IMT, которые будут работать в этом диапазоне частот, в том числе развитие IMT благодаря технологическому прогрессу, методам эффективного использования спектра и их применению;</w:t>
      </w:r>
    </w:p>
    <w:p w:rsidR="001B31D9" w:rsidRPr="00411D08" w:rsidRDefault="001B31D9" w:rsidP="001B31D9">
      <w:pPr>
        <w:pStyle w:val="enumlev1"/>
      </w:pPr>
      <w:r w:rsidRPr="00411D08">
        <w:t>–</w:t>
      </w:r>
      <w:r w:rsidRPr="00411D08">
        <w:tab/>
        <w:t>потребности развивающихся стран;</w:t>
      </w:r>
    </w:p>
    <w:p w:rsidR="001B31D9" w:rsidRPr="00411D08" w:rsidRDefault="001B31D9" w:rsidP="001B31D9">
      <w:pPr>
        <w:pStyle w:val="enumlev1"/>
      </w:pPr>
      <w:r w:rsidRPr="00411D08">
        <w:t>–</w:t>
      </w:r>
      <w:r w:rsidRPr="00411D08">
        <w:tab/>
        <w:t>сроки, в которые потребуется спектр;</w:t>
      </w:r>
    </w:p>
    <w:p w:rsidR="001B31D9" w:rsidRPr="00411D08" w:rsidRDefault="001B31D9" w:rsidP="001B31D9">
      <w:r w:rsidRPr="00411D08">
        <w:rPr>
          <w:iCs/>
        </w:rPr>
        <w:t>2</w:t>
      </w:r>
      <w:r w:rsidRPr="00411D08">
        <w:rPr>
          <w:iCs/>
        </w:rPr>
        <w:tab/>
      </w:r>
      <w:r w:rsidRPr="00411D08">
        <w:t>провести и завершить к ВКР-19 соответствующие исследования совместного использования частот и совместимости, принимая во внимание защиту существующих служб, в отношении следующих полос частот:</w:t>
      </w:r>
    </w:p>
    <w:p w:rsidR="001B31D9" w:rsidRPr="00411D08" w:rsidRDefault="001B31D9" w:rsidP="00163CEC">
      <w:pPr>
        <w:pStyle w:val="enumlev1"/>
      </w:pPr>
      <w:r w:rsidRPr="00411D08">
        <w:t>–</w:t>
      </w:r>
      <w:r w:rsidRPr="00411D08">
        <w:tab/>
        <w:t>10−10,45 ГГц</w:t>
      </w:r>
      <w:r w:rsidRPr="00411D08">
        <w:rPr>
          <w:rStyle w:val="FootnoteReference"/>
        </w:rPr>
        <w:footnoteReference w:customMarkFollows="1" w:id="1"/>
        <w:t>1</w:t>
      </w:r>
      <w:r w:rsidR="002D1185" w:rsidRPr="00411D08">
        <w:t>, 23,15−23,6 ГГц, 24,25−27</w:t>
      </w:r>
      <w:r w:rsidRPr="00411D08">
        <w:t> ГГц, 37−40,5 ГГц, 45,5−47 ГГц, 47,2−50,2 ГГц, 50,4−52,6 ГГц и 59,3−76 ГГц, которые распределены подвижной службе на первичной основе; и</w:t>
      </w:r>
    </w:p>
    <w:p w:rsidR="001B31D9" w:rsidRPr="00411D08" w:rsidRDefault="001B31D9" w:rsidP="001E718F">
      <w:pPr>
        <w:pStyle w:val="enumlev1"/>
      </w:pPr>
      <w:r w:rsidRPr="00411D08">
        <w:t>–</w:t>
      </w:r>
      <w:r w:rsidRPr="00411D08">
        <w:tab/>
        <w:t>31,8−33 ГГц, в том числе возможное дополнительное распределение подвижной службе на</w:t>
      </w:r>
      <w:r w:rsidR="002D1185" w:rsidRPr="00411D08">
        <w:t xml:space="preserve"> первичной основе в этой полосе,</w:t>
      </w:r>
    </w:p>
    <w:p w:rsidR="001B31D9" w:rsidRPr="00411D08" w:rsidRDefault="001B31D9" w:rsidP="001B31D9">
      <w:pPr>
        <w:pStyle w:val="Call"/>
      </w:pPr>
      <w:r w:rsidRPr="00411D08">
        <w:t>далее решает</w:t>
      </w:r>
    </w:p>
    <w:p w:rsidR="001B31D9" w:rsidRPr="00411D08" w:rsidRDefault="001B31D9" w:rsidP="001B31D9">
      <w:r w:rsidRPr="00411D08">
        <w:t>1</w:t>
      </w:r>
      <w:r w:rsidRPr="00411D08">
        <w:tab/>
        <w:t xml:space="preserve">предложить ПСК19-1 определить дату, к которой следует представить технические и эксплуатационные характеристики, необходимые для исследований совместного использования частот и совместимости, для обеспечения того, чтобы исследования, о которых говорится в разделе </w:t>
      </w:r>
      <w:r w:rsidRPr="00411D08">
        <w:rPr>
          <w:i/>
          <w:iCs/>
        </w:rPr>
        <w:t>решает предложить МСЭ-R</w:t>
      </w:r>
      <w:r w:rsidRPr="00411D08">
        <w:t>, могли быть завершены вовремя для рассмотрения на ВКР-19;</w:t>
      </w:r>
    </w:p>
    <w:p w:rsidR="001B31D9" w:rsidRPr="00411D08" w:rsidRDefault="001B31D9" w:rsidP="001B31D9">
      <w:r w:rsidRPr="00411D08">
        <w:lastRenderedPageBreak/>
        <w:t>2</w:t>
      </w:r>
      <w:r w:rsidRPr="00411D08">
        <w:tab/>
        <w:t>предложить ВКР-19 рассмотреть результаты вышеупомянутых исследований и принять соответствующие меры, включая определение полос частот для наземного сегмента IMT,</w:t>
      </w:r>
    </w:p>
    <w:p w:rsidR="001B31D9" w:rsidRPr="00411D08" w:rsidRDefault="001B31D9" w:rsidP="001B31D9">
      <w:pPr>
        <w:pStyle w:val="Call"/>
      </w:pPr>
      <w:r w:rsidRPr="00411D08">
        <w:t>предлагает администрациям</w:t>
      </w:r>
    </w:p>
    <w:p w:rsidR="001B31D9" w:rsidRPr="00411D08" w:rsidRDefault="001B31D9" w:rsidP="001B31D9">
      <w:r w:rsidRPr="00411D08">
        <w:t>активно участвовать в этих исследованиях, представляя вклады</w:t>
      </w:r>
      <w:bookmarkStart w:id="10" w:name="_GoBack"/>
      <w:bookmarkEnd w:id="10"/>
      <w:r w:rsidRPr="00411D08">
        <w:t xml:space="preserve"> в МСЭ</w:t>
      </w:r>
      <w:r w:rsidRPr="00411D08">
        <w:noBreakHyphen/>
        <w:t>R.</w:t>
      </w:r>
    </w:p>
    <w:p w:rsidR="001B31D9" w:rsidRPr="00411D08" w:rsidRDefault="001B31D9" w:rsidP="001B31D9">
      <w:pPr>
        <w:pStyle w:val="Reasons"/>
      </w:pPr>
      <w:r w:rsidRPr="00411D08">
        <w:rPr>
          <w:b/>
          <w:bCs/>
        </w:rPr>
        <w:t>Основания</w:t>
      </w:r>
      <w:r w:rsidRPr="00411D08">
        <w:t>:</w:t>
      </w:r>
      <w:r w:rsidRPr="00411D08">
        <w:tab/>
        <w:t>Обеспечить руководящие указания для работы в рамках предлагаемого пункта повестки дня ВКР-19.</w:t>
      </w:r>
    </w:p>
    <w:p w:rsidR="00076ECD" w:rsidRPr="00411D08" w:rsidRDefault="00076ECD" w:rsidP="00076ECD">
      <w:pPr>
        <w:pStyle w:val="Proposal"/>
      </w:pPr>
      <w:r w:rsidRPr="00411D08">
        <w:t>SUP</w:t>
      </w:r>
      <w:r w:rsidRPr="00411D08">
        <w:tab/>
        <w:t>B/70A24/3</w:t>
      </w:r>
    </w:p>
    <w:p w:rsidR="004F5DDF" w:rsidRPr="00411D08" w:rsidRDefault="00911559" w:rsidP="002C1FD2">
      <w:pPr>
        <w:pStyle w:val="ResNo"/>
      </w:pPr>
      <w:r w:rsidRPr="00411D08">
        <w:t xml:space="preserve">РЕЗОЛЮЦИЯ </w:t>
      </w:r>
      <w:r w:rsidRPr="00411D08">
        <w:rPr>
          <w:rStyle w:val="href"/>
        </w:rPr>
        <w:t>808</w:t>
      </w:r>
      <w:r w:rsidRPr="00411D08">
        <w:t xml:space="preserve"> (ВКР-12)</w:t>
      </w:r>
    </w:p>
    <w:p w:rsidR="004F5DDF" w:rsidRPr="00411D08" w:rsidRDefault="00911559" w:rsidP="002C1FD2">
      <w:pPr>
        <w:pStyle w:val="Restitle"/>
      </w:pPr>
      <w:bookmarkStart w:id="11" w:name="_Toc329089758"/>
      <w:r w:rsidRPr="00411D08">
        <w:t xml:space="preserve">Предварительная повестка дня Всемирной конференции </w:t>
      </w:r>
      <w:r w:rsidRPr="00411D08">
        <w:br/>
        <w:t>радиосвязи 2018 года</w:t>
      </w:r>
      <w:bookmarkEnd w:id="11"/>
    </w:p>
    <w:p w:rsidR="001B31D9" w:rsidRPr="00411D08" w:rsidRDefault="00911559" w:rsidP="0032202E">
      <w:pPr>
        <w:pStyle w:val="Reasons"/>
      </w:pPr>
      <w:r w:rsidRPr="00411D08">
        <w:rPr>
          <w:b/>
          <w:bCs/>
        </w:rPr>
        <w:t>Основания</w:t>
      </w:r>
      <w:r w:rsidRPr="00411D08">
        <w:t>:</w:t>
      </w:r>
      <w:r w:rsidRPr="00411D08">
        <w:tab/>
      </w:r>
      <w:r w:rsidR="001B31D9" w:rsidRPr="00411D08">
        <w:t>Эту Резолюцию следует исключить, поскольку ВКР-15 примет новую Резолюцию, в которую будет включена повестка дня для ВКР-19.</w:t>
      </w:r>
    </w:p>
    <w:p w:rsidR="001B31D9" w:rsidRPr="00411D08" w:rsidRDefault="001B31D9" w:rsidP="001B31D9">
      <w:pPr>
        <w:spacing w:before="720"/>
        <w:jc w:val="center"/>
      </w:pPr>
      <w:r w:rsidRPr="00411D08">
        <w:t>______________</w:t>
      </w:r>
    </w:p>
    <w:sectPr w:rsidR="001B31D9" w:rsidRPr="00411D0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11D08" w:rsidRDefault="00567276">
    <w:pPr>
      <w:ind w:right="360"/>
      <w:rPr>
        <w:lang w:val="en-US"/>
      </w:rPr>
    </w:pPr>
    <w:r>
      <w:fldChar w:fldCharType="begin"/>
    </w:r>
    <w:r w:rsidRPr="00411D08">
      <w:rPr>
        <w:lang w:val="en-US"/>
      </w:rPr>
      <w:instrText xml:space="preserve"> FILENAME \p  \* MERGEFORMAT </w:instrText>
    </w:r>
    <w:r>
      <w:fldChar w:fldCharType="separate"/>
    </w:r>
    <w:r w:rsidR="003D697F">
      <w:rPr>
        <w:noProof/>
        <w:lang w:val="en-US"/>
      </w:rPr>
      <w:t>P:\RUS\ITU-R\CONF-R\CMR15\000\070ADD24R.docx</w:t>
    </w:r>
    <w:r>
      <w:fldChar w:fldCharType="end"/>
    </w:r>
    <w:r w:rsidRPr="00411D0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97F">
      <w:rPr>
        <w:noProof/>
      </w:rPr>
      <w:t>26.10.15</w:t>
    </w:r>
    <w:r>
      <w:fldChar w:fldCharType="end"/>
    </w:r>
    <w:r w:rsidRPr="00411D0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697F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E1" w:rsidRPr="007C1A7D" w:rsidRDefault="006322E1" w:rsidP="006322E1">
    <w:pPr>
      <w:pStyle w:val="Footer"/>
      <w:rPr>
        <w:lang w:val="en-US"/>
      </w:rPr>
    </w:pPr>
    <w:r>
      <w:fldChar w:fldCharType="begin"/>
    </w:r>
    <w:r w:rsidRPr="007C1A7D">
      <w:rPr>
        <w:lang w:val="en-US"/>
      </w:rPr>
      <w:instrText xml:space="preserve"> FILENAME \p  \* MERGEFORMAT </w:instrText>
    </w:r>
    <w:r>
      <w:fldChar w:fldCharType="separate"/>
    </w:r>
    <w:r w:rsidR="003D697F">
      <w:rPr>
        <w:lang w:val="en-US"/>
      </w:rPr>
      <w:t>P:\RUS\ITU-R\CONF-R\CMR15\000\070ADD24R.docx</w:t>
    </w:r>
    <w:r>
      <w:fldChar w:fldCharType="end"/>
    </w:r>
    <w:r w:rsidRPr="007C1A7D">
      <w:rPr>
        <w:lang w:val="en-US"/>
      </w:rPr>
      <w:t xml:space="preserve"> (388620)</w:t>
    </w:r>
    <w:r w:rsidRPr="007C1A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97F">
      <w:t>26.10.15</w:t>
    </w:r>
    <w:r>
      <w:fldChar w:fldCharType="end"/>
    </w:r>
    <w:r w:rsidRPr="007C1A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697F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C1A7D" w:rsidRDefault="00567276" w:rsidP="00DE2EBA">
    <w:pPr>
      <w:pStyle w:val="Footer"/>
      <w:rPr>
        <w:lang w:val="en-US"/>
      </w:rPr>
    </w:pPr>
    <w:r>
      <w:fldChar w:fldCharType="begin"/>
    </w:r>
    <w:r w:rsidRPr="007C1A7D">
      <w:rPr>
        <w:lang w:val="en-US"/>
      </w:rPr>
      <w:instrText xml:space="preserve"> FILENAME \p  \* MERGEFORMAT </w:instrText>
    </w:r>
    <w:r>
      <w:fldChar w:fldCharType="separate"/>
    </w:r>
    <w:r w:rsidR="003D697F">
      <w:rPr>
        <w:lang w:val="en-US"/>
      </w:rPr>
      <w:t>P:\RUS\ITU-R\CONF-R\CMR15\000\070ADD24R.docx</w:t>
    </w:r>
    <w:r>
      <w:fldChar w:fldCharType="end"/>
    </w:r>
    <w:r w:rsidR="006322E1" w:rsidRPr="007C1A7D">
      <w:rPr>
        <w:lang w:val="en-US"/>
      </w:rPr>
      <w:t xml:space="preserve"> (388620)</w:t>
    </w:r>
    <w:r w:rsidRPr="007C1A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97F">
      <w:t>26.10.15</w:t>
    </w:r>
    <w:r>
      <w:fldChar w:fldCharType="end"/>
    </w:r>
    <w:r w:rsidRPr="007C1A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697F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1B31D9" w:rsidRPr="00753A5E" w:rsidRDefault="001B31D9" w:rsidP="001B31D9">
      <w:pPr>
        <w:pStyle w:val="FootnoteText"/>
        <w:rPr>
          <w:lang w:val="ru-RU"/>
        </w:rPr>
      </w:pPr>
      <w:r w:rsidRPr="00753A5E">
        <w:rPr>
          <w:rStyle w:val="FootnoteReference"/>
          <w:lang w:val="ru-RU"/>
        </w:rPr>
        <w:t>1</w:t>
      </w:r>
      <w:r w:rsidRPr="00753A5E">
        <w:rPr>
          <w:lang w:val="ru-RU"/>
        </w:rPr>
        <w:tab/>
      </w:r>
      <w:r>
        <w:rPr>
          <w:lang w:val="ru-RU"/>
        </w:rPr>
        <w:t>Полоса 10–</w:t>
      </w:r>
      <w:r w:rsidRPr="00753A5E">
        <w:rPr>
          <w:lang w:val="ru-RU"/>
        </w:rPr>
        <w:t>10,45</w:t>
      </w:r>
      <w:r>
        <w:rPr>
          <w:lang w:val="ru-RU"/>
        </w:rPr>
        <w:t> ГГц</w:t>
      </w:r>
      <w:r w:rsidRPr="00753A5E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753A5E">
        <w:rPr>
          <w:lang w:val="ru-RU"/>
        </w:rPr>
        <w:t xml:space="preserve"> </w:t>
      </w:r>
      <w:r>
        <w:rPr>
          <w:lang w:val="ru-RU"/>
        </w:rPr>
        <w:t>к</w:t>
      </w:r>
      <w:r w:rsidRPr="00753A5E">
        <w:rPr>
          <w:lang w:val="ru-RU"/>
        </w:rPr>
        <w:t xml:space="preserve"> </w:t>
      </w:r>
      <w:r>
        <w:rPr>
          <w:lang w:val="ru-RU"/>
        </w:rPr>
        <w:t>странам</w:t>
      </w:r>
      <w:r w:rsidRPr="00753A5E">
        <w:rPr>
          <w:lang w:val="ru-RU"/>
        </w:rPr>
        <w:t xml:space="preserve">, </w:t>
      </w:r>
      <w:r>
        <w:rPr>
          <w:lang w:val="ru-RU"/>
        </w:rPr>
        <w:t>перечисленным в примечании </w:t>
      </w:r>
      <w:r w:rsidRPr="001E718F">
        <w:rPr>
          <w:lang w:val="ru-RU"/>
        </w:rPr>
        <w:t>5.480</w:t>
      </w:r>
      <w:r w:rsidRPr="00753A5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D697F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70(Add.24)-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6ECD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3CEC"/>
    <w:rsid w:val="00171486"/>
    <w:rsid w:val="001813CB"/>
    <w:rsid w:val="001A5585"/>
    <w:rsid w:val="001B31D9"/>
    <w:rsid w:val="001E5FB4"/>
    <w:rsid w:val="001E718F"/>
    <w:rsid w:val="00202CA0"/>
    <w:rsid w:val="00230582"/>
    <w:rsid w:val="002449AA"/>
    <w:rsid w:val="00245A1F"/>
    <w:rsid w:val="00290C74"/>
    <w:rsid w:val="002A2D3F"/>
    <w:rsid w:val="002D1185"/>
    <w:rsid w:val="002E4D8E"/>
    <w:rsid w:val="002E5344"/>
    <w:rsid w:val="00300F84"/>
    <w:rsid w:val="00344EB8"/>
    <w:rsid w:val="00346BEC"/>
    <w:rsid w:val="00360AD6"/>
    <w:rsid w:val="003C583C"/>
    <w:rsid w:val="003D697F"/>
    <w:rsid w:val="003F0078"/>
    <w:rsid w:val="00411D08"/>
    <w:rsid w:val="00434A7C"/>
    <w:rsid w:val="0043541C"/>
    <w:rsid w:val="0045143A"/>
    <w:rsid w:val="00465AA2"/>
    <w:rsid w:val="004A58F4"/>
    <w:rsid w:val="004B716F"/>
    <w:rsid w:val="004C47ED"/>
    <w:rsid w:val="004D7483"/>
    <w:rsid w:val="004F3B0D"/>
    <w:rsid w:val="0051315E"/>
    <w:rsid w:val="00514E1F"/>
    <w:rsid w:val="005305D5"/>
    <w:rsid w:val="00540D1E"/>
    <w:rsid w:val="005651C9"/>
    <w:rsid w:val="00567276"/>
    <w:rsid w:val="005755E2"/>
    <w:rsid w:val="005849E3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22E1"/>
    <w:rsid w:val="006330A7"/>
    <w:rsid w:val="006423CD"/>
    <w:rsid w:val="00657DE0"/>
    <w:rsid w:val="00692C06"/>
    <w:rsid w:val="006A6E9B"/>
    <w:rsid w:val="00763F4F"/>
    <w:rsid w:val="00775720"/>
    <w:rsid w:val="007917AE"/>
    <w:rsid w:val="007A08B5"/>
    <w:rsid w:val="007C1A7D"/>
    <w:rsid w:val="00811633"/>
    <w:rsid w:val="00812452"/>
    <w:rsid w:val="00815749"/>
    <w:rsid w:val="00872FC8"/>
    <w:rsid w:val="00880488"/>
    <w:rsid w:val="008B43F2"/>
    <w:rsid w:val="008C3257"/>
    <w:rsid w:val="00911559"/>
    <w:rsid w:val="009119CC"/>
    <w:rsid w:val="00917C0A"/>
    <w:rsid w:val="00941A02"/>
    <w:rsid w:val="009455A6"/>
    <w:rsid w:val="0097586C"/>
    <w:rsid w:val="009B5CC2"/>
    <w:rsid w:val="009E5FC8"/>
    <w:rsid w:val="009F4391"/>
    <w:rsid w:val="00A117A3"/>
    <w:rsid w:val="00A138D0"/>
    <w:rsid w:val="00A141AF"/>
    <w:rsid w:val="00A2044F"/>
    <w:rsid w:val="00A22340"/>
    <w:rsid w:val="00A4600A"/>
    <w:rsid w:val="00A57C04"/>
    <w:rsid w:val="00A61057"/>
    <w:rsid w:val="00A710E7"/>
    <w:rsid w:val="00A81026"/>
    <w:rsid w:val="00A97EC0"/>
    <w:rsid w:val="00AC04DA"/>
    <w:rsid w:val="00AC66E6"/>
    <w:rsid w:val="00B468A6"/>
    <w:rsid w:val="00B75113"/>
    <w:rsid w:val="00BA13A4"/>
    <w:rsid w:val="00BA1AA1"/>
    <w:rsid w:val="00BA35DC"/>
    <w:rsid w:val="00BB67B4"/>
    <w:rsid w:val="00BC5313"/>
    <w:rsid w:val="00C069B1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A21CB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A57E0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9EC7C2-E6C0-47A9-96B8-4B9E71A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R15-WRC15-C-0070!A24!MSW-R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B4F6E-3CC1-482E-A83A-C8BEE6EBDF89}">
  <ds:schemaRefs>
    <ds:schemaRef ds:uri="http://www.w3.org/XML/1998/namespace"/>
    <ds:schemaRef ds:uri="http://purl.org/dc/dcmitype/"/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21CCFC-428C-455F-832B-21C22273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1778</Words>
  <Characters>12072</Characters>
  <Application>Microsoft Office Word</Application>
  <DocSecurity>0</DocSecurity>
  <Lines>218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R15-WRC15-C-0070!A24!MSW-R</vt:lpstr>
    </vt:vector>
  </TitlesOfParts>
  <Manager>General Secretariat - Pool</Manager>
  <Company>International Telecommunication Union (ITU)</Company>
  <LinksUpToDate>false</LinksUpToDate>
  <CharactersWithSpaces>13774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R15-WRC15-C-0070!A24!MSW-R</dc:title>
  <dc:subject>World Radiocommunication Conference - 2015</dc:subject>
  <dc:creator>Documents Proposals Manager (DPM)</dc:creator>
  <cp:keywords>DPM_v5.2015.10.220_prod</cp:keywords>
  <dc:description/>
  <cp:lastModifiedBy>Berdyeva, Elena</cp:lastModifiedBy>
  <cp:revision>7</cp:revision>
  <cp:lastPrinted>2015-10-26T22:17:00Z</cp:lastPrinted>
  <dcterms:created xsi:type="dcterms:W3CDTF">2015-10-26T18:52:00Z</dcterms:created>
  <dcterms:modified xsi:type="dcterms:W3CDTF">2015-10-26T22:17:00Z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