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5100C" w:rsidTr="001226EC">
        <w:trPr>
          <w:cantSplit/>
        </w:trPr>
        <w:tc>
          <w:tcPr>
            <w:tcW w:w="6771" w:type="dxa"/>
          </w:tcPr>
          <w:p w:rsidR="005651C9" w:rsidRPr="0025100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5100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5100C">
              <w:rPr>
                <w:rFonts w:ascii="Verdana" w:hAnsi="Verdana"/>
                <w:b/>
                <w:bCs/>
                <w:szCs w:val="22"/>
              </w:rPr>
              <w:t>15)</w:t>
            </w:r>
            <w:r w:rsidRPr="0025100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5100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5100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5100C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5100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5100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5100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5100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5100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5100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5100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5100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5100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10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5100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510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2510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70(</w:t>
            </w:r>
            <w:proofErr w:type="gramStart"/>
            <w:r w:rsidRPr="002510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25100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5100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5100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510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5100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100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25100C" w:rsidTr="001226EC">
        <w:trPr>
          <w:cantSplit/>
        </w:trPr>
        <w:tc>
          <w:tcPr>
            <w:tcW w:w="6771" w:type="dxa"/>
          </w:tcPr>
          <w:p w:rsidR="000F33D8" w:rsidRPr="002510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5100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100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5100C" w:rsidTr="00AC7350">
        <w:trPr>
          <w:cantSplit/>
        </w:trPr>
        <w:tc>
          <w:tcPr>
            <w:tcW w:w="10031" w:type="dxa"/>
            <w:gridSpan w:val="2"/>
          </w:tcPr>
          <w:p w:rsidR="000F33D8" w:rsidRPr="0025100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5100C">
        <w:trPr>
          <w:cantSplit/>
        </w:trPr>
        <w:tc>
          <w:tcPr>
            <w:tcW w:w="10031" w:type="dxa"/>
            <w:gridSpan w:val="2"/>
          </w:tcPr>
          <w:p w:rsidR="000F33D8" w:rsidRPr="0025100C" w:rsidRDefault="000F33D8" w:rsidP="00DD402E">
            <w:pPr>
              <w:pStyle w:val="Source"/>
            </w:pPr>
            <w:bookmarkStart w:id="4" w:name="dsource" w:colFirst="0" w:colLast="0"/>
            <w:r w:rsidRPr="0025100C">
              <w:t>Бразилия (Федеративная Республика)</w:t>
            </w:r>
          </w:p>
        </w:tc>
      </w:tr>
      <w:tr w:rsidR="000F33D8" w:rsidRPr="0025100C">
        <w:trPr>
          <w:cantSplit/>
        </w:trPr>
        <w:tc>
          <w:tcPr>
            <w:tcW w:w="10031" w:type="dxa"/>
            <w:gridSpan w:val="2"/>
          </w:tcPr>
          <w:p w:rsidR="000F33D8" w:rsidRPr="0025100C" w:rsidRDefault="0059572E" w:rsidP="0059572E">
            <w:pPr>
              <w:pStyle w:val="Title1"/>
            </w:pPr>
            <w:bookmarkStart w:id="5" w:name="dtitle1" w:colFirst="0" w:colLast="0"/>
            <w:bookmarkEnd w:id="4"/>
            <w:r w:rsidRPr="0025100C">
              <w:t xml:space="preserve">предложения для работы конференции </w:t>
            </w:r>
          </w:p>
        </w:tc>
      </w:tr>
      <w:tr w:rsidR="000F33D8" w:rsidRPr="0025100C">
        <w:trPr>
          <w:cantSplit/>
        </w:trPr>
        <w:tc>
          <w:tcPr>
            <w:tcW w:w="10031" w:type="dxa"/>
            <w:gridSpan w:val="2"/>
          </w:tcPr>
          <w:p w:rsidR="000F33D8" w:rsidRPr="0025100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5100C">
        <w:trPr>
          <w:cantSplit/>
        </w:trPr>
        <w:tc>
          <w:tcPr>
            <w:tcW w:w="10031" w:type="dxa"/>
            <w:gridSpan w:val="2"/>
          </w:tcPr>
          <w:p w:rsidR="000F33D8" w:rsidRPr="0025100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5100C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AC7350" w:rsidRPr="0025100C" w:rsidRDefault="00571C30" w:rsidP="00DD402E">
      <w:pPr>
        <w:pStyle w:val="Normalaftertitle"/>
      </w:pPr>
      <w:r w:rsidRPr="0025100C">
        <w:t>1.1</w:t>
      </w:r>
      <w:r w:rsidRPr="0025100C">
        <w:tab/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25100C">
        <w:t>регламентарные</w:t>
      </w:r>
      <w:proofErr w:type="spellEnd"/>
      <w:r w:rsidRPr="0025100C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25100C">
        <w:rPr>
          <w:b/>
          <w:bCs/>
        </w:rPr>
        <w:t>233 (ВКР-12)</w:t>
      </w:r>
      <w:r w:rsidRPr="0025100C">
        <w:t>;</w:t>
      </w:r>
    </w:p>
    <w:p w:rsidR="00882E43" w:rsidRPr="0025100C" w:rsidRDefault="00882E43" w:rsidP="00882E43">
      <w:pPr>
        <w:pStyle w:val="Headingb"/>
        <w:rPr>
          <w:lang w:val="ru-RU"/>
        </w:rPr>
      </w:pPr>
      <w:r w:rsidRPr="0025100C">
        <w:rPr>
          <w:lang w:val="ru-RU"/>
        </w:rPr>
        <w:t>Введение</w:t>
      </w:r>
    </w:p>
    <w:p w:rsidR="00882E43" w:rsidRPr="0025100C" w:rsidRDefault="0059572E" w:rsidP="003B44C6">
      <w:r w:rsidRPr="0025100C">
        <w:t xml:space="preserve">В пункте 1.1 повестки дня </w:t>
      </w:r>
      <w:r w:rsidR="00882E43" w:rsidRPr="0025100C">
        <w:t>ВКР-15</w:t>
      </w:r>
      <w:r w:rsidRPr="0025100C">
        <w:t xml:space="preserve"> рассматриваются</w:t>
      </w:r>
      <w:r w:rsidR="001F495F" w:rsidRPr="0025100C">
        <w:t xml:space="preserve">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="001F495F" w:rsidRPr="0025100C">
        <w:t>регламентарные</w:t>
      </w:r>
      <w:proofErr w:type="spellEnd"/>
      <w:r w:rsidR="001F495F" w:rsidRPr="0025100C">
        <w:t xml:space="preserve"> положения в целях содействия развитию применений наземной подвижной широкополосной связи</w:t>
      </w:r>
      <w:r w:rsidR="00882E43" w:rsidRPr="0025100C">
        <w:t xml:space="preserve">, </w:t>
      </w:r>
      <w:r w:rsidRPr="0025100C">
        <w:t xml:space="preserve">и в рамках этого пункта администрация Бразилии рассмотрела предложения, представленные до настоящего времени для Постоянного консультативного комитета </w:t>
      </w:r>
      <w:proofErr w:type="spellStart"/>
      <w:r w:rsidRPr="0025100C">
        <w:t>II</w:t>
      </w:r>
      <w:proofErr w:type="spellEnd"/>
      <w:r w:rsidRPr="0025100C">
        <w:t xml:space="preserve"> (Радиосвязь) (</w:t>
      </w:r>
      <w:proofErr w:type="spellStart"/>
      <w:r w:rsidR="00882E43" w:rsidRPr="0025100C">
        <w:t>PCC.II</w:t>
      </w:r>
      <w:r w:rsidR="003B44C6">
        <w:noBreakHyphen/>
      </w:r>
      <w:r w:rsidR="00882E43" w:rsidRPr="0025100C">
        <w:t>Radiocommunications</w:t>
      </w:r>
      <w:proofErr w:type="spellEnd"/>
      <w:r w:rsidR="0025100C">
        <w:t xml:space="preserve">) </w:t>
      </w:r>
      <w:proofErr w:type="spellStart"/>
      <w:r w:rsidR="0025100C">
        <w:t>СИТЕЛ</w:t>
      </w:r>
      <w:proofErr w:type="spellEnd"/>
      <w:r w:rsidR="0025100C">
        <w:t>.</w:t>
      </w:r>
    </w:p>
    <w:p w:rsidR="00882E43" w:rsidRPr="0025100C" w:rsidRDefault="0059572E" w:rsidP="00B23061">
      <w:r w:rsidRPr="0025100C">
        <w:t>В связи с этим администрация Бразилии</w:t>
      </w:r>
      <w:r w:rsidR="00882E43" w:rsidRPr="0025100C">
        <w:t xml:space="preserve"> </w:t>
      </w:r>
      <w:r w:rsidRPr="0025100C">
        <w:t>подробно рассмотрела варианты, представленные в Отчете ПСК, с тем чтобы найти решение, которое могло бы применяться в Районе 2. Поэтому мы предлагаем применять к Району 2 решение, аналогичное</w:t>
      </w:r>
      <w:r w:rsidR="00B23061" w:rsidRPr="0025100C">
        <w:t xml:space="preserve"> тому, которое использовалось ВКР-07 и действует в нас</w:t>
      </w:r>
      <w:r w:rsidR="0025100C">
        <w:t>тоящее время для Районов 1 и 3.</w:t>
      </w:r>
    </w:p>
    <w:p w:rsidR="00882E43" w:rsidRPr="0025100C" w:rsidRDefault="00B23061" w:rsidP="00B23061">
      <w:r w:rsidRPr="0025100C">
        <w:t>Это предложение содержит следующие элементы</w:t>
      </w:r>
      <w:r w:rsidR="00882E43" w:rsidRPr="0025100C">
        <w:t>:</w:t>
      </w:r>
    </w:p>
    <w:p w:rsidR="00882E43" w:rsidRPr="0025100C" w:rsidRDefault="00882E43" w:rsidP="00B23061">
      <w:pPr>
        <w:pStyle w:val="enumlev1"/>
      </w:pPr>
      <w:r w:rsidRPr="0025100C">
        <w:t>•</w:t>
      </w:r>
      <w:r w:rsidRPr="0025100C">
        <w:tab/>
      </w:r>
      <w:r w:rsidR="00626533">
        <w:t>р</w:t>
      </w:r>
      <w:r w:rsidR="00B23061" w:rsidRPr="0025100C">
        <w:t xml:space="preserve">аспределение, когда это необходимо, полосы </w:t>
      </w:r>
      <w:r w:rsidRPr="0025100C">
        <w:t xml:space="preserve">3400−3500 МГц </w:t>
      </w:r>
      <w:r w:rsidR="00B23061" w:rsidRPr="0025100C">
        <w:t>подвижной службе на первичной основе</w:t>
      </w:r>
      <w:r w:rsidR="00626533">
        <w:t>;</w:t>
      </w:r>
    </w:p>
    <w:p w:rsidR="00882E43" w:rsidRPr="0025100C" w:rsidRDefault="00882E43" w:rsidP="003B44C6">
      <w:pPr>
        <w:pStyle w:val="enumlev1"/>
      </w:pPr>
      <w:r w:rsidRPr="0025100C">
        <w:t>•</w:t>
      </w:r>
      <w:r w:rsidRPr="0025100C">
        <w:tab/>
      </w:r>
      <w:r w:rsidR="00626533">
        <w:t>о</w:t>
      </w:r>
      <w:r w:rsidR="001F495F" w:rsidRPr="0025100C">
        <w:t xml:space="preserve">пределение полосы </w:t>
      </w:r>
      <w:r w:rsidR="001F495F" w:rsidRPr="0025100C">
        <w:rPr>
          <w:szCs w:val="24"/>
        </w:rPr>
        <w:t>3</w:t>
      </w:r>
      <w:r w:rsidR="003B44C6">
        <w:rPr>
          <w:szCs w:val="24"/>
        </w:rPr>
        <w:t>400−3600 МГ</w:t>
      </w:r>
      <w:r w:rsidR="001F495F" w:rsidRPr="0025100C">
        <w:rPr>
          <w:szCs w:val="24"/>
        </w:rPr>
        <w:t xml:space="preserve">ц для </w:t>
      </w:r>
      <w:proofErr w:type="spellStart"/>
      <w:r w:rsidR="001F495F" w:rsidRPr="0025100C">
        <w:rPr>
          <w:szCs w:val="24"/>
        </w:rPr>
        <w:t>IMT</w:t>
      </w:r>
      <w:proofErr w:type="spellEnd"/>
      <w:r w:rsidR="00626533">
        <w:rPr>
          <w:szCs w:val="24"/>
        </w:rPr>
        <w:t>;</w:t>
      </w:r>
    </w:p>
    <w:p w:rsidR="00882E43" w:rsidRPr="0025100C" w:rsidRDefault="00882E43" w:rsidP="00B23061">
      <w:pPr>
        <w:pStyle w:val="enumlev1"/>
      </w:pPr>
      <w:r w:rsidRPr="0025100C">
        <w:t>•</w:t>
      </w:r>
      <w:r w:rsidRPr="0025100C">
        <w:tab/>
      </w:r>
      <w:r w:rsidR="00626533">
        <w:t>т</w:t>
      </w:r>
      <w:r w:rsidR="00B23061" w:rsidRPr="0025100C">
        <w:t xml:space="preserve">ехнические и </w:t>
      </w:r>
      <w:proofErr w:type="spellStart"/>
      <w:r w:rsidR="00B23061" w:rsidRPr="0025100C">
        <w:t>регламентарные</w:t>
      </w:r>
      <w:proofErr w:type="spellEnd"/>
      <w:r w:rsidR="00B23061" w:rsidRPr="0025100C">
        <w:t xml:space="preserve"> положения для обеспечения сосуществования в полосе </w:t>
      </w:r>
      <w:r w:rsidRPr="0025100C">
        <w:t xml:space="preserve">3400−3600 МГц </w:t>
      </w:r>
      <w:r w:rsidR="00B23061" w:rsidRPr="0025100C">
        <w:t>с системами ФСС, работающими в соседних странах</w:t>
      </w:r>
      <w:r w:rsidRPr="0025100C">
        <w:t>:</w:t>
      </w:r>
    </w:p>
    <w:p w:rsidR="00882E43" w:rsidRPr="0025100C" w:rsidRDefault="0025100C" w:rsidP="00B23061">
      <w:pPr>
        <w:pStyle w:val="enumlev2"/>
      </w:pPr>
      <w:r w:rsidRPr="0025100C">
        <w:t>−</w:t>
      </w:r>
      <w:r w:rsidR="00882E43" w:rsidRPr="0025100C">
        <w:tab/>
      </w:r>
      <w:r w:rsidR="00B23061" w:rsidRPr="0025100C">
        <w:t>применение п.</w:t>
      </w:r>
      <w:r w:rsidR="00882E43" w:rsidRPr="0025100C">
        <w:t xml:space="preserve"> 9.21</w:t>
      </w:r>
      <w:r w:rsidR="00626533">
        <w:rPr>
          <w:szCs w:val="24"/>
        </w:rPr>
        <w:t>;</w:t>
      </w:r>
    </w:p>
    <w:p w:rsidR="00882E43" w:rsidRPr="0025100C" w:rsidRDefault="0025100C" w:rsidP="00B23061">
      <w:pPr>
        <w:pStyle w:val="enumlev2"/>
      </w:pPr>
      <w:r w:rsidRPr="0025100C">
        <w:t>−</w:t>
      </w:r>
      <w:r w:rsidR="00882E43" w:rsidRPr="0025100C">
        <w:tab/>
      </w:r>
      <w:r w:rsidR="00B23061" w:rsidRPr="0025100C">
        <w:t xml:space="preserve">применение </w:t>
      </w:r>
      <w:proofErr w:type="spellStart"/>
      <w:r w:rsidR="00B23061" w:rsidRPr="0025100C">
        <w:t>пп</w:t>
      </w:r>
      <w:proofErr w:type="spellEnd"/>
      <w:r w:rsidR="00B23061" w:rsidRPr="0025100C">
        <w:t>.</w:t>
      </w:r>
      <w:r w:rsidR="00A12D73">
        <w:t> </w:t>
      </w:r>
      <w:r w:rsidR="00882E43" w:rsidRPr="0025100C">
        <w:t xml:space="preserve">9.17 </w:t>
      </w:r>
      <w:r w:rsidR="00B23061" w:rsidRPr="0025100C">
        <w:t>и</w:t>
      </w:r>
      <w:r w:rsidR="00882E43" w:rsidRPr="0025100C">
        <w:t xml:space="preserve"> 9.18</w:t>
      </w:r>
      <w:r w:rsidR="00626533">
        <w:rPr>
          <w:szCs w:val="24"/>
        </w:rPr>
        <w:t>;</w:t>
      </w:r>
    </w:p>
    <w:p w:rsidR="00882E43" w:rsidRPr="0025100C" w:rsidRDefault="0025100C" w:rsidP="00B23061">
      <w:pPr>
        <w:pStyle w:val="enumlev2"/>
      </w:pPr>
      <w:r w:rsidRPr="0025100C">
        <w:t>−</w:t>
      </w:r>
      <w:r w:rsidR="00882E43" w:rsidRPr="0025100C">
        <w:tab/>
      </w:r>
      <w:r w:rsidR="00B23061" w:rsidRPr="0025100C">
        <w:t xml:space="preserve">предел </w:t>
      </w:r>
      <w:proofErr w:type="spellStart"/>
      <w:r w:rsidR="00B23061" w:rsidRPr="0025100C">
        <w:t>п.п.м</w:t>
      </w:r>
      <w:proofErr w:type="spellEnd"/>
      <w:r w:rsidR="00B23061" w:rsidRPr="0025100C">
        <w:t>. на границе для защиты станций ФСС</w:t>
      </w:r>
      <w:r w:rsidR="00626533">
        <w:rPr>
          <w:szCs w:val="24"/>
        </w:rPr>
        <w:t>;</w:t>
      </w:r>
    </w:p>
    <w:p w:rsidR="00882E43" w:rsidRPr="0025100C" w:rsidRDefault="0025100C" w:rsidP="00B23061">
      <w:pPr>
        <w:pStyle w:val="enumlev2"/>
      </w:pPr>
      <w:r w:rsidRPr="0025100C">
        <w:t>−</w:t>
      </w:r>
      <w:r w:rsidR="00882E43" w:rsidRPr="0025100C">
        <w:tab/>
      </w:r>
      <w:r w:rsidR="00B23061" w:rsidRPr="0025100C">
        <w:t xml:space="preserve">пределы </w:t>
      </w:r>
      <w:proofErr w:type="spellStart"/>
      <w:r w:rsidR="00B23061" w:rsidRPr="0025100C">
        <w:t>п.п.м</w:t>
      </w:r>
      <w:proofErr w:type="spellEnd"/>
      <w:r w:rsidR="00B23061" w:rsidRPr="0025100C">
        <w:t>. в Таблице</w:t>
      </w:r>
      <w:r w:rsidR="00882E43" w:rsidRPr="0025100C">
        <w:t xml:space="preserve"> 21-4 </w:t>
      </w:r>
      <w:r w:rsidR="00B23061" w:rsidRPr="0025100C">
        <w:t>для систем ФСС</w:t>
      </w:r>
      <w:r w:rsidR="00626533">
        <w:rPr>
          <w:szCs w:val="24"/>
        </w:rPr>
        <w:t>;</w:t>
      </w:r>
    </w:p>
    <w:p w:rsidR="00A12D73" w:rsidRDefault="00882E43" w:rsidP="00A12D73">
      <w:pPr>
        <w:pStyle w:val="enumlev1"/>
      </w:pPr>
      <w:r w:rsidRPr="0025100C">
        <w:lastRenderedPageBreak/>
        <w:t>•</w:t>
      </w:r>
      <w:r w:rsidRPr="0025100C">
        <w:tab/>
      </w:r>
      <w:r w:rsidR="00626533">
        <w:t>п</w:t>
      </w:r>
      <w:r w:rsidR="00B23061" w:rsidRPr="0025100C">
        <w:t xml:space="preserve">редставление новой </w:t>
      </w:r>
      <w:r w:rsidR="00A12D73" w:rsidRPr="0025100C">
        <w:t>Резолюции</w:t>
      </w:r>
      <w:r w:rsidR="00B23061" w:rsidRPr="0025100C">
        <w:t>: Резолюция</w:t>
      </w:r>
      <w:r w:rsidRPr="0025100C">
        <w:t xml:space="preserve"> [B-</w:t>
      </w:r>
      <w:proofErr w:type="spellStart"/>
      <w:r w:rsidRPr="0025100C">
        <w:t>A11</w:t>
      </w:r>
      <w:proofErr w:type="spellEnd"/>
      <w:r w:rsidRPr="0025100C">
        <w:t>-</w:t>
      </w:r>
      <w:proofErr w:type="spellStart"/>
      <w:r w:rsidRPr="0025100C">
        <w:t>IMT</w:t>
      </w:r>
      <w:proofErr w:type="spellEnd"/>
      <w:r w:rsidRPr="0025100C">
        <w:t xml:space="preserve"> 3</w:t>
      </w:r>
      <w:r w:rsidR="00B23061" w:rsidRPr="0025100C">
        <w:t>.</w:t>
      </w:r>
      <w:r w:rsidRPr="0025100C">
        <w:t>4</w:t>
      </w:r>
      <w:r w:rsidR="00B23061" w:rsidRPr="0025100C">
        <w:t>-</w:t>
      </w:r>
      <w:r w:rsidRPr="0025100C">
        <w:t>3</w:t>
      </w:r>
      <w:r w:rsidR="00B23061" w:rsidRPr="0025100C">
        <w:t>.</w:t>
      </w:r>
      <w:r w:rsidRPr="0025100C">
        <w:t>6 </w:t>
      </w:r>
      <w:proofErr w:type="spellStart"/>
      <w:r w:rsidR="00B23061" w:rsidRPr="0025100C">
        <w:t>GHz</w:t>
      </w:r>
      <w:proofErr w:type="spellEnd"/>
      <w:r w:rsidRPr="0025100C">
        <w:t>]</w:t>
      </w:r>
      <w:r w:rsidRPr="0025100C">
        <w:rPr>
          <w:rFonts w:eastAsia="???"/>
        </w:rPr>
        <w:t xml:space="preserve"> (</w:t>
      </w:r>
      <w:proofErr w:type="spellStart"/>
      <w:r w:rsidRPr="0025100C">
        <w:rPr>
          <w:rFonts w:eastAsia="???"/>
        </w:rPr>
        <w:t>ВКР</w:t>
      </w:r>
      <w:proofErr w:type="spellEnd"/>
      <w:r w:rsidRPr="0025100C">
        <w:rPr>
          <w:rFonts w:eastAsia="???"/>
        </w:rPr>
        <w:noBreakHyphen/>
        <w:t>15)</w:t>
      </w:r>
      <w:r w:rsidRPr="0025100C">
        <w:t xml:space="preserve"> </w:t>
      </w:r>
      <w:r w:rsidR="00B23061" w:rsidRPr="0025100C">
        <w:t xml:space="preserve">по дополнительным исследованиям </w:t>
      </w:r>
      <w:r w:rsidR="00736A1D" w:rsidRPr="0025100C">
        <w:t>по вопросу о сосуществовании</w:t>
      </w:r>
      <w:r w:rsidR="00B23061" w:rsidRPr="0025100C">
        <w:t xml:space="preserve"> систем ФСС и систем </w:t>
      </w:r>
      <w:r w:rsidRPr="0025100C">
        <w:t>IMT</w:t>
      </w:r>
      <w:r w:rsidR="00B23061" w:rsidRPr="0025100C">
        <w:t xml:space="preserve">, работающих в полосе </w:t>
      </w:r>
      <w:r w:rsidRPr="0025100C">
        <w:t xml:space="preserve">3400−3600 МГц, </w:t>
      </w:r>
      <w:r w:rsidR="00B23061" w:rsidRPr="0025100C">
        <w:t>в соответствии с Резолюцией</w:t>
      </w:r>
      <w:r w:rsidRPr="0025100C">
        <w:t xml:space="preserve"> 233 (ВКР-12). </w:t>
      </w:r>
    </w:p>
    <w:p w:rsidR="00882E43" w:rsidRPr="00A12D73" w:rsidRDefault="00B23061" w:rsidP="00A12D73">
      <w:r w:rsidRPr="0025100C">
        <w:t xml:space="preserve">Все эти элементы содержатся в </w:t>
      </w:r>
      <w:r w:rsidR="00A139D8" w:rsidRPr="0025100C">
        <w:t>Отчете ПСК для ВКР-15 в качестве метода выпо</w:t>
      </w:r>
      <w:r w:rsidR="0025100C">
        <w:t>лнения пункта 1.1 повестки дня.</w:t>
      </w:r>
    </w:p>
    <w:p w:rsidR="0003535B" w:rsidRPr="0025100C" w:rsidRDefault="00882E43" w:rsidP="00882E43">
      <w:pPr>
        <w:pStyle w:val="Headingb"/>
        <w:rPr>
          <w:lang w:val="ru-RU"/>
        </w:rPr>
      </w:pPr>
      <w:r w:rsidRPr="0025100C">
        <w:rPr>
          <w:lang w:val="ru-RU"/>
        </w:rPr>
        <w:t>Предложения</w:t>
      </w:r>
    </w:p>
    <w:p w:rsidR="00AC7350" w:rsidRPr="0025100C" w:rsidRDefault="00571C30" w:rsidP="00AC7350">
      <w:pPr>
        <w:pStyle w:val="ArtNo"/>
      </w:pPr>
      <w:bookmarkStart w:id="8" w:name="_Toc331607681"/>
      <w:r w:rsidRPr="0025100C">
        <w:t xml:space="preserve">СТАТЬЯ </w:t>
      </w:r>
      <w:r w:rsidRPr="0025100C">
        <w:rPr>
          <w:rStyle w:val="href"/>
        </w:rPr>
        <w:t>5</w:t>
      </w:r>
      <w:bookmarkEnd w:id="8"/>
    </w:p>
    <w:p w:rsidR="00AC7350" w:rsidRPr="0025100C" w:rsidRDefault="00571C30" w:rsidP="00AC7350">
      <w:pPr>
        <w:pStyle w:val="Arttitle"/>
      </w:pPr>
      <w:bookmarkStart w:id="9" w:name="_Toc331607682"/>
      <w:r w:rsidRPr="0025100C">
        <w:t>Распределение частот</w:t>
      </w:r>
      <w:bookmarkEnd w:id="9"/>
    </w:p>
    <w:p w:rsidR="00AC7350" w:rsidRPr="0025100C" w:rsidRDefault="00571C30" w:rsidP="00AC7350">
      <w:pPr>
        <w:pStyle w:val="Section1"/>
      </w:pPr>
      <w:bookmarkStart w:id="10" w:name="_Toc331607687"/>
      <w:r w:rsidRPr="0025100C">
        <w:t xml:space="preserve">Раздел </w:t>
      </w:r>
      <w:proofErr w:type="gramStart"/>
      <w:r w:rsidRPr="0025100C">
        <w:t>IV  –</w:t>
      </w:r>
      <w:proofErr w:type="gramEnd"/>
      <w:r w:rsidRPr="0025100C">
        <w:t xml:space="preserve">  Таблица распределения частот</w:t>
      </w:r>
      <w:r w:rsidRPr="0025100C">
        <w:br/>
      </w:r>
      <w:r w:rsidRPr="0025100C">
        <w:rPr>
          <w:b w:val="0"/>
          <w:bCs/>
        </w:rPr>
        <w:t>(См. п.</w:t>
      </w:r>
      <w:r w:rsidRPr="0025100C">
        <w:t xml:space="preserve"> 2.1</w:t>
      </w:r>
      <w:r w:rsidRPr="0025100C">
        <w:rPr>
          <w:b w:val="0"/>
          <w:bCs/>
        </w:rPr>
        <w:t>)</w:t>
      </w:r>
      <w:bookmarkEnd w:id="10"/>
      <w:r w:rsidRPr="0025100C">
        <w:rPr>
          <w:b w:val="0"/>
          <w:bCs/>
        </w:rPr>
        <w:br/>
      </w:r>
      <w:r w:rsidRPr="0025100C">
        <w:br/>
      </w:r>
    </w:p>
    <w:p w:rsidR="00C8765B" w:rsidRPr="0025100C" w:rsidRDefault="00571C30">
      <w:pPr>
        <w:pStyle w:val="Proposal"/>
      </w:pPr>
      <w:r w:rsidRPr="0025100C">
        <w:t>MOD</w:t>
      </w:r>
      <w:r w:rsidRPr="0025100C">
        <w:tab/>
        <w:t>B/70A1A2/1</w:t>
      </w:r>
    </w:p>
    <w:p w:rsidR="00AC7350" w:rsidRPr="0025100C" w:rsidRDefault="00571C30" w:rsidP="00AC7350">
      <w:pPr>
        <w:pStyle w:val="Tabletitle"/>
        <w:keepNext w:val="0"/>
        <w:keepLines w:val="0"/>
      </w:pPr>
      <w:r w:rsidRPr="0025100C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C7350" w:rsidRPr="0025100C" w:rsidTr="00AC735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25100C" w:rsidRDefault="00571C30" w:rsidP="00AC7350">
            <w:pPr>
              <w:pStyle w:val="Tablehead"/>
              <w:rPr>
                <w:lang w:val="ru-RU"/>
              </w:rPr>
            </w:pPr>
            <w:r w:rsidRPr="0025100C">
              <w:rPr>
                <w:lang w:val="ru-RU"/>
              </w:rPr>
              <w:t>Распределение по службам</w:t>
            </w:r>
          </w:p>
        </w:tc>
      </w:tr>
      <w:tr w:rsidR="00AC7350" w:rsidRPr="0025100C" w:rsidTr="001F495F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25100C" w:rsidRDefault="00571C30" w:rsidP="00AC7350">
            <w:pPr>
              <w:pStyle w:val="Tablehead"/>
              <w:rPr>
                <w:lang w:val="ru-RU"/>
              </w:rPr>
            </w:pPr>
            <w:r w:rsidRPr="0025100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25100C" w:rsidRDefault="00571C30" w:rsidP="00AC7350">
            <w:pPr>
              <w:pStyle w:val="Tablehead"/>
              <w:rPr>
                <w:lang w:val="ru-RU"/>
              </w:rPr>
            </w:pPr>
            <w:r w:rsidRPr="0025100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50" w:rsidRPr="0025100C" w:rsidRDefault="00571C30" w:rsidP="00AC7350">
            <w:pPr>
              <w:pStyle w:val="Tablehead"/>
              <w:rPr>
                <w:lang w:val="ru-RU"/>
              </w:rPr>
            </w:pPr>
            <w:r w:rsidRPr="0025100C">
              <w:rPr>
                <w:lang w:val="ru-RU"/>
              </w:rPr>
              <w:t>Район 3</w:t>
            </w:r>
          </w:p>
        </w:tc>
      </w:tr>
      <w:tr w:rsidR="00AC7350" w:rsidRPr="0025100C" w:rsidTr="001F495F">
        <w:trPr>
          <w:cantSplit/>
        </w:trPr>
        <w:tc>
          <w:tcPr>
            <w:tcW w:w="1667" w:type="pct"/>
            <w:vMerge w:val="restart"/>
          </w:tcPr>
          <w:p w:rsidR="00AC7350" w:rsidRPr="0025100C" w:rsidRDefault="00571C30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5100C">
              <w:rPr>
                <w:rStyle w:val="Tablefreq"/>
                <w:szCs w:val="18"/>
                <w:lang w:val="ru-RU"/>
              </w:rPr>
              <w:t>3 400–3 600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 xml:space="preserve">ФИКСИРОВАННАЯ СПУТНИКОВАЯ </w:t>
            </w:r>
            <w:r w:rsidRPr="0025100C">
              <w:rPr>
                <w:szCs w:val="18"/>
                <w:lang w:val="ru-RU"/>
              </w:rPr>
              <w:br/>
              <w:t>(космос-Земля)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5100C">
              <w:rPr>
                <w:szCs w:val="18"/>
                <w:lang w:val="ru-RU"/>
              </w:rPr>
              <w:t xml:space="preserve">Подвижная  </w:t>
            </w:r>
            <w:r w:rsidRPr="0025100C">
              <w:rPr>
                <w:rStyle w:val="Artref"/>
                <w:lang w:val="ru-RU"/>
              </w:rPr>
              <w:t>5.430A</w:t>
            </w:r>
            <w:proofErr w:type="gramEnd"/>
          </w:p>
          <w:p w:rsidR="00AC7350" w:rsidRPr="0025100C" w:rsidRDefault="00571C30" w:rsidP="005E25E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7" w:type="pct"/>
          </w:tcPr>
          <w:p w:rsidR="00AC7350" w:rsidRPr="0025100C" w:rsidRDefault="00571C30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5100C">
              <w:rPr>
                <w:rStyle w:val="Tablefreq"/>
                <w:szCs w:val="18"/>
                <w:lang w:val="ru-RU"/>
              </w:rPr>
              <w:t>3 400–3 500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 СПУТНИКОВАЯ</w:t>
            </w:r>
            <w:r w:rsidRPr="0025100C">
              <w:rPr>
                <w:szCs w:val="18"/>
                <w:lang w:val="ru-RU"/>
              </w:rPr>
              <w:br/>
              <w:t>(космос-Земля)</w:t>
            </w:r>
          </w:p>
          <w:p w:rsidR="001F495F" w:rsidRPr="0025100C" w:rsidRDefault="00D329F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1" w:author="Antipina, Nadezda" w:date="2015-10-25T18:53:00Z">
              <w:r w:rsidRPr="0025100C">
                <w:rPr>
                  <w:szCs w:val="18"/>
                  <w:lang w:val="ru-RU"/>
                </w:rPr>
                <w:t>ПОДВИЖНАЯ, за исключением воздушной подвижной</w:t>
              </w:r>
              <w:r w:rsidRPr="0025100C">
                <w:rPr>
                  <w:rStyle w:val="Artref"/>
                  <w:lang w:val="ru-RU"/>
                </w:rPr>
                <w:t xml:space="preserve"> </w:t>
              </w:r>
            </w:ins>
            <w:ins w:id="12" w:author="Gimenez, Christine" w:date="2015-10-19T15:16:00Z">
              <w:r w:rsidR="001F495F" w:rsidRPr="0025100C">
                <w:rPr>
                  <w:rStyle w:val="Artref"/>
                  <w:lang w:val="ru-RU"/>
                  <w:rPrChange w:id="13" w:author="Gimenez, Christine" w:date="2015-10-19T15:16:00Z">
                    <w:rPr>
                      <w:color w:val="000000"/>
                    </w:rPr>
                  </w:rPrChange>
                </w:rPr>
                <w:t>ADD 5.IMT</w:t>
              </w:r>
            </w:ins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Любительская</w:t>
            </w:r>
          </w:p>
          <w:p w:rsidR="00AC7350" w:rsidRPr="0025100C" w:rsidDel="005E25E7" w:rsidRDefault="00571C30" w:rsidP="00AC7350">
            <w:pPr>
              <w:pStyle w:val="TableTextS5"/>
              <w:spacing w:before="20" w:after="20"/>
              <w:rPr>
                <w:del w:id="14" w:author="Komissarova, Olga" w:date="2015-10-30T19:28:00Z"/>
                <w:rStyle w:val="Artref"/>
                <w:lang w:val="ru-RU"/>
              </w:rPr>
            </w:pPr>
            <w:del w:id="15" w:author="Grechukhina, Irina" w:date="2015-10-30T13:01:00Z">
              <w:r w:rsidRPr="0025100C" w:rsidDel="0025100C">
                <w:rPr>
                  <w:szCs w:val="18"/>
                  <w:lang w:val="ru-RU"/>
                </w:rPr>
                <w:delText xml:space="preserve">Подвижная  </w:delText>
              </w:r>
              <w:r w:rsidRPr="00BC786F" w:rsidDel="0025100C">
                <w:rPr>
                  <w:rStyle w:val="Artref"/>
                  <w:lang w:val="ru-RU"/>
                </w:rPr>
                <w:delText>5.431А</w:delText>
              </w:r>
            </w:del>
          </w:p>
          <w:p w:rsidR="00AC7350" w:rsidRPr="0025100C" w:rsidRDefault="00571C30" w:rsidP="005E25E7">
            <w:pPr>
              <w:pStyle w:val="TableTextS5"/>
              <w:spacing w:before="20" w:after="20"/>
              <w:rPr>
                <w:rStyle w:val="Artref"/>
                <w:lang w:val="ru-RU"/>
              </w:rPr>
              <w:pPrChange w:id="16" w:author="Komissarova, Olga" w:date="2015-10-30T19:28:00Z">
                <w:pPr>
                  <w:pStyle w:val="TableTextS5"/>
                  <w:spacing w:before="20" w:after="20"/>
                </w:pPr>
              </w:pPrChange>
            </w:pPr>
            <w:proofErr w:type="gramStart"/>
            <w:r w:rsidRPr="0025100C">
              <w:rPr>
                <w:szCs w:val="18"/>
                <w:lang w:val="ru-RU"/>
              </w:rPr>
              <w:t xml:space="preserve">Радиолокационная  </w:t>
            </w:r>
            <w:r w:rsidRPr="00BC786F">
              <w:rPr>
                <w:rStyle w:val="Artref"/>
                <w:lang w:val="ru-RU"/>
              </w:rPr>
              <w:t>5.433</w:t>
            </w:r>
            <w:proofErr w:type="gramEnd"/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BC786F">
              <w:rPr>
                <w:rStyle w:val="Artref"/>
                <w:lang w:val="ru-RU"/>
              </w:rPr>
              <w:t>5.282</w:t>
            </w:r>
          </w:p>
        </w:tc>
        <w:tc>
          <w:tcPr>
            <w:tcW w:w="1666" w:type="pct"/>
          </w:tcPr>
          <w:p w:rsidR="00AC7350" w:rsidRPr="0025100C" w:rsidRDefault="00571C30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5100C">
              <w:rPr>
                <w:rStyle w:val="Tablefreq"/>
                <w:szCs w:val="18"/>
                <w:lang w:val="ru-RU"/>
              </w:rPr>
              <w:t>3 400–3 500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 xml:space="preserve">ФИКСИРОВАННАЯ СПУТНИКОВАЯ </w:t>
            </w:r>
            <w:r w:rsidRPr="0025100C">
              <w:rPr>
                <w:szCs w:val="18"/>
                <w:lang w:val="ru-RU"/>
              </w:rPr>
              <w:br/>
              <w:t>(космос-Земля)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Любительская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5100C">
              <w:rPr>
                <w:szCs w:val="18"/>
                <w:lang w:val="ru-RU"/>
              </w:rPr>
              <w:t xml:space="preserve">Подвижная  </w:t>
            </w:r>
            <w:r w:rsidRPr="00BC786F">
              <w:rPr>
                <w:rStyle w:val="Artref"/>
                <w:lang w:val="ru-RU"/>
              </w:rPr>
              <w:t>5.432B</w:t>
            </w:r>
            <w:proofErr w:type="gramEnd"/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25100C">
              <w:rPr>
                <w:lang w:val="ru-RU"/>
              </w:rPr>
              <w:t xml:space="preserve">Радиолокационная  </w:t>
            </w:r>
            <w:r w:rsidRPr="0025100C">
              <w:rPr>
                <w:rStyle w:val="Artref"/>
                <w:lang w:val="ru-RU"/>
              </w:rPr>
              <w:t>5.433</w:t>
            </w:r>
            <w:proofErr w:type="gramEnd"/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25100C">
              <w:rPr>
                <w:rStyle w:val="Artref"/>
                <w:lang w:val="ru-RU"/>
              </w:rPr>
              <w:t>5.282  5.432</w:t>
            </w:r>
            <w:proofErr w:type="gramEnd"/>
            <w:r w:rsidRPr="0025100C">
              <w:rPr>
                <w:rStyle w:val="Artref"/>
                <w:lang w:val="ru-RU"/>
              </w:rPr>
              <w:t xml:space="preserve">  5.432А</w:t>
            </w:r>
          </w:p>
        </w:tc>
      </w:tr>
      <w:tr w:rsidR="005E25E7" w:rsidRPr="0025100C" w:rsidTr="005E25E7">
        <w:trPr>
          <w:cantSplit/>
          <w:trHeight w:val="1518"/>
        </w:trPr>
        <w:tc>
          <w:tcPr>
            <w:tcW w:w="1667" w:type="pct"/>
            <w:vMerge/>
            <w:tcBorders>
              <w:bottom w:val="nil"/>
            </w:tcBorders>
          </w:tcPr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:rsidR="005E25E7" w:rsidRPr="0025100C" w:rsidRDefault="005E25E7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5100C">
              <w:rPr>
                <w:rStyle w:val="Tablefreq"/>
                <w:szCs w:val="18"/>
                <w:lang w:val="ru-RU"/>
              </w:rPr>
              <w:t>3 500–3 700</w:t>
            </w:r>
          </w:p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</w:t>
            </w:r>
          </w:p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 xml:space="preserve">ФИКСИРОВАННАЯ СПУТНИКОВАЯ </w:t>
            </w:r>
            <w:r w:rsidRPr="0025100C">
              <w:rPr>
                <w:szCs w:val="18"/>
                <w:lang w:val="ru-RU"/>
              </w:rPr>
              <w:br/>
              <w:t>(космос-Земля)</w:t>
            </w:r>
          </w:p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ПОДВИЖНАЯ, за исключением воздушной подвижной</w:t>
            </w:r>
            <w:ins w:id="17" w:author="Khrisanfova, Tatania" w:date="2015-10-25T17:57:00Z">
              <w:r w:rsidRPr="0025100C">
                <w:rPr>
                  <w:szCs w:val="18"/>
                  <w:lang w:val="ru-RU"/>
                </w:rPr>
                <w:t xml:space="preserve"> </w:t>
              </w:r>
            </w:ins>
            <w:ins w:id="18" w:author="Khrisanfova, Tatania" w:date="2015-10-25T17:58:00Z">
              <w:r w:rsidRPr="0025100C">
                <w:rPr>
                  <w:rStyle w:val="Artref"/>
                  <w:lang w:val="ru-RU"/>
                </w:rPr>
                <w:t>ADD 5.IMT</w:t>
              </w:r>
            </w:ins>
          </w:p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25100C">
              <w:rPr>
                <w:szCs w:val="18"/>
                <w:lang w:val="ru-RU"/>
              </w:rPr>
              <w:t xml:space="preserve">Радиолокационная  </w:t>
            </w:r>
            <w:r w:rsidRPr="0025100C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  <w:vMerge w:val="restart"/>
          </w:tcPr>
          <w:p w:rsidR="005E25E7" w:rsidRPr="0025100C" w:rsidRDefault="005E25E7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5100C">
              <w:rPr>
                <w:rStyle w:val="Tablefreq"/>
                <w:szCs w:val="18"/>
                <w:lang w:val="ru-RU"/>
              </w:rPr>
              <w:t>3 500–3 600</w:t>
            </w:r>
          </w:p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</w:t>
            </w:r>
          </w:p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 xml:space="preserve">ФИКСИРОВАННАЯ СПУТНИКОВАЯ </w:t>
            </w:r>
            <w:r w:rsidRPr="0025100C">
              <w:rPr>
                <w:szCs w:val="18"/>
                <w:lang w:val="ru-RU"/>
              </w:rPr>
              <w:br/>
              <w:t>(космос-Земля)</w:t>
            </w:r>
          </w:p>
          <w:p w:rsidR="005E25E7" w:rsidRPr="0025100C" w:rsidRDefault="005E25E7" w:rsidP="00AC7350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25100C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25100C">
              <w:rPr>
                <w:szCs w:val="18"/>
                <w:lang w:val="ru-RU"/>
              </w:rPr>
              <w:t xml:space="preserve">подвижной  </w:t>
            </w:r>
            <w:r w:rsidRPr="00626533">
              <w:rPr>
                <w:rStyle w:val="Artref"/>
                <w:lang w:val="ru-RU"/>
              </w:rPr>
              <w:t>5.433A</w:t>
            </w:r>
            <w:proofErr w:type="gramEnd"/>
          </w:p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25100C">
              <w:rPr>
                <w:szCs w:val="18"/>
                <w:lang w:val="ru-RU"/>
              </w:rPr>
              <w:t xml:space="preserve">Радиолокационная  </w:t>
            </w:r>
            <w:r w:rsidRPr="00626533">
              <w:rPr>
                <w:rStyle w:val="Artref"/>
                <w:lang w:val="ru-RU"/>
              </w:rPr>
              <w:t>5.433</w:t>
            </w:r>
            <w:proofErr w:type="gramEnd"/>
          </w:p>
        </w:tc>
      </w:tr>
      <w:tr w:rsidR="005E25E7" w:rsidRPr="0025100C" w:rsidTr="005E25E7">
        <w:trPr>
          <w:cantSplit/>
          <w:trHeight w:val="221"/>
        </w:trPr>
        <w:tc>
          <w:tcPr>
            <w:tcW w:w="1667" w:type="pct"/>
            <w:tcBorders>
              <w:top w:val="nil"/>
            </w:tcBorders>
          </w:tcPr>
          <w:p w:rsidR="005E25E7" w:rsidRPr="0025100C" w:rsidRDefault="005E25E7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:rsidR="005E25E7" w:rsidRPr="0025100C" w:rsidRDefault="005E25E7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:rsidR="005E25E7" w:rsidRPr="0025100C" w:rsidRDefault="005E25E7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AC7350" w:rsidRPr="0025100C" w:rsidTr="001F495F">
        <w:trPr>
          <w:cantSplit/>
        </w:trPr>
        <w:tc>
          <w:tcPr>
            <w:tcW w:w="1667" w:type="pct"/>
            <w:vMerge w:val="restart"/>
          </w:tcPr>
          <w:p w:rsidR="00AC7350" w:rsidRPr="0025100C" w:rsidRDefault="00571C30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5100C">
              <w:rPr>
                <w:rStyle w:val="Tablefreq"/>
                <w:szCs w:val="18"/>
                <w:lang w:val="ru-RU"/>
              </w:rPr>
              <w:t>3 600–4 200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 xml:space="preserve">ФИКСИРОВАННАЯ СПУТНИКОВАЯ </w:t>
            </w:r>
            <w:r w:rsidRPr="0025100C">
              <w:rPr>
                <w:szCs w:val="18"/>
                <w:lang w:val="ru-RU"/>
              </w:rPr>
              <w:br/>
              <w:t>(космос-Земля)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AC7350" w:rsidRPr="0025100C" w:rsidRDefault="00AC735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AC7350" w:rsidRPr="0025100C" w:rsidRDefault="00571C30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5100C">
              <w:rPr>
                <w:rStyle w:val="Tablefreq"/>
                <w:szCs w:val="18"/>
                <w:lang w:val="ru-RU"/>
              </w:rPr>
              <w:t>3 600–3 700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 xml:space="preserve">ФИКСИРОВАННАЯ СПУТНИКОВАЯ </w:t>
            </w:r>
            <w:r w:rsidRPr="0025100C">
              <w:rPr>
                <w:szCs w:val="18"/>
                <w:lang w:val="ru-RU"/>
              </w:rPr>
              <w:br/>
              <w:t>(космос-Земля)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 xml:space="preserve">Радиолокационная  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6533">
              <w:rPr>
                <w:rStyle w:val="Artref"/>
                <w:lang w:val="ru-RU"/>
              </w:rPr>
              <w:t>5.435</w:t>
            </w:r>
          </w:p>
        </w:tc>
      </w:tr>
      <w:tr w:rsidR="00AC7350" w:rsidRPr="0025100C" w:rsidTr="00AC7350">
        <w:trPr>
          <w:cantSplit/>
        </w:trPr>
        <w:tc>
          <w:tcPr>
            <w:tcW w:w="1667" w:type="pct"/>
            <w:vMerge/>
          </w:tcPr>
          <w:p w:rsidR="00AC7350" w:rsidRPr="0025100C" w:rsidRDefault="00AC735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AC7350" w:rsidRPr="0025100C" w:rsidRDefault="00571C30" w:rsidP="00AC7350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25100C">
              <w:rPr>
                <w:rStyle w:val="Tablefreq"/>
                <w:szCs w:val="18"/>
                <w:lang w:val="ru-RU"/>
              </w:rPr>
              <w:t>3 700–4 200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AC7350" w:rsidRPr="0025100C" w:rsidRDefault="00571C30" w:rsidP="00AC7350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5100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C8765B" w:rsidRPr="0025100C" w:rsidRDefault="00571C30" w:rsidP="0010220D">
      <w:pPr>
        <w:pStyle w:val="Reasons"/>
      </w:pPr>
      <w:proofErr w:type="gramStart"/>
      <w:r w:rsidRPr="0025100C">
        <w:rPr>
          <w:b/>
          <w:bCs/>
        </w:rPr>
        <w:t>Основания</w:t>
      </w:r>
      <w:r w:rsidRPr="0025100C">
        <w:t>:</w:t>
      </w:r>
      <w:r w:rsidRPr="0025100C">
        <w:tab/>
      </w:r>
      <w:proofErr w:type="gramEnd"/>
      <w:r w:rsidR="00A139D8" w:rsidRPr="0025100C">
        <w:t xml:space="preserve">Обеспечить дополнительный спектр для </w:t>
      </w:r>
      <w:r w:rsidR="00960894" w:rsidRPr="0025100C">
        <w:t xml:space="preserve">IMT </w:t>
      </w:r>
      <w:r w:rsidR="00A139D8" w:rsidRPr="0025100C">
        <w:t xml:space="preserve">в целях выполнения пункта 1.1 повестки дня для </w:t>
      </w:r>
      <w:r w:rsidR="0010220D" w:rsidRPr="0025100C">
        <w:t>сетей с в</w:t>
      </w:r>
      <w:r w:rsidR="00BC786F">
        <w:t>ысокой пропускной способностью.</w:t>
      </w:r>
    </w:p>
    <w:p w:rsidR="00C8765B" w:rsidRPr="0025100C" w:rsidRDefault="00571C30">
      <w:pPr>
        <w:pStyle w:val="Proposal"/>
      </w:pPr>
      <w:r w:rsidRPr="0025100C">
        <w:lastRenderedPageBreak/>
        <w:t>ADD</w:t>
      </w:r>
      <w:r w:rsidRPr="0025100C">
        <w:tab/>
        <w:t>B/70A1A2/2</w:t>
      </w:r>
    </w:p>
    <w:p w:rsidR="00C8765B" w:rsidRPr="00BC786F" w:rsidRDefault="00571C30" w:rsidP="005E25E7">
      <w:pPr>
        <w:pStyle w:val="Note"/>
      </w:pPr>
      <w:r w:rsidRPr="00BC786F">
        <w:rPr>
          <w:rStyle w:val="Artdef"/>
          <w:lang w:val="ru-RU"/>
        </w:rPr>
        <w:t>5.IMT</w:t>
      </w:r>
      <w:r w:rsidRPr="00BC786F">
        <w:rPr>
          <w:lang w:val="ru-RU"/>
        </w:rPr>
        <w:tab/>
      </w:r>
      <w:r w:rsidR="000158C5" w:rsidRPr="00BC786F">
        <w:rPr>
          <w:lang w:val="ru-RU"/>
        </w:rPr>
        <w:t>В Районе</w:t>
      </w:r>
      <w:r w:rsidR="009502CE" w:rsidRPr="00BC786F">
        <w:rPr>
          <w:lang w:val="ru-RU"/>
        </w:rPr>
        <w:t xml:space="preserve"> 2 полоса частот 3400−3600 МГц </w:t>
      </w:r>
      <w:r w:rsidR="000158C5" w:rsidRPr="00BC786F">
        <w:rPr>
          <w:lang w:val="ru-RU"/>
        </w:rPr>
        <w:t>определена</w:t>
      </w:r>
      <w:r w:rsidR="009502CE" w:rsidRPr="00BC786F">
        <w:rPr>
          <w:lang w:val="ru-RU"/>
        </w:rPr>
        <w:t xml:space="preserve"> для использования администрациями, желающими внедрить Международную подвижную </w:t>
      </w:r>
      <w:r w:rsidR="0010220D" w:rsidRPr="00BC786F">
        <w:rPr>
          <w:lang w:val="ru-RU"/>
        </w:rPr>
        <w:t>электро</w:t>
      </w:r>
      <w:r w:rsidR="009502CE" w:rsidRPr="00BC786F">
        <w:rPr>
          <w:lang w:val="ru-RU"/>
        </w:rPr>
        <w:t>связь (IMT), при условии получения согласия других администраций в соответствии с п. </w:t>
      </w:r>
      <w:r w:rsidR="009502CE" w:rsidRPr="00BC786F">
        <w:rPr>
          <w:b/>
          <w:bCs/>
          <w:lang w:val="ru-RU"/>
        </w:rPr>
        <w:t>9.21</w:t>
      </w:r>
      <w:r w:rsidR="009502CE" w:rsidRPr="00BC786F">
        <w:rPr>
          <w:lang w:val="ru-RU"/>
        </w:rPr>
        <w:t xml:space="preserve">. </w:t>
      </w:r>
      <w:r w:rsidR="0010220D" w:rsidRPr="00BC786F">
        <w:rPr>
          <w:lang w:val="ru-RU"/>
        </w:rPr>
        <w:t>См. Резолюцию</w:t>
      </w:r>
      <w:r w:rsidR="009502CE" w:rsidRPr="00BC786F">
        <w:rPr>
          <w:lang w:val="ru-RU"/>
        </w:rPr>
        <w:t xml:space="preserve"> </w:t>
      </w:r>
      <w:r w:rsidR="009502CE" w:rsidRPr="00BC786F">
        <w:rPr>
          <w:b/>
          <w:bCs/>
          <w:lang w:val="ru-RU"/>
        </w:rPr>
        <w:t>[</w:t>
      </w:r>
      <w:r w:rsidR="0010220D" w:rsidRPr="00BC786F">
        <w:rPr>
          <w:b/>
          <w:bCs/>
          <w:lang w:val="ru-RU"/>
        </w:rPr>
        <w:t>B</w:t>
      </w:r>
      <w:r w:rsidR="0010220D" w:rsidRPr="00BC786F">
        <w:rPr>
          <w:b/>
          <w:bCs/>
          <w:lang w:val="ru-RU"/>
        </w:rPr>
        <w:noBreakHyphen/>
      </w:r>
      <w:proofErr w:type="spellStart"/>
      <w:r w:rsidR="0010220D" w:rsidRPr="00BC786F">
        <w:rPr>
          <w:b/>
          <w:bCs/>
          <w:lang w:val="ru-RU"/>
        </w:rPr>
        <w:t>A11</w:t>
      </w:r>
      <w:proofErr w:type="spellEnd"/>
      <w:r w:rsidR="0010220D" w:rsidRPr="00BC786F">
        <w:rPr>
          <w:b/>
          <w:bCs/>
          <w:lang w:val="ru-RU"/>
        </w:rPr>
        <w:noBreakHyphen/>
      </w:r>
      <w:proofErr w:type="spellStart"/>
      <w:r w:rsidR="0010220D" w:rsidRPr="00BC786F">
        <w:rPr>
          <w:b/>
          <w:bCs/>
          <w:lang w:val="ru-RU"/>
        </w:rPr>
        <w:t>IMT</w:t>
      </w:r>
      <w:proofErr w:type="spellEnd"/>
      <w:r w:rsidR="0010220D" w:rsidRPr="00BC786F">
        <w:rPr>
          <w:b/>
          <w:bCs/>
          <w:lang w:val="ru-RU"/>
        </w:rPr>
        <w:t> 3.4-3.</w:t>
      </w:r>
      <w:r w:rsidR="009502CE" w:rsidRPr="00BC786F">
        <w:rPr>
          <w:b/>
          <w:bCs/>
          <w:lang w:val="ru-RU"/>
        </w:rPr>
        <w:t>6 </w:t>
      </w:r>
      <w:proofErr w:type="spellStart"/>
      <w:r w:rsidR="0010220D" w:rsidRPr="00BC786F">
        <w:rPr>
          <w:b/>
          <w:bCs/>
          <w:lang w:val="ru-RU"/>
        </w:rPr>
        <w:t>GHz</w:t>
      </w:r>
      <w:proofErr w:type="spellEnd"/>
      <w:r w:rsidR="009502CE" w:rsidRPr="00BC786F">
        <w:rPr>
          <w:b/>
          <w:bCs/>
          <w:lang w:val="ru-RU"/>
        </w:rPr>
        <w:t>]</w:t>
      </w:r>
      <w:r w:rsidR="009502CE" w:rsidRPr="00BC786F">
        <w:rPr>
          <w:lang w:val="ru-RU"/>
        </w:rPr>
        <w:t xml:space="preserve"> </w:t>
      </w:r>
      <w:r w:rsidR="009502CE" w:rsidRPr="005E25E7">
        <w:rPr>
          <w:b/>
          <w:bCs/>
          <w:lang w:val="ru-RU"/>
        </w:rPr>
        <w:t>(</w:t>
      </w:r>
      <w:proofErr w:type="spellStart"/>
      <w:r w:rsidR="009502CE" w:rsidRPr="005E25E7">
        <w:rPr>
          <w:b/>
          <w:bCs/>
          <w:lang w:val="ru-RU"/>
        </w:rPr>
        <w:t>ВКР</w:t>
      </w:r>
      <w:proofErr w:type="spellEnd"/>
      <w:r w:rsidR="009502CE" w:rsidRPr="005E25E7">
        <w:rPr>
          <w:b/>
          <w:bCs/>
          <w:lang w:val="ru-RU"/>
        </w:rPr>
        <w:t>-15)</w:t>
      </w:r>
      <w:r w:rsidR="009502CE" w:rsidRPr="00BC786F">
        <w:rPr>
          <w:lang w:val="ru-RU"/>
        </w:rPr>
        <w:t xml:space="preserve">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На этапе координации применяются также положения </w:t>
      </w:r>
      <w:proofErr w:type="spellStart"/>
      <w:r w:rsidR="009502CE" w:rsidRPr="00BC786F">
        <w:rPr>
          <w:lang w:val="ru-RU"/>
        </w:rPr>
        <w:t>пп</w:t>
      </w:r>
      <w:proofErr w:type="spellEnd"/>
      <w:r w:rsidR="009502CE" w:rsidRPr="00BC786F">
        <w:rPr>
          <w:lang w:val="ru-RU"/>
        </w:rPr>
        <w:t>. </w:t>
      </w:r>
      <w:r w:rsidR="009502CE" w:rsidRPr="00BC786F">
        <w:rPr>
          <w:b/>
          <w:bCs/>
          <w:lang w:val="ru-RU"/>
        </w:rPr>
        <w:t>9.17</w:t>
      </w:r>
      <w:r w:rsidR="009502CE" w:rsidRPr="00BC786F">
        <w:rPr>
          <w:lang w:val="ru-RU"/>
        </w:rPr>
        <w:t xml:space="preserve"> и </w:t>
      </w:r>
      <w:r w:rsidR="009502CE" w:rsidRPr="00BC786F">
        <w:rPr>
          <w:b/>
          <w:bCs/>
          <w:lang w:val="ru-RU"/>
        </w:rPr>
        <w:t>9.18</w:t>
      </w:r>
      <w:r w:rsidR="009502CE" w:rsidRPr="00BC786F">
        <w:rPr>
          <w:lang w:val="ru-RU"/>
        </w:rPr>
        <w:t>. Прежде чем какая-либо администрация введет в действие станцию (базовую или подвижную) подвижной службы в этой полосе, она должна обеспечить, чтобы плотность потока мощности (</w:t>
      </w:r>
      <w:proofErr w:type="spellStart"/>
      <w:r w:rsidR="009502CE" w:rsidRPr="00BC786F">
        <w:rPr>
          <w:lang w:val="ru-RU"/>
        </w:rPr>
        <w:t>п.п.м</w:t>
      </w:r>
      <w:proofErr w:type="spellEnd"/>
      <w:r w:rsidR="009502CE" w:rsidRPr="00BC786F">
        <w:rPr>
          <w:lang w:val="ru-RU"/>
        </w:rPr>
        <w:t>.) на высоте 3 м над уровнем земли не превышала –154,5 </w:t>
      </w:r>
      <w:proofErr w:type="gramStart"/>
      <w:r w:rsidR="009502CE" w:rsidRPr="00BC786F">
        <w:rPr>
          <w:lang w:val="ru-RU"/>
        </w:rPr>
        <w:t>дБ(</w:t>
      </w:r>
      <w:proofErr w:type="gramEnd"/>
      <w:r w:rsidR="009502CE" w:rsidRPr="00BC786F">
        <w:rPr>
          <w:lang w:val="ru-RU"/>
        </w:rPr>
        <w:t>Вт/(</w:t>
      </w:r>
      <w:proofErr w:type="spellStart"/>
      <w:r w:rsidR="009502CE" w:rsidRPr="00BC786F">
        <w:rPr>
          <w:lang w:val="ru-RU"/>
        </w:rPr>
        <w:t>м</w:t>
      </w:r>
      <w:r w:rsidR="009502CE" w:rsidRPr="005E25E7">
        <w:rPr>
          <w:vertAlign w:val="superscript"/>
          <w:lang w:val="ru-RU"/>
        </w:rPr>
        <w:t>2</w:t>
      </w:r>
      <w:proofErr w:type="spellEnd"/>
      <w:r w:rsidR="009502CE" w:rsidRPr="00BC786F">
        <w:rPr>
          <w:lang w:val="ru-RU"/>
        </w:rPr>
        <w:t> </w:t>
      </w:r>
      <w:r w:rsidR="005E25E7">
        <w:rPr>
          <w:lang w:val="ru-RU"/>
        </w:rPr>
        <w:sym w:font="Symbol" w:char="F0D7"/>
      </w:r>
      <w:r w:rsidR="009502CE" w:rsidRPr="00BC786F">
        <w:rPr>
          <w:lang w:val="ru-RU"/>
        </w:rPr>
        <w:t xml:space="preserve"> 4 кГц)) 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</w:r>
      <w:proofErr w:type="spellStart"/>
      <w:r w:rsidR="009502CE" w:rsidRPr="00BC786F">
        <w:rPr>
          <w:lang w:val="ru-RU"/>
        </w:rPr>
        <w:t>п.п.м</w:t>
      </w:r>
      <w:proofErr w:type="spellEnd"/>
      <w:r w:rsidR="009502CE" w:rsidRPr="00BC786F">
        <w:rPr>
          <w:lang w:val="ru-RU"/>
        </w:rPr>
        <w:t xml:space="preserve">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 ответственной за наземную станцию, и администрации, ответственной за земную станцию) при помощи Бюро, если таковая запрашивается. В случае разногласия расчеты и проверка </w:t>
      </w:r>
      <w:proofErr w:type="spellStart"/>
      <w:r w:rsidR="009502CE" w:rsidRPr="00BC786F">
        <w:rPr>
          <w:lang w:val="ru-RU"/>
        </w:rPr>
        <w:t>п.п.м</w:t>
      </w:r>
      <w:proofErr w:type="spellEnd"/>
      <w:r w:rsidR="009502CE" w:rsidRPr="00BC786F">
        <w:rPr>
          <w:lang w:val="ru-RU"/>
        </w:rPr>
        <w:t>. должны производиться Бюро с учетом вышеупомянутой информации. Станции подвижной службы в полосе 3400–3600 МГц не должны требовать большей защиты от космических станций, чем предусмотрено в Таблице </w:t>
      </w:r>
      <w:r w:rsidR="009502CE" w:rsidRPr="00BC786F">
        <w:rPr>
          <w:b/>
          <w:bCs/>
          <w:lang w:val="ru-RU"/>
        </w:rPr>
        <w:t>21-4</w:t>
      </w:r>
      <w:r w:rsidR="009502CE" w:rsidRPr="00BC786F">
        <w:rPr>
          <w:lang w:val="ru-RU"/>
        </w:rPr>
        <w:t xml:space="preserve"> Регламента радиосвязи</w:t>
      </w:r>
      <w:r w:rsidR="005E25E7">
        <w:rPr>
          <w:lang w:val="ru-RU"/>
        </w:rPr>
        <w:t xml:space="preserve"> (издание 2004 г.)</w:t>
      </w:r>
      <w:r w:rsidR="009502CE" w:rsidRPr="00BC786F">
        <w:rPr>
          <w:lang w:val="ru-RU"/>
        </w:rPr>
        <w:t>.</w:t>
      </w:r>
      <w:r w:rsidR="009502CE" w:rsidRPr="00BC786F">
        <w:rPr>
          <w:sz w:val="16"/>
          <w:szCs w:val="16"/>
          <w:lang w:val="ru-RU"/>
        </w:rPr>
        <w:t>     (</w:t>
      </w:r>
      <w:proofErr w:type="spellStart"/>
      <w:r w:rsidR="009502CE" w:rsidRPr="00BC786F">
        <w:rPr>
          <w:sz w:val="16"/>
          <w:szCs w:val="16"/>
          <w:lang w:val="ru-RU"/>
        </w:rPr>
        <w:t>ВКР</w:t>
      </w:r>
      <w:proofErr w:type="spellEnd"/>
      <w:r w:rsidR="009502CE" w:rsidRPr="00BC786F">
        <w:rPr>
          <w:sz w:val="16"/>
          <w:szCs w:val="16"/>
          <w:lang w:val="ru-RU"/>
        </w:rPr>
        <w:noBreakHyphen/>
        <w:t>15)</w:t>
      </w:r>
    </w:p>
    <w:p w:rsidR="00C8765B" w:rsidRPr="0025100C" w:rsidRDefault="00571C30" w:rsidP="00B46AAF">
      <w:pPr>
        <w:pStyle w:val="Reasons"/>
      </w:pPr>
      <w:proofErr w:type="gramStart"/>
      <w:r w:rsidRPr="0025100C">
        <w:rPr>
          <w:b/>
          <w:bCs/>
        </w:rPr>
        <w:t>Основания</w:t>
      </w:r>
      <w:r w:rsidRPr="0025100C">
        <w:t>:</w:t>
      </w:r>
      <w:r w:rsidRPr="0025100C">
        <w:tab/>
      </w:r>
      <w:proofErr w:type="gramEnd"/>
      <w:r w:rsidR="00B46AAF" w:rsidRPr="0025100C">
        <w:t>Для определения полосы</w:t>
      </w:r>
      <w:r w:rsidR="009502CE" w:rsidRPr="0025100C">
        <w:t xml:space="preserve"> 3400−3600 </w:t>
      </w:r>
      <w:r w:rsidR="00B46AAF" w:rsidRPr="0025100C">
        <w:t>для</w:t>
      </w:r>
      <w:r w:rsidR="009502CE" w:rsidRPr="0025100C">
        <w:t xml:space="preserve"> IMT </w:t>
      </w:r>
      <w:r w:rsidR="00B46AAF" w:rsidRPr="0025100C">
        <w:t>в Районе 2 и предоставления администрациям гибкости в использовании этой полосы или ее частей системами</w:t>
      </w:r>
      <w:r w:rsidR="009502CE" w:rsidRPr="0025100C">
        <w:t xml:space="preserve"> IMT</w:t>
      </w:r>
      <w:r w:rsidR="00B46AAF" w:rsidRPr="0025100C">
        <w:t xml:space="preserve">, при условии успешной координации с ФСС. Тем не менее, необходимо разработать технические условия для обеспечения сосуществования систем ФСС и систем </w:t>
      </w:r>
      <w:r w:rsidR="009502CE" w:rsidRPr="0025100C">
        <w:t>IMT</w:t>
      </w:r>
      <w:r w:rsidR="00B46AAF" w:rsidRPr="0025100C">
        <w:t>, работающих в полосе</w:t>
      </w:r>
      <w:r w:rsidR="009502CE" w:rsidRPr="0025100C">
        <w:t xml:space="preserve"> 3400−3600 МГц, </w:t>
      </w:r>
      <w:r w:rsidR="00B46AAF" w:rsidRPr="0025100C">
        <w:t xml:space="preserve">в соответствии с Резолюцией </w:t>
      </w:r>
      <w:r w:rsidR="009502CE" w:rsidRPr="0025100C">
        <w:t>233 (ВКР-12).</w:t>
      </w:r>
    </w:p>
    <w:p w:rsidR="00C8765B" w:rsidRPr="0025100C" w:rsidRDefault="00571C30">
      <w:pPr>
        <w:pStyle w:val="Proposal"/>
      </w:pPr>
      <w:r w:rsidRPr="0025100C">
        <w:t>SUP</w:t>
      </w:r>
      <w:r w:rsidRPr="0025100C">
        <w:tab/>
        <w:t>B/70A1A2/3</w:t>
      </w:r>
    </w:p>
    <w:p w:rsidR="00AC7350" w:rsidRPr="0025100C" w:rsidRDefault="00571C30" w:rsidP="005E25E7">
      <w:pPr>
        <w:pStyle w:val="Note"/>
        <w:rPr>
          <w:sz w:val="16"/>
          <w:szCs w:val="16"/>
          <w:lang w:val="ru-RU"/>
        </w:rPr>
      </w:pPr>
      <w:r w:rsidRPr="0025100C">
        <w:rPr>
          <w:rStyle w:val="Artdef"/>
          <w:lang w:val="ru-RU"/>
        </w:rPr>
        <w:t>5.431А</w:t>
      </w:r>
      <w:r w:rsidRPr="0025100C">
        <w:rPr>
          <w:lang w:val="ru-RU"/>
        </w:rPr>
        <w:tab/>
      </w:r>
      <w:r w:rsidRPr="0025100C">
        <w:rPr>
          <w:i/>
          <w:iCs/>
          <w:lang w:val="ru-RU"/>
        </w:rPr>
        <w:t>Другая категория службы</w:t>
      </w:r>
      <w:r w:rsidRPr="0025100C">
        <w:rPr>
          <w:lang w:val="ru-RU"/>
        </w:rPr>
        <w:t>:  в Аргентине, Бразилии, Чили, Коста-Рике, Кубе, Доминиканской Республике, Сальвадоре, Французских заморских департаментах и сообществах в Районе 2, Гватемале, Мексике, Парагвае, Суринаме, Уругвае и Венесуэле полоса 3400–3500 МГц распределена подвижной, за исключением воздушной подвижной, службе на первичной основе при условии получения согласия в соответствии с п. </w:t>
      </w:r>
      <w:r w:rsidRPr="0025100C">
        <w:rPr>
          <w:b/>
          <w:bCs/>
          <w:lang w:val="ru-RU"/>
        </w:rPr>
        <w:t>9.21</w:t>
      </w:r>
      <w:r w:rsidRPr="0025100C">
        <w:rPr>
          <w:lang w:val="ru-RU"/>
        </w:rPr>
        <w:t>. Станции подвижной службы в полосе 3400</w:t>
      </w:r>
      <w:r w:rsidRPr="0025100C">
        <w:rPr>
          <w:lang w:val="ru-RU"/>
        </w:rPr>
        <w:sym w:font="Symbol" w:char="F02D"/>
      </w:r>
      <w:r w:rsidRPr="0025100C">
        <w:rPr>
          <w:lang w:val="ru-RU"/>
        </w:rPr>
        <w:t>3500 МГц не должны требовать большей защиты от космических станций, чем предусмотрено в Таблице </w:t>
      </w:r>
      <w:r w:rsidRPr="0025100C">
        <w:rPr>
          <w:b/>
          <w:bCs/>
          <w:lang w:val="ru-RU"/>
        </w:rPr>
        <w:t>21-4</w:t>
      </w:r>
      <w:r w:rsidRPr="0025100C">
        <w:rPr>
          <w:lang w:val="ru-RU"/>
        </w:rPr>
        <w:t xml:space="preserve"> Регламента радиосвязи (издание 2004 г</w:t>
      </w:r>
      <w:r w:rsidR="005E25E7">
        <w:rPr>
          <w:lang w:val="ru-RU"/>
        </w:rPr>
        <w:t>.</w:t>
      </w:r>
      <w:r w:rsidRPr="0025100C">
        <w:rPr>
          <w:lang w:val="ru-RU"/>
        </w:rPr>
        <w:t>).</w:t>
      </w:r>
      <w:r w:rsidRPr="0025100C">
        <w:rPr>
          <w:sz w:val="16"/>
          <w:szCs w:val="16"/>
          <w:lang w:val="ru-RU"/>
        </w:rPr>
        <w:t>     (</w:t>
      </w:r>
      <w:proofErr w:type="spellStart"/>
      <w:r w:rsidRPr="0025100C">
        <w:rPr>
          <w:sz w:val="16"/>
          <w:szCs w:val="16"/>
          <w:lang w:val="ru-RU"/>
        </w:rPr>
        <w:t>ВКР</w:t>
      </w:r>
      <w:proofErr w:type="spellEnd"/>
      <w:r w:rsidRPr="0025100C">
        <w:rPr>
          <w:sz w:val="16"/>
          <w:szCs w:val="16"/>
          <w:lang w:val="ru-RU"/>
        </w:rPr>
        <w:t>-12)</w:t>
      </w:r>
    </w:p>
    <w:p w:rsidR="00C8765B" w:rsidRPr="0025100C" w:rsidRDefault="00571C30" w:rsidP="005E25E7">
      <w:pPr>
        <w:pStyle w:val="Reasons"/>
      </w:pPr>
      <w:proofErr w:type="gramStart"/>
      <w:r w:rsidRPr="0025100C">
        <w:rPr>
          <w:b/>
          <w:bCs/>
        </w:rPr>
        <w:t>Основания</w:t>
      </w:r>
      <w:r w:rsidRPr="0025100C">
        <w:t>:</w:t>
      </w:r>
      <w:r w:rsidRPr="0025100C">
        <w:tab/>
      </w:r>
      <w:proofErr w:type="gramEnd"/>
      <w:r w:rsidR="009F1EFB" w:rsidRPr="0025100C">
        <w:t>Логически вытекающе</w:t>
      </w:r>
      <w:r w:rsidR="00B46AAF" w:rsidRPr="0025100C">
        <w:t>е изменени</w:t>
      </w:r>
      <w:r w:rsidR="009F1EFB" w:rsidRPr="0025100C">
        <w:t>е</w:t>
      </w:r>
      <w:r w:rsidR="00B46AAF" w:rsidRPr="0025100C">
        <w:t xml:space="preserve"> в связи с добавлением примечания п. </w:t>
      </w:r>
      <w:r w:rsidR="009502CE" w:rsidRPr="0025100C">
        <w:t xml:space="preserve">5.IMT </w:t>
      </w:r>
      <w:r w:rsidR="005E25E7">
        <w:t xml:space="preserve">РР и его применения также </w:t>
      </w:r>
      <w:r w:rsidR="00B46AAF" w:rsidRPr="0025100C">
        <w:t>Район</w:t>
      </w:r>
      <w:r w:rsidR="005E25E7">
        <w:t>у</w:t>
      </w:r>
      <w:r w:rsidR="00B46AAF" w:rsidRPr="0025100C">
        <w:t xml:space="preserve"> 2. </w:t>
      </w:r>
    </w:p>
    <w:p w:rsidR="00C8765B" w:rsidRPr="0025100C" w:rsidRDefault="00571C30">
      <w:pPr>
        <w:pStyle w:val="Proposal"/>
      </w:pPr>
      <w:r w:rsidRPr="0025100C">
        <w:t>ADD</w:t>
      </w:r>
      <w:r w:rsidRPr="0025100C">
        <w:tab/>
        <w:t>B/70A1A2/4</w:t>
      </w:r>
    </w:p>
    <w:p w:rsidR="00C8765B" w:rsidRPr="0025100C" w:rsidRDefault="00571C30" w:rsidP="00B46AAF">
      <w:pPr>
        <w:pStyle w:val="ResNo"/>
      </w:pPr>
      <w:r w:rsidRPr="0025100C">
        <w:t>Прое</w:t>
      </w:r>
      <w:r w:rsidR="009502CE" w:rsidRPr="0025100C">
        <w:t>кт новой Резолюции [B-A11-IMT-3</w:t>
      </w:r>
      <w:r w:rsidR="00B46AAF" w:rsidRPr="0025100C">
        <w:t>.4-3.</w:t>
      </w:r>
      <w:r w:rsidRPr="0025100C">
        <w:t>6 GHZ]</w:t>
      </w:r>
      <w:r w:rsidR="009502CE" w:rsidRPr="0025100C">
        <w:t xml:space="preserve"> (ВКР-15)</w:t>
      </w:r>
    </w:p>
    <w:p w:rsidR="009502CE" w:rsidRPr="0025100C" w:rsidRDefault="00E9760D" w:rsidP="00736A1D">
      <w:pPr>
        <w:pStyle w:val="Restitle"/>
      </w:pPr>
      <w:r w:rsidRPr="0025100C">
        <w:t>Д</w:t>
      </w:r>
      <w:r w:rsidR="00736A1D" w:rsidRPr="0025100C">
        <w:t>ополнительные исследования</w:t>
      </w:r>
      <w:r w:rsidRPr="0025100C">
        <w:t xml:space="preserve"> </w:t>
      </w:r>
      <w:r w:rsidR="00736A1D" w:rsidRPr="0025100C">
        <w:t>по вопросу о сосуществовании</w:t>
      </w:r>
      <w:r w:rsidRPr="0025100C">
        <w:t xml:space="preserve"> систем </w:t>
      </w:r>
      <w:proofErr w:type="spellStart"/>
      <w:r w:rsidRPr="0025100C">
        <w:t>ФСС</w:t>
      </w:r>
      <w:proofErr w:type="spellEnd"/>
      <w:r w:rsidR="00736A1D" w:rsidRPr="0025100C">
        <w:t>, работающих в полосе</w:t>
      </w:r>
      <w:r w:rsidR="009502CE" w:rsidRPr="0025100C">
        <w:t xml:space="preserve"> 3600</w:t>
      </w:r>
      <w:r w:rsidR="00736A1D" w:rsidRPr="0025100C">
        <w:t>−</w:t>
      </w:r>
      <w:r w:rsidR="009502CE" w:rsidRPr="0025100C">
        <w:t>4200 </w:t>
      </w:r>
      <w:r w:rsidR="00736A1D" w:rsidRPr="0025100C">
        <w:t>МГц, и систем</w:t>
      </w:r>
      <w:r w:rsidR="009502CE" w:rsidRPr="0025100C">
        <w:t xml:space="preserve"> </w:t>
      </w:r>
      <w:proofErr w:type="spellStart"/>
      <w:r w:rsidR="009502CE" w:rsidRPr="0025100C">
        <w:t>IMT</w:t>
      </w:r>
      <w:proofErr w:type="spellEnd"/>
      <w:r w:rsidR="00736A1D" w:rsidRPr="0025100C">
        <w:t xml:space="preserve">, работающих </w:t>
      </w:r>
      <w:r w:rsidR="005E25E7">
        <w:br/>
      </w:r>
      <w:r w:rsidR="00736A1D" w:rsidRPr="0025100C">
        <w:t>в полосе</w:t>
      </w:r>
      <w:r w:rsidR="009502CE" w:rsidRPr="0025100C">
        <w:t xml:space="preserve"> 3400</w:t>
      </w:r>
      <w:r w:rsidR="00736A1D" w:rsidRPr="0025100C">
        <w:t>−</w:t>
      </w:r>
      <w:r w:rsidR="009502CE" w:rsidRPr="0025100C">
        <w:t>3600 </w:t>
      </w:r>
      <w:r w:rsidR="00736A1D" w:rsidRPr="0025100C">
        <w:t>МГц</w:t>
      </w:r>
    </w:p>
    <w:p w:rsidR="009502CE" w:rsidRPr="0025100C" w:rsidRDefault="000158C5" w:rsidP="000158C5">
      <w:pPr>
        <w:pStyle w:val="Normalaftertitle"/>
        <w:rPr>
          <w:rFonts w:eastAsia="???"/>
        </w:rPr>
      </w:pPr>
      <w:r w:rsidRPr="0025100C">
        <w:rPr>
          <w:rFonts w:eastAsia="???"/>
        </w:rPr>
        <w:t xml:space="preserve">Всемирная конференция радиосвязи </w:t>
      </w:r>
      <w:r w:rsidR="009502CE" w:rsidRPr="0025100C">
        <w:rPr>
          <w:rFonts w:eastAsia="???"/>
        </w:rPr>
        <w:t>(</w:t>
      </w:r>
      <w:r w:rsidRPr="0025100C">
        <w:rPr>
          <w:rFonts w:eastAsia="???"/>
        </w:rPr>
        <w:t>Женева</w:t>
      </w:r>
      <w:r w:rsidR="009502CE" w:rsidRPr="0025100C">
        <w:rPr>
          <w:rFonts w:eastAsia="???"/>
        </w:rPr>
        <w:t>, 2015</w:t>
      </w:r>
      <w:r w:rsidRPr="0025100C">
        <w:rPr>
          <w:rFonts w:eastAsia="???"/>
        </w:rPr>
        <w:t xml:space="preserve"> г.</w:t>
      </w:r>
      <w:r w:rsidR="009502CE" w:rsidRPr="0025100C">
        <w:rPr>
          <w:rFonts w:eastAsia="???"/>
        </w:rPr>
        <w:t>),</w:t>
      </w:r>
    </w:p>
    <w:p w:rsidR="009502CE" w:rsidRPr="0025100C" w:rsidRDefault="00173F0A" w:rsidP="00173F0A">
      <w:pPr>
        <w:pStyle w:val="Call"/>
        <w:rPr>
          <w:rFonts w:eastAsia="???"/>
          <w:sz w:val="24"/>
        </w:rPr>
      </w:pPr>
      <w:r w:rsidRPr="0025100C">
        <w:t>учитывая</w:t>
      </w:r>
      <w:r w:rsidRPr="0025100C">
        <w:rPr>
          <w:i w:val="0"/>
          <w:iCs/>
        </w:rPr>
        <w:t>,</w:t>
      </w:r>
    </w:p>
    <w:p w:rsidR="009502CE" w:rsidRPr="0025100C" w:rsidRDefault="009502CE" w:rsidP="00B07ADB">
      <w:r w:rsidRPr="0025100C">
        <w:rPr>
          <w:i/>
          <w:iCs/>
        </w:rPr>
        <w:t>a)</w:t>
      </w:r>
      <w:r w:rsidRPr="0025100C">
        <w:tab/>
      </w:r>
      <w:r w:rsidR="00960894" w:rsidRPr="0025100C">
        <w:t xml:space="preserve">что полоса 3400−4200 МГц распределена во всем мире </w:t>
      </w:r>
      <w:r w:rsidR="00B07ADB" w:rsidRPr="0025100C">
        <w:t xml:space="preserve">на первичной основе </w:t>
      </w:r>
      <w:r w:rsidR="00960894" w:rsidRPr="0025100C">
        <w:t>фиксированной спутниковой службе (ФСС);</w:t>
      </w:r>
    </w:p>
    <w:p w:rsidR="009502CE" w:rsidRPr="0025100C" w:rsidRDefault="009502CE" w:rsidP="007075B5">
      <w:r w:rsidRPr="0025100C">
        <w:rPr>
          <w:i/>
          <w:iCs/>
        </w:rPr>
        <w:t>b)</w:t>
      </w:r>
      <w:r w:rsidRPr="0025100C">
        <w:tab/>
      </w:r>
      <w:r w:rsidR="00173F0A" w:rsidRPr="0025100C">
        <w:t xml:space="preserve">что Международная подвижная электросвязь (IMT), включая </w:t>
      </w:r>
      <w:proofErr w:type="spellStart"/>
      <w:r w:rsidR="00173F0A" w:rsidRPr="0025100C">
        <w:t>IMT</w:t>
      </w:r>
      <w:proofErr w:type="spellEnd"/>
      <w:r w:rsidR="00173F0A" w:rsidRPr="0025100C">
        <w:noBreakHyphen/>
        <w:t xml:space="preserve">2000 и </w:t>
      </w:r>
      <w:proofErr w:type="spellStart"/>
      <w:r w:rsidR="00173F0A" w:rsidRPr="0025100C">
        <w:t>IMT</w:t>
      </w:r>
      <w:r w:rsidR="00173F0A" w:rsidRPr="0025100C">
        <w:noBreakHyphen/>
        <w:t>Advanced</w:t>
      </w:r>
      <w:proofErr w:type="spellEnd"/>
      <w:r w:rsidR="00173F0A" w:rsidRPr="0025100C">
        <w:t>, отражает взгляды МСЭ на глобальный подвижный доступ;</w:t>
      </w:r>
    </w:p>
    <w:p w:rsidR="009502CE" w:rsidRPr="0025100C" w:rsidRDefault="009502CE" w:rsidP="007075B5">
      <w:r w:rsidRPr="0025100C">
        <w:rPr>
          <w:i/>
          <w:iCs/>
        </w:rPr>
        <w:lastRenderedPageBreak/>
        <w:t>c)</w:t>
      </w:r>
      <w:r w:rsidRPr="0025100C">
        <w:tab/>
      </w:r>
      <w:r w:rsidR="00173F0A" w:rsidRPr="0025100C">
        <w:t>что системы IMT предоставляют услуги электросвязи во всемирном масштабе, независимо от местоположения, сети или используемого терминала;</w:t>
      </w:r>
    </w:p>
    <w:p w:rsidR="009502CE" w:rsidRPr="0025100C" w:rsidRDefault="009502CE" w:rsidP="007075B5">
      <w:r w:rsidRPr="0025100C">
        <w:rPr>
          <w:i/>
          <w:iCs/>
        </w:rPr>
        <w:t>d)</w:t>
      </w:r>
      <w:r w:rsidRPr="0025100C">
        <w:tab/>
      </w:r>
      <w:r w:rsidR="00173F0A" w:rsidRPr="0025100C">
        <w:t>что технические характеристики IMT указаны в Рекомендациях МСЭ-R и МСЭ</w:t>
      </w:r>
      <w:r w:rsidR="00173F0A" w:rsidRPr="0025100C">
        <w:noBreakHyphen/>
        <w:t xml:space="preserve">Т, включая Рекомендации МСЭ-R М.1457 и МСЭ-R М.2012, в которых содержатся подробные технические требования к наземным </w:t>
      </w:r>
      <w:proofErr w:type="spellStart"/>
      <w:r w:rsidR="00173F0A" w:rsidRPr="0025100C">
        <w:t>радиоинтерфейсам</w:t>
      </w:r>
      <w:proofErr w:type="spellEnd"/>
      <w:r w:rsidR="00173F0A" w:rsidRPr="0025100C">
        <w:t xml:space="preserve"> </w:t>
      </w:r>
      <w:proofErr w:type="spellStart"/>
      <w:r w:rsidR="00173F0A" w:rsidRPr="0025100C">
        <w:t>IMT</w:t>
      </w:r>
      <w:proofErr w:type="spellEnd"/>
      <w:r w:rsidR="00173F0A" w:rsidRPr="0025100C">
        <w:t>;</w:t>
      </w:r>
    </w:p>
    <w:p w:rsidR="009502CE" w:rsidRPr="0025100C" w:rsidRDefault="009502CE" w:rsidP="00B07ADB">
      <w:r w:rsidRPr="0025100C">
        <w:rPr>
          <w:i/>
          <w:iCs/>
        </w:rPr>
        <w:t>e)</w:t>
      </w:r>
      <w:r w:rsidRPr="0025100C">
        <w:tab/>
      </w:r>
      <w:r w:rsidR="00B07ADB" w:rsidRPr="0025100C">
        <w:t xml:space="preserve">что предыдущие ВКР определили следующие полосы для использования </w:t>
      </w:r>
      <w:r w:rsidRPr="0025100C">
        <w:t>IMT: 450</w:t>
      </w:r>
      <w:r w:rsidR="00173F0A" w:rsidRPr="0025100C">
        <w:t xml:space="preserve">−470 МГц, 694−960 МГц, 1710−1885 МГц, 1885−2025 МГц, 2110−2200 МГц, 2300−2400 МГц, 2500−2690 МГц </w:t>
      </w:r>
      <w:r w:rsidR="00B07ADB" w:rsidRPr="0025100C">
        <w:t>и</w:t>
      </w:r>
      <w:r w:rsidR="00173F0A" w:rsidRPr="0025100C">
        <w:t xml:space="preserve"> 3400−3600 МГц</w:t>
      </w:r>
      <w:r w:rsidRPr="0025100C">
        <w:t>;</w:t>
      </w:r>
    </w:p>
    <w:p w:rsidR="009502CE" w:rsidRPr="0025100C" w:rsidRDefault="009502CE" w:rsidP="00B07ADB">
      <w:r w:rsidRPr="0025100C">
        <w:rPr>
          <w:i/>
          <w:iCs/>
        </w:rPr>
        <w:t>f)</w:t>
      </w:r>
      <w:r w:rsidRPr="0025100C">
        <w:tab/>
      </w:r>
      <w:r w:rsidR="00173F0A" w:rsidRPr="0025100C">
        <w:t>что желательны согласованные на всемирной основе полосы для IMT в целях обеспечения глобального роуминга и преимуществ за счет эффекта масштаба,</w:t>
      </w:r>
    </w:p>
    <w:p w:rsidR="009502CE" w:rsidRPr="0025100C" w:rsidRDefault="00B07ADB" w:rsidP="007075B5">
      <w:pPr>
        <w:pStyle w:val="Call"/>
      </w:pPr>
      <w:r w:rsidRPr="0025100C">
        <w:t>отмечая</w:t>
      </w:r>
      <w:bookmarkStart w:id="19" w:name="_GoBack"/>
      <w:r w:rsidRPr="00002344">
        <w:rPr>
          <w:i w:val="0"/>
          <w:iCs/>
        </w:rPr>
        <w:t>,</w:t>
      </w:r>
      <w:bookmarkEnd w:id="19"/>
    </w:p>
    <w:p w:rsidR="009502CE" w:rsidRPr="0025100C" w:rsidRDefault="009502CE" w:rsidP="00D451E8">
      <w:r w:rsidRPr="0025100C">
        <w:rPr>
          <w:i/>
          <w:iCs/>
        </w:rPr>
        <w:t>a)</w:t>
      </w:r>
      <w:r w:rsidRPr="0025100C">
        <w:tab/>
      </w:r>
      <w:r w:rsidR="00B07ADB" w:rsidRPr="0025100C">
        <w:t>что приемники земных станций ФСС получают из космического пространства сигналы при очень низких уровнях</w:t>
      </w:r>
      <w:r w:rsidRPr="0025100C">
        <w:t xml:space="preserve"> </w:t>
      </w:r>
      <w:r w:rsidR="00B07ADB" w:rsidRPr="0025100C">
        <w:t xml:space="preserve">плотности потока мощности, в частности сигналы спутниковой телеметрии, что </w:t>
      </w:r>
      <w:r w:rsidR="00D451E8" w:rsidRPr="0025100C">
        <w:t>д</w:t>
      </w:r>
      <w:r w:rsidR="00B07ADB" w:rsidRPr="0025100C">
        <w:t xml:space="preserve">елает их особо подверженным помехам, поступающим от станций, </w:t>
      </w:r>
      <w:r w:rsidR="00D451E8" w:rsidRPr="0025100C">
        <w:t>которые работают в тех же или соседних полосах частот</w:t>
      </w:r>
      <w:r w:rsidRPr="0025100C">
        <w:t>;</w:t>
      </w:r>
    </w:p>
    <w:p w:rsidR="009502CE" w:rsidRPr="0025100C" w:rsidRDefault="009502CE" w:rsidP="009F1EFB">
      <w:r w:rsidRPr="0025100C">
        <w:rPr>
          <w:i/>
          <w:iCs/>
        </w:rPr>
        <w:t>b)</w:t>
      </w:r>
      <w:r w:rsidRPr="0025100C">
        <w:tab/>
      </w:r>
      <w:r w:rsidR="00D451E8" w:rsidRPr="0025100C">
        <w:t xml:space="preserve">что при отсутствии соответствующих технических и </w:t>
      </w:r>
      <w:proofErr w:type="spellStart"/>
      <w:r w:rsidR="00D451E8" w:rsidRPr="0025100C">
        <w:t>регламентарных</w:t>
      </w:r>
      <w:proofErr w:type="spellEnd"/>
      <w:r w:rsidR="00D451E8" w:rsidRPr="0025100C">
        <w:t xml:space="preserve"> ограничений для работы</w:t>
      </w:r>
      <w:r w:rsidRPr="0025100C">
        <w:t xml:space="preserve"> IMT</w:t>
      </w:r>
      <w:r w:rsidR="00D451E8" w:rsidRPr="0025100C">
        <w:t xml:space="preserve"> приемные земные станции ФСС, работающие в полосе</w:t>
      </w:r>
      <w:r w:rsidR="00173F0A" w:rsidRPr="0025100C">
        <w:t xml:space="preserve"> 3600−4</w:t>
      </w:r>
      <w:r w:rsidR="007075B5" w:rsidRPr="0025100C">
        <w:t>200 МГц</w:t>
      </w:r>
      <w:r w:rsidR="00D451E8" w:rsidRPr="0025100C">
        <w:t xml:space="preserve">, могут испытывать вредные помехи из-за одиночных и/или суммарных помех от базовых станций </w:t>
      </w:r>
      <w:r w:rsidRPr="0025100C">
        <w:t xml:space="preserve">IMT </w:t>
      </w:r>
      <w:r w:rsidR="00D451E8" w:rsidRPr="0025100C">
        <w:t>и подвижных терминалов</w:t>
      </w:r>
      <w:r w:rsidRPr="0025100C">
        <w:t xml:space="preserve"> IMT</w:t>
      </w:r>
      <w:r w:rsidR="00D451E8" w:rsidRPr="0025100C">
        <w:t>, работающих в полосе частот</w:t>
      </w:r>
      <w:r w:rsidRPr="0025100C">
        <w:t xml:space="preserve"> </w:t>
      </w:r>
      <w:r w:rsidR="00173F0A" w:rsidRPr="0025100C">
        <w:t>3400−3</w:t>
      </w:r>
      <w:r w:rsidR="007075B5" w:rsidRPr="0025100C">
        <w:t>600 МГц</w:t>
      </w:r>
      <w:r w:rsidRPr="0025100C">
        <w:t>;</w:t>
      </w:r>
    </w:p>
    <w:p w:rsidR="009502CE" w:rsidRPr="0025100C" w:rsidRDefault="009502CE" w:rsidP="007075B5">
      <w:pPr>
        <w:rPr>
          <w:color w:val="000000"/>
        </w:rPr>
      </w:pPr>
      <w:r w:rsidRPr="0025100C">
        <w:rPr>
          <w:i/>
          <w:iCs/>
        </w:rPr>
        <w:t>c)</w:t>
      </w:r>
      <w:r w:rsidRPr="0025100C">
        <w:tab/>
      </w:r>
      <w:r w:rsidR="007075B5" w:rsidRPr="0025100C">
        <w:t xml:space="preserve">что, как ожидается, наземные </w:t>
      </w:r>
      <w:proofErr w:type="spellStart"/>
      <w:r w:rsidR="007075B5" w:rsidRPr="0025100C">
        <w:t>радиоинтерфейсы</w:t>
      </w:r>
      <w:proofErr w:type="spellEnd"/>
      <w:r w:rsidR="007075B5" w:rsidRPr="0025100C">
        <w:t xml:space="preserve"> </w:t>
      </w:r>
      <w:proofErr w:type="spellStart"/>
      <w:r w:rsidR="007075B5" w:rsidRPr="0025100C">
        <w:t>IMT</w:t>
      </w:r>
      <w:proofErr w:type="spellEnd"/>
      <w:r w:rsidR="007075B5" w:rsidRPr="0025100C">
        <w:t>, определенные в Рекомендациях МСЭ</w:t>
      </w:r>
      <w:r w:rsidR="007075B5" w:rsidRPr="0025100C">
        <w:noBreakHyphen/>
        <w:t>R М.1457 и МСЭ-R М.2012,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</w:t>
      </w:r>
      <w:r w:rsidRPr="0025100C">
        <w:rPr>
          <w:color w:val="000000"/>
        </w:rPr>
        <w:t>,</w:t>
      </w:r>
    </w:p>
    <w:p w:rsidR="009502CE" w:rsidRPr="0025100C" w:rsidRDefault="00AC7350" w:rsidP="007075B5">
      <w:pPr>
        <w:pStyle w:val="Call"/>
      </w:pPr>
      <w:r w:rsidRPr="0025100C">
        <w:t>предлагает</w:t>
      </w:r>
      <w:r w:rsidR="007075B5" w:rsidRPr="0025100C">
        <w:t xml:space="preserve"> МСЭ</w:t>
      </w:r>
      <w:r w:rsidR="009502CE" w:rsidRPr="0025100C">
        <w:noBreakHyphen/>
        <w:t>R</w:t>
      </w:r>
    </w:p>
    <w:p w:rsidR="009502CE" w:rsidRPr="0025100C" w:rsidRDefault="00002344" w:rsidP="000F0C6A">
      <w:r>
        <w:t>1</w:t>
      </w:r>
      <w:r w:rsidR="007075B5" w:rsidRPr="0025100C">
        <w:tab/>
      </w:r>
      <w:r w:rsidR="00AC7350" w:rsidRPr="0025100C">
        <w:t xml:space="preserve">представить руководящие указания и соответствующие меры, включая, среди прочего, защитные полосы, расстояния разноса и пределы мощности, для </w:t>
      </w:r>
      <w:r w:rsidR="000F0C6A" w:rsidRPr="0025100C">
        <w:t>внедрения</w:t>
      </w:r>
      <w:r w:rsidR="00AC7350" w:rsidRPr="0025100C">
        <w:t xml:space="preserve"> систем </w:t>
      </w:r>
      <w:r w:rsidR="007075B5" w:rsidRPr="0025100C">
        <w:t xml:space="preserve">IMT </w:t>
      </w:r>
      <w:r w:rsidR="00AC7350" w:rsidRPr="0025100C">
        <w:t>в полосе</w:t>
      </w:r>
      <w:r w:rsidR="007075B5" w:rsidRPr="0025100C">
        <w:t xml:space="preserve"> 3400−3600 МГц</w:t>
      </w:r>
      <w:r w:rsidR="00AC7350" w:rsidRPr="0025100C">
        <w:t>, с тем чтобы избегать вредных помех системам ФСС, работающим в полосе</w:t>
      </w:r>
      <w:r w:rsidR="007075B5" w:rsidRPr="0025100C">
        <w:t xml:space="preserve"> 3600−4200 МГц</w:t>
      </w:r>
      <w:r w:rsidR="009502CE" w:rsidRPr="0025100C">
        <w:t>;</w:t>
      </w:r>
    </w:p>
    <w:p w:rsidR="009502CE" w:rsidRPr="0025100C" w:rsidRDefault="00002344" w:rsidP="009F1EFB">
      <w:r>
        <w:t>2</w:t>
      </w:r>
      <w:r w:rsidR="007075B5" w:rsidRPr="0025100C">
        <w:tab/>
      </w:r>
      <w:r w:rsidR="00AC7350" w:rsidRPr="0025100C">
        <w:t>разработать согласованные планы размещения частот для полосы</w:t>
      </w:r>
      <w:r w:rsidR="009502CE" w:rsidRPr="0025100C">
        <w:t xml:space="preserve"> </w:t>
      </w:r>
      <w:r w:rsidR="00AC7350" w:rsidRPr="0025100C">
        <w:t>3400−3</w:t>
      </w:r>
      <w:r w:rsidR="009502CE" w:rsidRPr="0025100C">
        <w:t>600 </w:t>
      </w:r>
      <w:r w:rsidR="007075B5" w:rsidRPr="0025100C">
        <w:t>МГц</w:t>
      </w:r>
      <w:r w:rsidR="009502CE" w:rsidRPr="0025100C">
        <w:t xml:space="preserve"> </w:t>
      </w:r>
      <w:r w:rsidR="00AC7350" w:rsidRPr="0025100C">
        <w:t xml:space="preserve">для работы наземного сегмента </w:t>
      </w:r>
      <w:r w:rsidR="009502CE" w:rsidRPr="0025100C">
        <w:t xml:space="preserve">IMT, </w:t>
      </w:r>
      <w:r w:rsidR="00AC7350" w:rsidRPr="0025100C">
        <w:t>принимая во внимание результаты исследований совместного использования частот и совместимости</w:t>
      </w:r>
      <w:r w:rsidR="009502CE" w:rsidRPr="0025100C">
        <w:t>;</w:t>
      </w:r>
    </w:p>
    <w:p w:rsidR="009502CE" w:rsidRPr="0025100C" w:rsidRDefault="00002344" w:rsidP="00AC7350">
      <w:r>
        <w:t>3</w:t>
      </w:r>
      <w:r w:rsidR="007075B5" w:rsidRPr="0025100C">
        <w:tab/>
      </w:r>
      <w:r w:rsidR="00AC7350" w:rsidRPr="0025100C">
        <w:t>включить руководящие указания</w:t>
      </w:r>
      <w:r w:rsidR="009F1EFB" w:rsidRPr="0025100C">
        <w:t>,</w:t>
      </w:r>
      <w:r w:rsidR="00AC7350" w:rsidRPr="0025100C">
        <w:t xml:space="preserve"> а также планы размещения частот для сетей </w:t>
      </w:r>
      <w:r w:rsidR="009502CE" w:rsidRPr="0025100C">
        <w:t xml:space="preserve">IMT </w:t>
      </w:r>
      <w:r w:rsidR="00AC7350" w:rsidRPr="0025100C">
        <w:t>в Рекомендацию, Резолюции или Отчеты</w:t>
      </w:r>
      <w:r w:rsidR="007075B5" w:rsidRPr="0025100C">
        <w:t xml:space="preserve"> МСЭ</w:t>
      </w:r>
      <w:r w:rsidR="009502CE" w:rsidRPr="0025100C">
        <w:noBreakHyphen/>
        <w:t>R</w:t>
      </w:r>
      <w:r w:rsidR="00BC786F">
        <w:t>, в зависимости от случая.</w:t>
      </w:r>
    </w:p>
    <w:p w:rsidR="00960894" w:rsidRPr="00BC786F" w:rsidRDefault="00AC7350" w:rsidP="00BC786F">
      <w:pPr>
        <w:pStyle w:val="Reasons"/>
      </w:pPr>
      <w:proofErr w:type="gramStart"/>
      <w:r w:rsidRPr="00BC786F">
        <w:rPr>
          <w:b/>
          <w:bCs/>
        </w:rPr>
        <w:t>Основания</w:t>
      </w:r>
      <w:r w:rsidR="009502CE" w:rsidRPr="00BC786F">
        <w:t>:</w:t>
      </w:r>
      <w:r w:rsidR="007075B5" w:rsidRPr="00BC786F">
        <w:tab/>
      </w:r>
      <w:proofErr w:type="gramEnd"/>
      <w:r w:rsidRPr="00BC786F">
        <w:t>Предложить</w:t>
      </w:r>
      <w:r w:rsidR="007075B5" w:rsidRPr="00BC786F">
        <w:t xml:space="preserve"> МСЭ</w:t>
      </w:r>
      <w:r w:rsidR="009502CE" w:rsidRPr="00BC786F">
        <w:t xml:space="preserve">-R </w:t>
      </w:r>
      <w:r w:rsidRPr="00BC786F">
        <w:t>представить руководящие указания по внедрению</w:t>
      </w:r>
      <w:r w:rsidR="000F0C6A" w:rsidRPr="00BC786F">
        <w:t xml:space="preserve"> </w:t>
      </w:r>
      <w:r w:rsidR="007075B5" w:rsidRPr="00BC786F">
        <w:t xml:space="preserve">IMT </w:t>
      </w:r>
      <w:r w:rsidR="000F0C6A" w:rsidRPr="00BC786F">
        <w:t>в полосе</w:t>
      </w:r>
      <w:r w:rsidR="007075B5" w:rsidRPr="00BC786F">
        <w:t xml:space="preserve"> 3400−3600 МГц</w:t>
      </w:r>
      <w:r w:rsidR="009502CE" w:rsidRPr="00BC786F">
        <w:t xml:space="preserve"> </w:t>
      </w:r>
      <w:r w:rsidR="000F0C6A" w:rsidRPr="00BC786F">
        <w:t>в целях обеспечения сосуществования с системами ФСС, работающими в полосе</w:t>
      </w:r>
      <w:r w:rsidR="007075B5" w:rsidRPr="00BC786F">
        <w:t xml:space="preserve"> 3600−4200 МГц</w:t>
      </w:r>
      <w:r w:rsidR="009502CE" w:rsidRPr="00BC786F">
        <w:t>.</w:t>
      </w:r>
    </w:p>
    <w:p w:rsidR="00C8765B" w:rsidRPr="0025100C" w:rsidRDefault="00960894" w:rsidP="00960894">
      <w:pPr>
        <w:spacing w:before="720"/>
        <w:jc w:val="center"/>
      </w:pPr>
      <w:r w:rsidRPr="0025100C">
        <w:t>______________</w:t>
      </w:r>
    </w:p>
    <w:sectPr w:rsidR="00C8765B" w:rsidRPr="0025100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50" w:rsidRDefault="00AC7350">
      <w:r>
        <w:separator/>
      </w:r>
    </w:p>
  </w:endnote>
  <w:endnote w:type="continuationSeparator" w:id="0">
    <w:p w:rsidR="00AC7350" w:rsidRDefault="00AC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50" w:rsidRDefault="00AC73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C7350" w:rsidRDefault="00AC735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02344">
      <w:rPr>
        <w:noProof/>
        <w:lang w:val="fr-FR"/>
      </w:rPr>
      <w:t>P:\RUS\ITU-R\CONF-R\CMR15\000\070ADD01ADD02R.docx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2344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2344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50" w:rsidRDefault="00AC7350" w:rsidP="00DE2EBA">
    <w:pPr>
      <w:pStyle w:val="Footer"/>
    </w:pPr>
    <w:r>
      <w:fldChar w:fldCharType="begin"/>
    </w:r>
    <w:r w:rsidRPr="000158C5">
      <w:instrText xml:space="preserve"> FILENAME \p  \* MERGEFORMAT </w:instrText>
    </w:r>
    <w:r>
      <w:fldChar w:fldCharType="separate"/>
    </w:r>
    <w:r w:rsidR="00002344">
      <w:t>P:\RUS\ITU-R\CONF-R\CMR15\000\070ADD01ADD02R.docx</w:t>
    </w:r>
    <w:r>
      <w:fldChar w:fldCharType="end"/>
    </w:r>
    <w:r>
      <w:t xml:space="preserve"> (388625)</w:t>
    </w:r>
    <w:r w:rsidRPr="000158C5">
      <w:tab/>
    </w:r>
    <w:r>
      <w:fldChar w:fldCharType="begin"/>
    </w:r>
    <w:r>
      <w:instrText xml:space="preserve"> SAVEDATE \@ DD.MM.YY </w:instrText>
    </w:r>
    <w:r>
      <w:fldChar w:fldCharType="separate"/>
    </w:r>
    <w:r w:rsidR="00002344">
      <w:t>30.10.15</w:t>
    </w:r>
    <w:r>
      <w:fldChar w:fldCharType="end"/>
    </w:r>
    <w:r w:rsidRPr="000158C5">
      <w:tab/>
    </w:r>
    <w:r>
      <w:fldChar w:fldCharType="begin"/>
    </w:r>
    <w:r>
      <w:instrText xml:space="preserve"> PRINTDATE \@ DD.MM.YY </w:instrText>
    </w:r>
    <w:r>
      <w:fldChar w:fldCharType="separate"/>
    </w:r>
    <w:r w:rsidR="00002344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50" w:rsidRPr="000158C5" w:rsidRDefault="00AC7350" w:rsidP="00DE2EBA">
    <w:pPr>
      <w:pStyle w:val="Footer"/>
    </w:pPr>
    <w:r>
      <w:fldChar w:fldCharType="begin"/>
    </w:r>
    <w:r w:rsidRPr="000158C5">
      <w:instrText xml:space="preserve"> FILENAME \p  \* MERGEFORMAT </w:instrText>
    </w:r>
    <w:r>
      <w:fldChar w:fldCharType="separate"/>
    </w:r>
    <w:r w:rsidR="00002344">
      <w:t>P:\RUS\ITU-R\CONF-R\CMR15\000\070ADD01ADD02R.docx</w:t>
    </w:r>
    <w:r>
      <w:fldChar w:fldCharType="end"/>
    </w:r>
    <w:r>
      <w:t xml:space="preserve"> (388625)</w:t>
    </w:r>
    <w:r w:rsidRPr="000158C5">
      <w:tab/>
    </w:r>
    <w:r>
      <w:fldChar w:fldCharType="begin"/>
    </w:r>
    <w:r>
      <w:instrText xml:space="preserve"> SAVEDATE \@ DD.MM.YY </w:instrText>
    </w:r>
    <w:r>
      <w:fldChar w:fldCharType="separate"/>
    </w:r>
    <w:r w:rsidR="00002344">
      <w:t>30.10.15</w:t>
    </w:r>
    <w:r>
      <w:fldChar w:fldCharType="end"/>
    </w:r>
    <w:r w:rsidRPr="000158C5">
      <w:tab/>
    </w:r>
    <w:r>
      <w:fldChar w:fldCharType="begin"/>
    </w:r>
    <w:r>
      <w:instrText xml:space="preserve"> PRINTDATE \@ DD.MM.YY </w:instrText>
    </w:r>
    <w:r>
      <w:fldChar w:fldCharType="separate"/>
    </w:r>
    <w:r w:rsidR="00002344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50" w:rsidRDefault="00AC7350">
      <w:r>
        <w:rPr>
          <w:b/>
        </w:rPr>
        <w:t>_______________</w:t>
      </w:r>
    </w:p>
  </w:footnote>
  <w:footnote w:type="continuationSeparator" w:id="0">
    <w:p w:rsidR="00AC7350" w:rsidRDefault="00AC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50" w:rsidRPr="00434A7C" w:rsidRDefault="00AC735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2344">
      <w:rPr>
        <w:noProof/>
      </w:rPr>
      <w:t>4</w:t>
    </w:r>
    <w:r>
      <w:fldChar w:fldCharType="end"/>
    </w:r>
  </w:p>
  <w:p w:rsidR="00AC7350" w:rsidRDefault="00AC735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/70(Add.1</w:t>
    </w:r>
    <w:proofErr w:type="gramStart"/>
    <w:r>
      <w:t>)(</w:t>
    </w:r>
    <w:proofErr w:type="gramEnd"/>
    <w:r>
      <w:t>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3C4D1708"/>
    <w:multiLevelType w:val="hybridMultilevel"/>
    <w:tmpl w:val="AC304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069C6"/>
    <w:multiLevelType w:val="hybridMultilevel"/>
    <w:tmpl w:val="3C2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Gimenez, Christine">
    <w15:presenceInfo w15:providerId="AD" w15:userId="S-1-5-21-8740799-900759487-1415713722-2374"/>
  </w15:person>
  <w15:person w15:author="Komissarova, Olga">
    <w15:presenceInfo w15:providerId="AD" w15:userId="S-1-5-21-8740799-900759487-1415713722-15268"/>
  </w15:person>
  <w15:person w15:author="Grechukhina, Irina">
    <w15:presenceInfo w15:providerId="AD" w15:userId="S-1-5-21-8740799-900759487-1415713722-52198"/>
  </w15:person>
  <w15:person w15:author="Khrisanfova, Tatani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344"/>
    <w:rsid w:val="000158C5"/>
    <w:rsid w:val="000260F1"/>
    <w:rsid w:val="0003535B"/>
    <w:rsid w:val="000A0EF3"/>
    <w:rsid w:val="000F0C6A"/>
    <w:rsid w:val="000F33D8"/>
    <w:rsid w:val="000F39B4"/>
    <w:rsid w:val="0010220D"/>
    <w:rsid w:val="00113D0B"/>
    <w:rsid w:val="001226EC"/>
    <w:rsid w:val="00123B68"/>
    <w:rsid w:val="00124C09"/>
    <w:rsid w:val="00126F2E"/>
    <w:rsid w:val="001521AE"/>
    <w:rsid w:val="00173F0A"/>
    <w:rsid w:val="001A5585"/>
    <w:rsid w:val="001E5FB4"/>
    <w:rsid w:val="001F495F"/>
    <w:rsid w:val="00202CA0"/>
    <w:rsid w:val="00230582"/>
    <w:rsid w:val="002449AA"/>
    <w:rsid w:val="00245A1F"/>
    <w:rsid w:val="0025100C"/>
    <w:rsid w:val="00290C74"/>
    <w:rsid w:val="002A2D3F"/>
    <w:rsid w:val="00300F84"/>
    <w:rsid w:val="00344EB8"/>
    <w:rsid w:val="00346BEC"/>
    <w:rsid w:val="003B44C6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1C30"/>
    <w:rsid w:val="005755E2"/>
    <w:rsid w:val="0059572E"/>
    <w:rsid w:val="00597005"/>
    <w:rsid w:val="005A295E"/>
    <w:rsid w:val="005D1879"/>
    <w:rsid w:val="005D79A3"/>
    <w:rsid w:val="005E25E7"/>
    <w:rsid w:val="005E61DD"/>
    <w:rsid w:val="006023DF"/>
    <w:rsid w:val="006115BE"/>
    <w:rsid w:val="00614771"/>
    <w:rsid w:val="00620DD7"/>
    <w:rsid w:val="00626533"/>
    <w:rsid w:val="00657DE0"/>
    <w:rsid w:val="00692C06"/>
    <w:rsid w:val="006A6E9B"/>
    <w:rsid w:val="007075B5"/>
    <w:rsid w:val="00736A1D"/>
    <w:rsid w:val="00763F4F"/>
    <w:rsid w:val="00775720"/>
    <w:rsid w:val="007917AE"/>
    <w:rsid w:val="007A08B5"/>
    <w:rsid w:val="00811633"/>
    <w:rsid w:val="00812452"/>
    <w:rsid w:val="00815749"/>
    <w:rsid w:val="00872FC8"/>
    <w:rsid w:val="00882E43"/>
    <w:rsid w:val="008B43F2"/>
    <w:rsid w:val="008C3257"/>
    <w:rsid w:val="009119CC"/>
    <w:rsid w:val="00917C0A"/>
    <w:rsid w:val="00941A02"/>
    <w:rsid w:val="009502CE"/>
    <w:rsid w:val="00960894"/>
    <w:rsid w:val="009B5CC2"/>
    <w:rsid w:val="009E5FC8"/>
    <w:rsid w:val="009F1EFB"/>
    <w:rsid w:val="00A117A3"/>
    <w:rsid w:val="00A12D73"/>
    <w:rsid w:val="00A138D0"/>
    <w:rsid w:val="00A139D8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C7350"/>
    <w:rsid w:val="00B07ADB"/>
    <w:rsid w:val="00B23061"/>
    <w:rsid w:val="00B468A6"/>
    <w:rsid w:val="00B46AAF"/>
    <w:rsid w:val="00B75113"/>
    <w:rsid w:val="00BA13A4"/>
    <w:rsid w:val="00BA1AA1"/>
    <w:rsid w:val="00BA35DC"/>
    <w:rsid w:val="00BC5313"/>
    <w:rsid w:val="00BC786F"/>
    <w:rsid w:val="00C20466"/>
    <w:rsid w:val="00C266F4"/>
    <w:rsid w:val="00C324A8"/>
    <w:rsid w:val="00C56E7A"/>
    <w:rsid w:val="00C779CE"/>
    <w:rsid w:val="00C8765B"/>
    <w:rsid w:val="00CC47C6"/>
    <w:rsid w:val="00CC4DE6"/>
    <w:rsid w:val="00CE5E47"/>
    <w:rsid w:val="00CF020F"/>
    <w:rsid w:val="00D329F0"/>
    <w:rsid w:val="00D451E8"/>
    <w:rsid w:val="00D53715"/>
    <w:rsid w:val="00DD402E"/>
    <w:rsid w:val="00DE2EBA"/>
    <w:rsid w:val="00E2253F"/>
    <w:rsid w:val="00E43E99"/>
    <w:rsid w:val="00E5155F"/>
    <w:rsid w:val="00E65919"/>
    <w:rsid w:val="00E9760D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A780A4-6FA7-48E8-86ED-0670DCE5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2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R15-WRC15-C-0070!A1-A2!MSW-R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A8BA6-3177-435A-ACD1-EC4BDD8EDDDB}">
  <ds:schemaRefs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1242</Words>
  <Characters>8285</Characters>
  <Application>Microsoft Office Word</Application>
  <DocSecurity>0</DocSecurity>
  <Lines>216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R15-WRC15-C-0070!A1-A2!MSW-R</vt:lpstr>
    </vt:vector>
  </TitlesOfParts>
  <Manager>General Secretariat - Pool</Manager>
  <Company>International Telecommunication Union (ITU)</Company>
  <LinksUpToDate>false</LinksUpToDate>
  <CharactersWithSpaces>9449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R15-WRC15-C-0070!A1-A2!MSW-R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7</cp:revision>
  <cp:lastPrinted>2015-10-30T19:30:00Z</cp:lastPrinted>
  <dcterms:created xsi:type="dcterms:W3CDTF">2015-10-30T08:14:00Z</dcterms:created>
  <dcterms:modified xsi:type="dcterms:W3CDTF">2015-10-30T19:30:00Z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