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F934BC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bCs/>
                <w:sz w:val="19"/>
                <w:szCs w:val="30"/>
                <w:rtl/>
              </w:rPr>
            </w:pPr>
            <w:r w:rsidRPr="00F934BC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F934BC" w:rsidRDefault="003E1608" w:rsidP="00F838A4">
            <w:pPr>
              <w:pStyle w:val="Adress"/>
              <w:framePr w:hSpace="0" w:wrap="auto" w:xAlign="left" w:yAlign="inline"/>
            </w:pPr>
            <w:r w:rsidRPr="00F934BC">
              <w:rPr>
                <w:rtl/>
              </w:rPr>
              <w:t xml:space="preserve">الإضافة </w:t>
            </w:r>
            <w:r w:rsidRPr="00F934BC">
              <w:t>9</w:t>
            </w:r>
            <w:r w:rsidRPr="00F934BC">
              <w:br/>
            </w:r>
            <w:r w:rsidRPr="00F934BC">
              <w:rPr>
                <w:rtl/>
              </w:rPr>
              <w:t xml:space="preserve">للوثيقة </w:t>
            </w:r>
            <w:r w:rsidR="00F838A4" w:rsidRPr="00F934BC">
              <w:t>68-A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F934BC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F934BC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F934BC">
              <w:rPr>
                <w:rFonts w:eastAsia="SimSun"/>
              </w:rPr>
              <w:t>16</w:t>
            </w:r>
            <w:r w:rsidRPr="00F934BC">
              <w:rPr>
                <w:rFonts w:eastAsia="SimSun"/>
                <w:rtl/>
              </w:rPr>
              <w:t xml:space="preserve"> أكتوبر </w:t>
            </w:r>
            <w:r w:rsidRPr="00F934BC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F934BC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F934BC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F934BC">
              <w:rPr>
                <w:rFonts w:eastAsia="SimSun"/>
                <w:rtl/>
              </w:rPr>
              <w:t>الأصل: بالفرنسية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كوت ديفوار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F934BC" w:rsidP="00D44350">
            <w:pPr>
              <w:pStyle w:val="Title1"/>
              <w:spacing w:before="240"/>
              <w:rPr>
                <w:rtl/>
              </w:rPr>
            </w:pPr>
            <w:r>
              <w:rPr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F934BC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F934BC">
              <w:t>(C)7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4C767E" w:rsidP="00F62FAE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ab/>
        <w:t xml:space="preserve">النظر في أي تغييرات قد يلزم إجراؤها، وفي خيارات أخرى، تطبيقاً للقرار </w:t>
      </w:r>
      <w:r w:rsidRPr="00431196">
        <w:rPr>
          <w:rFonts w:eastAsia="SimSun"/>
        </w:rPr>
        <w:t>86</w:t>
      </w:r>
      <w:r w:rsidRPr="00431196">
        <w:rPr>
          <w:rFonts w:eastAsia="SimSun" w:hint="cs"/>
          <w:rtl/>
        </w:rPr>
        <w:t xml:space="preserve"> (المراج</w:t>
      </w:r>
      <w:r w:rsidR="008D7B27">
        <w:rPr>
          <w:rFonts w:eastAsia="SimSun" w:hint="cs"/>
          <w:rtl/>
        </w:rPr>
        <w:t>َ</w:t>
      </w:r>
      <w:r w:rsidRPr="00431196">
        <w:rPr>
          <w:rFonts w:eastAsia="SimSun" w:hint="cs"/>
          <w:rtl/>
        </w:rPr>
        <w:t xml:space="preserve">ع في مراكش، </w:t>
      </w:r>
      <w:r w:rsidRPr="00431196">
        <w:rPr>
          <w:rFonts w:eastAsia="SimSun"/>
        </w:rPr>
        <w:t>2002</w:t>
      </w:r>
      <w:r w:rsidR="00F62FAE">
        <w:rPr>
          <w:rFonts w:eastAsia="SimSun" w:hint="cs"/>
          <w:rtl/>
        </w:rPr>
        <w:t>)</w:t>
      </w:r>
      <w:r w:rsidRPr="00431196">
        <w:rPr>
          <w:rFonts w:eastAsia="SimSun" w:hint="cs"/>
          <w:rtl/>
        </w:rPr>
        <w:t xml:space="preserve"> لمؤتمر المندوبين المفوضين، بشأن "إجراءات النشر المسبق والتنسيق </w:t>
      </w:r>
      <w:r w:rsidRPr="00431196">
        <w:rPr>
          <w:rFonts w:eastAsia="SimSun" w:hint="cs"/>
          <w:spacing w:val="6"/>
          <w:rtl/>
          <w:lang w:bidi="ar-SY"/>
        </w:rPr>
        <w:t>والتبليغ</w:t>
      </w:r>
      <w:r w:rsidRPr="00431196">
        <w:rPr>
          <w:rFonts w:eastAsia="SimSun" w:hint="cs"/>
          <w:rtl/>
        </w:rPr>
        <w:t xml:space="preserve"> والتسجيل لتخصيصات التردد للشبكات الساتلية"، وفقاً للقرار</w:t>
      </w:r>
      <w:r w:rsidR="00247463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86 (Rev.WRC</w:t>
      </w:r>
      <w:r w:rsidRPr="00431196">
        <w:rPr>
          <w:rFonts w:eastAsia="SimSun"/>
          <w:b/>
          <w:bCs/>
        </w:rPr>
        <w:noBreakHyphen/>
        <w:t>07)</w:t>
      </w:r>
      <w:r w:rsidRPr="00431196">
        <w:rPr>
          <w:rFonts w:eastAsia="SimSun" w:hint="cs"/>
          <w:rtl/>
        </w:rPr>
        <w:t xml:space="preserve"> تيسيراً للاستخدام الرشيد والفع</w:t>
      </w:r>
      <w:r w:rsidR="008D7B27">
        <w:rPr>
          <w:rFonts w:eastAsia="SimSun" w:hint="cs"/>
          <w:rtl/>
        </w:rPr>
        <w:t>ّ</w:t>
      </w:r>
      <w:r w:rsidRPr="00431196">
        <w:rPr>
          <w:rFonts w:eastAsia="SimSun" w:hint="cs"/>
          <w:rtl/>
        </w:rPr>
        <w:t>ال والاقتصادي للترددات الراديوية وأي مدارات مرتبطة بها، بما فيها مدار السواتل المستقرة بالنسبة إلى الأرض؛</w:t>
      </w:r>
    </w:p>
    <w:p w:rsidR="00286158" w:rsidRPr="00431196" w:rsidRDefault="004C767E" w:rsidP="00247463">
      <w:pPr>
        <w:rPr>
          <w:rFonts w:eastAsia="SimSun"/>
        </w:rPr>
      </w:pPr>
      <w:r w:rsidRPr="00431196">
        <w:rPr>
          <w:rFonts w:eastAsia="SimSun"/>
        </w:rPr>
        <w:t>(C)7</w:t>
      </w:r>
      <w:r w:rsidRPr="00431196">
        <w:rPr>
          <w:rFonts w:eastAsia="SimSun"/>
        </w:rPr>
        <w:tab/>
      </w:r>
      <w:r w:rsidRPr="00431196">
        <w:rPr>
          <w:rFonts w:eastAsia="SimSun" w:hint="cs"/>
          <w:rtl/>
          <w:lang w:bidi="ar-SY"/>
        </w:rPr>
        <w:t xml:space="preserve">المسألة </w:t>
      </w:r>
      <w:r w:rsidRPr="00431196">
        <w:rPr>
          <w:rFonts w:eastAsia="SimSun"/>
          <w:lang w:bidi="ar-SY"/>
        </w:rPr>
        <w:t>C</w:t>
      </w:r>
      <w:r w:rsidRPr="00431196">
        <w:rPr>
          <w:rFonts w:eastAsia="SimSun" w:hint="cs"/>
          <w:rtl/>
          <w:lang w:bidi="ar-SY"/>
        </w:rPr>
        <w:t xml:space="preserve"> - الاستعراض أو الإلغاء المحتمل لآلية النشر المسبق للشبكات الساتلية الخاضعة للتنسيق بموجب القسم</w:t>
      </w:r>
      <w:r>
        <w:rPr>
          <w:rFonts w:eastAsia="SimSun" w:hint="eastAsia"/>
          <w:rtl/>
          <w:lang w:bidi="ar-SY"/>
        </w:rPr>
        <w:t> </w:t>
      </w:r>
      <w:r w:rsidRPr="00431196">
        <w:rPr>
          <w:rFonts w:eastAsia="SimSun"/>
          <w:lang w:bidi="ar-SY"/>
        </w:rPr>
        <w:t>II</w:t>
      </w:r>
      <w:r w:rsidRPr="00431196">
        <w:rPr>
          <w:rFonts w:eastAsia="SimSun" w:hint="cs"/>
          <w:rtl/>
        </w:rPr>
        <w:t xml:space="preserve"> من المادة</w:t>
      </w:r>
      <w:r w:rsidR="00247463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9</w:t>
      </w:r>
      <w:r w:rsidRPr="00431196">
        <w:rPr>
          <w:rFonts w:eastAsia="SimSun" w:hint="cs"/>
          <w:rtl/>
        </w:rPr>
        <w:t xml:space="preserve"> من لوائح الراديو</w:t>
      </w:r>
    </w:p>
    <w:p w:rsidR="00F16602" w:rsidRDefault="00B93B2E" w:rsidP="00B93B2E">
      <w:pPr>
        <w:pStyle w:val="Headingb"/>
        <w:rPr>
          <w:rtl/>
        </w:rPr>
      </w:pPr>
      <w:r>
        <w:rPr>
          <w:rFonts w:hint="cs"/>
          <w:rtl/>
        </w:rPr>
        <w:t>معلومات أساسية</w:t>
      </w:r>
    </w:p>
    <w:p w:rsidR="00D5024C" w:rsidRDefault="00FD545C" w:rsidP="00247463">
      <w:pPr>
        <w:rPr>
          <w:rtl/>
          <w:lang w:bidi="ar"/>
        </w:rPr>
      </w:pPr>
      <w:r>
        <w:rPr>
          <w:rFonts w:hint="cs"/>
          <w:rtl/>
          <w:lang w:bidi="ar-EG"/>
        </w:rPr>
        <w:t>لا بد</w:t>
      </w:r>
      <w:r>
        <w:rPr>
          <w:rFonts w:hint="cs"/>
          <w:rtl/>
          <w:lang w:bidi="ar"/>
        </w:rPr>
        <w:t xml:space="preserve"> من فترة </w:t>
      </w:r>
      <w:r w:rsidR="00E76F67">
        <w:rPr>
          <w:rFonts w:hint="cs"/>
          <w:rtl/>
          <w:lang w:bidi="ar"/>
        </w:rPr>
        <w:t>مدتها</w:t>
      </w:r>
      <w:r>
        <w:rPr>
          <w:rFonts w:hint="cs"/>
          <w:rtl/>
          <w:lang w:bidi="ar"/>
        </w:rPr>
        <w:t xml:space="preserve"> ستة أشهر</w:t>
      </w:r>
      <w:r w:rsidR="00D5024C" w:rsidRPr="00457A52">
        <w:rPr>
          <w:rFonts w:hint="cs"/>
          <w:rtl/>
          <w:lang w:bidi="ar"/>
        </w:rPr>
        <w:t xml:space="preserve"> بين استلام </w:t>
      </w:r>
      <w:r w:rsidR="00E76F67">
        <w:rPr>
          <w:rFonts w:hint="cs"/>
          <w:rtl/>
          <w:lang w:bidi="ar"/>
        </w:rPr>
        <w:t>م</w:t>
      </w:r>
      <w:r w:rsidR="00D5024C" w:rsidRPr="00457A52">
        <w:rPr>
          <w:rFonts w:hint="cs"/>
          <w:rtl/>
          <w:lang w:bidi="ar"/>
        </w:rPr>
        <w:t>علومات النشر المسبق</w:t>
      </w:r>
      <w:r w:rsidR="00D5024C" w:rsidRPr="00457A52">
        <w:rPr>
          <w:rFonts w:hint="eastAsia"/>
          <w:rtl/>
          <w:lang w:bidi="ar"/>
        </w:rPr>
        <w:t> </w:t>
      </w:r>
      <w:r w:rsidR="00D5024C" w:rsidRPr="00457A52">
        <w:rPr>
          <w:lang w:bidi="ar"/>
        </w:rPr>
        <w:t>(</w:t>
      </w:r>
      <w:r w:rsidR="00D5024C" w:rsidRPr="00457A52">
        <w:rPr>
          <w:rFonts w:hint="cs"/>
          <w:lang w:bidi="ar-SY"/>
        </w:rPr>
        <w:t>API</w:t>
      </w:r>
      <w:r w:rsidR="00D5024C" w:rsidRPr="00457A52">
        <w:rPr>
          <w:lang w:bidi="ar"/>
        </w:rPr>
        <w:t>)</w:t>
      </w:r>
      <w:r w:rsidR="00E76F67">
        <w:rPr>
          <w:rFonts w:hint="cs"/>
          <w:rtl/>
          <w:lang w:bidi="ar"/>
        </w:rPr>
        <w:t xml:space="preserve"> وطلب للتنسيق لكي</w:t>
      </w:r>
      <w:r w:rsidR="00D5024C" w:rsidRPr="00457A52">
        <w:rPr>
          <w:rFonts w:hint="cs"/>
          <w:rtl/>
          <w:lang w:bidi="ar"/>
        </w:rPr>
        <w:t xml:space="preserve"> يُفسَح الوقت للإدارات كي تنظر في بيانات </w:t>
      </w:r>
      <w:r w:rsidR="00E76F67">
        <w:rPr>
          <w:rFonts w:hint="cs"/>
          <w:rtl/>
          <w:lang w:bidi="ar"/>
        </w:rPr>
        <w:t>معلومات النشر المسبق و</w:t>
      </w:r>
      <w:r w:rsidR="00D5024C" w:rsidRPr="00457A52">
        <w:rPr>
          <w:rFonts w:hint="cs"/>
          <w:rtl/>
          <w:lang w:bidi="ar"/>
        </w:rPr>
        <w:t>التعلي</w:t>
      </w:r>
      <w:r w:rsidR="00E76F67">
        <w:rPr>
          <w:rFonts w:hint="cs"/>
          <w:rtl/>
          <w:lang w:bidi="ar"/>
        </w:rPr>
        <w:t xml:space="preserve">ق عليها، وللإدارة المبلغة </w:t>
      </w:r>
      <w:r w:rsidR="00D5024C" w:rsidRPr="00457A52">
        <w:rPr>
          <w:rFonts w:hint="cs"/>
          <w:rtl/>
          <w:lang w:bidi="ar"/>
        </w:rPr>
        <w:t>كي تأخذ في الاعتبار تعليقات الإدارات الأخرى قبل تقدي</w:t>
      </w:r>
      <w:r w:rsidR="00E76F67">
        <w:rPr>
          <w:rFonts w:hint="cs"/>
          <w:rtl/>
          <w:lang w:bidi="ar"/>
        </w:rPr>
        <w:t>م طلب التنسيق المرتبط بها. و</w:t>
      </w:r>
      <w:r w:rsidR="00D5024C" w:rsidRPr="00457A52">
        <w:rPr>
          <w:rFonts w:hint="cs"/>
          <w:rtl/>
          <w:lang w:bidi="ar"/>
        </w:rPr>
        <w:t>نتيجة للتغييرات التي أحدثها المؤتمر العالمي للاتصالات الراديوية لعام</w:t>
      </w:r>
      <w:r w:rsidR="00D63A9E">
        <w:rPr>
          <w:rFonts w:hint="eastAsia"/>
          <w:rtl/>
          <w:lang w:bidi="ar"/>
        </w:rPr>
        <w:t> </w:t>
      </w:r>
      <w:r w:rsidR="00D5024C" w:rsidRPr="00457A52">
        <w:rPr>
          <w:lang w:bidi="ar"/>
        </w:rPr>
        <w:t>1995</w:t>
      </w:r>
      <w:r w:rsidR="00D5024C" w:rsidRPr="00457A52">
        <w:rPr>
          <w:rFonts w:hint="cs"/>
          <w:rtl/>
          <w:lang w:bidi="ar"/>
        </w:rPr>
        <w:t xml:space="preserve"> في لوائح الراديو</w:t>
      </w:r>
      <w:r w:rsidR="00247463">
        <w:rPr>
          <w:rFonts w:hint="eastAsia"/>
          <w:rtl/>
          <w:lang w:bidi="ar"/>
        </w:rPr>
        <w:t> </w:t>
      </w:r>
      <w:r w:rsidR="00D5024C" w:rsidRPr="00457A52">
        <w:rPr>
          <w:lang w:bidi="ar"/>
        </w:rPr>
        <w:t>(RR)</w:t>
      </w:r>
      <w:r w:rsidR="00D5024C" w:rsidRPr="00457A52">
        <w:rPr>
          <w:rFonts w:hint="cs"/>
          <w:rtl/>
          <w:lang w:bidi="ar"/>
        </w:rPr>
        <w:t>، فإن</w:t>
      </w:r>
      <w:r w:rsidR="00D63A9E">
        <w:rPr>
          <w:rFonts w:hint="eastAsia"/>
          <w:lang w:bidi="ar"/>
        </w:rPr>
        <w:t> </w:t>
      </w:r>
      <w:r w:rsidR="00D5024C" w:rsidRPr="00457A52">
        <w:rPr>
          <w:rFonts w:hint="cs"/>
          <w:rtl/>
          <w:lang w:bidi="ar"/>
        </w:rPr>
        <w:t>معلومات النشر المسبق بشأن الشبكات الساتلية الخاضعة للتنسيق بموجب القسم</w:t>
      </w:r>
      <w:r w:rsidR="00D5024C" w:rsidRPr="00457A52">
        <w:rPr>
          <w:rFonts w:hint="eastAsia"/>
          <w:rtl/>
          <w:lang w:bidi="ar"/>
        </w:rPr>
        <w:t> </w:t>
      </w:r>
      <w:r w:rsidR="00D5024C" w:rsidRPr="00457A52">
        <w:rPr>
          <w:lang w:bidi="ar-SY"/>
        </w:rPr>
        <w:t>II</w:t>
      </w:r>
      <w:r w:rsidR="00D5024C" w:rsidRPr="00457A52">
        <w:rPr>
          <w:rtl/>
        </w:rPr>
        <w:t xml:space="preserve"> من المادة</w:t>
      </w:r>
      <w:r w:rsidR="00D5024C" w:rsidRPr="00457A52">
        <w:rPr>
          <w:rFonts w:hint="cs"/>
          <w:rtl/>
        </w:rPr>
        <w:t> </w:t>
      </w:r>
      <w:r w:rsidR="00D5024C" w:rsidRPr="00D63A9E">
        <w:t>9</w:t>
      </w:r>
      <w:r w:rsidR="00D5024C" w:rsidRPr="00457A52">
        <w:rPr>
          <w:rFonts w:hint="cs"/>
          <w:rtl/>
        </w:rPr>
        <w:t xml:space="preserve"> </w:t>
      </w:r>
      <w:r w:rsidR="00D5024C" w:rsidRPr="00457A52">
        <w:rPr>
          <w:rtl/>
        </w:rPr>
        <w:t>من لوائح الراديو</w:t>
      </w:r>
      <w:r w:rsidR="00E76F67">
        <w:rPr>
          <w:rFonts w:hint="cs"/>
          <w:rtl/>
          <w:lang w:bidi="ar"/>
        </w:rPr>
        <w:t xml:space="preserve"> لا</w:t>
      </w:r>
      <w:r w:rsidR="00D63A9E">
        <w:rPr>
          <w:rFonts w:hint="eastAsia"/>
          <w:lang w:bidi="ar"/>
        </w:rPr>
        <w:t> </w:t>
      </w:r>
      <w:r w:rsidR="00D5024C" w:rsidRPr="00457A52">
        <w:rPr>
          <w:rFonts w:hint="cs"/>
          <w:rtl/>
          <w:lang w:bidi="ar"/>
        </w:rPr>
        <w:t>تحوي الآن إل</w:t>
      </w:r>
      <w:r w:rsidR="00E76F67">
        <w:rPr>
          <w:rFonts w:hint="cs"/>
          <w:rtl/>
          <w:lang w:bidi="ar"/>
        </w:rPr>
        <w:t>ا</w:t>
      </w:r>
      <w:r w:rsidR="00D63A9E">
        <w:rPr>
          <w:rFonts w:hint="eastAsia"/>
          <w:lang w:bidi="ar"/>
        </w:rPr>
        <w:t> </w:t>
      </w:r>
      <w:r w:rsidR="00E76F67">
        <w:rPr>
          <w:rFonts w:hint="cs"/>
          <w:rtl/>
          <w:lang w:bidi="ar"/>
        </w:rPr>
        <w:t>النزر اليسير من المعلومات (</w:t>
      </w:r>
      <w:r w:rsidR="00D5024C" w:rsidRPr="00457A52">
        <w:rPr>
          <w:rFonts w:hint="cs"/>
          <w:rtl/>
          <w:lang w:bidi="ar"/>
        </w:rPr>
        <w:t>الموقع المداري والنطاقات الترددية</w:t>
      </w:r>
      <w:r w:rsidR="00E76F67">
        <w:rPr>
          <w:rFonts w:hint="cs"/>
          <w:rtl/>
          <w:lang w:bidi="ar"/>
        </w:rPr>
        <w:t>).</w:t>
      </w:r>
    </w:p>
    <w:p w:rsidR="00E76F67" w:rsidRPr="00DA3EB1" w:rsidRDefault="00E76F67" w:rsidP="00D259BE">
      <w:pPr>
        <w:rPr>
          <w:rtl/>
          <w:lang w:bidi="ar-EG"/>
        </w:rPr>
      </w:pPr>
      <w:r>
        <w:rPr>
          <w:rFonts w:hint="cs"/>
          <w:rtl/>
          <w:lang w:bidi="ar"/>
        </w:rPr>
        <w:t>وقد فقدت معلومات النشر المسبق الكثير من محتواها منذ انعقاد المؤتمر ا</w:t>
      </w:r>
      <w:r w:rsidR="00D63A9E">
        <w:rPr>
          <w:rFonts w:hint="cs"/>
          <w:rtl/>
          <w:lang w:bidi="ar"/>
        </w:rPr>
        <w:t>لعالمي للاتصالات الراديوية لعام</w:t>
      </w:r>
      <w:r w:rsidR="00D63A9E">
        <w:rPr>
          <w:rFonts w:hint="eastAsia"/>
          <w:rtl/>
          <w:lang w:bidi="ar-EG"/>
        </w:rPr>
        <w:t> </w:t>
      </w:r>
      <w:r w:rsidR="00D63A9E">
        <w:rPr>
          <w:lang w:bidi="ar-EG"/>
        </w:rPr>
        <w:t>1995</w:t>
      </w:r>
      <w:r>
        <w:rPr>
          <w:rFonts w:hint="cs"/>
          <w:rtl/>
          <w:lang w:bidi="ar"/>
        </w:rPr>
        <w:t>، مما يجعل من</w:t>
      </w:r>
      <w:r w:rsidR="00D63A9E">
        <w:rPr>
          <w:rFonts w:hint="eastAsia"/>
          <w:lang w:bidi="ar"/>
        </w:rPr>
        <w:t> </w:t>
      </w:r>
      <w:r>
        <w:rPr>
          <w:rFonts w:hint="cs"/>
          <w:rtl/>
          <w:lang w:bidi="ar"/>
        </w:rPr>
        <w:t xml:space="preserve">الصعب على الإدارات الأخرى إبداء تعليقات. ويُقترح إلغاء </w:t>
      </w:r>
      <w:r w:rsidR="00DA3EB1">
        <w:rPr>
          <w:rFonts w:hint="cs"/>
          <w:rtl/>
          <w:lang w:bidi="ar"/>
        </w:rPr>
        <w:t>الرقم</w:t>
      </w:r>
      <w:r w:rsidR="00DA3EB1">
        <w:rPr>
          <w:lang w:bidi="ar"/>
        </w:rPr>
        <w:t>5B.9</w:t>
      </w:r>
      <w:r w:rsidR="00247463">
        <w:rPr>
          <w:rFonts w:hint="cs"/>
          <w:rtl/>
          <w:lang w:bidi="ar"/>
        </w:rPr>
        <w:t> </w:t>
      </w:r>
      <w:r w:rsidR="00DA3EB1">
        <w:rPr>
          <w:rFonts w:hint="cs"/>
          <w:rtl/>
          <w:lang w:bidi="ar-EG"/>
        </w:rPr>
        <w:t>أو</w:t>
      </w:r>
      <w:r w:rsidR="00D259BE">
        <w:rPr>
          <w:rFonts w:hint="eastAsia"/>
          <w:rtl/>
          <w:lang w:bidi="ar-EG"/>
        </w:rPr>
        <w:t> </w:t>
      </w:r>
      <w:r w:rsidR="00DA3EB1">
        <w:rPr>
          <w:rFonts w:hint="cs"/>
          <w:rtl/>
          <w:lang w:bidi="ar-EG"/>
        </w:rPr>
        <w:t>إلغائه.</w:t>
      </w:r>
    </w:p>
    <w:p w:rsidR="00B93B2E" w:rsidRDefault="00B93B2E" w:rsidP="00B93B2E">
      <w:pPr>
        <w:pStyle w:val="Headingb"/>
      </w:pPr>
      <w:r>
        <w:rPr>
          <w:rFonts w:hint="cs"/>
          <w:rtl/>
        </w:rPr>
        <w:lastRenderedPageBreak/>
        <w:t>المقترح</w:t>
      </w:r>
    </w:p>
    <w:p w:rsidR="00FA1231" w:rsidRDefault="004C767E">
      <w:pPr>
        <w:pStyle w:val="Proposal"/>
      </w:pPr>
      <w:r>
        <w:tab/>
        <w:t>CTI/68A9/1</w:t>
      </w:r>
    </w:p>
    <w:p w:rsidR="00DA3EB1" w:rsidRPr="00D63A9E" w:rsidRDefault="00F62FAE" w:rsidP="00D63A9E">
      <w:pPr>
        <w:rPr>
          <w:spacing w:val="2"/>
          <w:rtl/>
          <w:lang w:bidi="ar-EG"/>
        </w:rPr>
      </w:pPr>
      <w:r>
        <w:rPr>
          <w:spacing w:val="2"/>
          <w:lang w:bidi="ar-SY"/>
        </w:rPr>
        <w:tab/>
      </w:r>
      <w:r w:rsidR="00DA3EB1" w:rsidRPr="00D63A9E">
        <w:rPr>
          <w:rFonts w:hint="cs"/>
          <w:spacing w:val="2"/>
          <w:rtl/>
          <w:lang w:bidi="ar-SY"/>
        </w:rPr>
        <w:t>يفضل كوت ديفوار الخيار</w:t>
      </w:r>
      <w:r w:rsidR="00D63A9E" w:rsidRPr="00D63A9E">
        <w:rPr>
          <w:rFonts w:hint="eastAsia"/>
          <w:spacing w:val="2"/>
          <w:rtl/>
          <w:lang w:bidi="ar-SY"/>
        </w:rPr>
        <w:t> </w:t>
      </w:r>
      <w:r w:rsidR="00DA3EB1" w:rsidRPr="00D63A9E">
        <w:rPr>
          <w:spacing w:val="2"/>
          <w:lang w:bidi="ar-SY"/>
        </w:rPr>
        <w:t>B</w:t>
      </w:r>
      <w:r w:rsidR="00DA3EB1" w:rsidRPr="00D63A9E">
        <w:rPr>
          <w:rFonts w:hint="cs"/>
          <w:spacing w:val="2"/>
          <w:rtl/>
          <w:lang w:bidi="ar-SY"/>
        </w:rPr>
        <w:t xml:space="preserve"> </w:t>
      </w:r>
      <w:r w:rsidR="00DA3EB1" w:rsidRPr="00D63A9E">
        <w:rPr>
          <w:rFonts w:hint="cs"/>
          <w:spacing w:val="2"/>
          <w:rtl/>
          <w:lang w:bidi="ar-EG"/>
        </w:rPr>
        <w:t xml:space="preserve">من </w:t>
      </w:r>
      <w:r w:rsidR="00DA3EB1" w:rsidRPr="00D63A9E">
        <w:rPr>
          <w:rFonts w:hint="cs"/>
          <w:spacing w:val="2"/>
          <w:rtl/>
          <w:lang w:bidi="ar-SY"/>
        </w:rPr>
        <w:t>الأسلوب</w:t>
      </w:r>
      <w:r w:rsidR="00D63A9E" w:rsidRPr="00D63A9E">
        <w:rPr>
          <w:rFonts w:hint="eastAsia"/>
          <w:spacing w:val="2"/>
          <w:rtl/>
          <w:lang w:bidi="ar-SY"/>
        </w:rPr>
        <w:t> </w:t>
      </w:r>
      <w:r w:rsidR="00DA3EB1" w:rsidRPr="00D63A9E">
        <w:rPr>
          <w:spacing w:val="2"/>
          <w:lang w:bidi="ar-SY"/>
        </w:rPr>
        <w:t>C2</w:t>
      </w:r>
      <w:r w:rsidR="00DA3EB1" w:rsidRPr="00D63A9E">
        <w:rPr>
          <w:rFonts w:hint="cs"/>
          <w:spacing w:val="2"/>
          <w:rtl/>
          <w:lang w:bidi="ar-SY"/>
        </w:rPr>
        <w:t>، الذي سيتم بموجبه إلغاء آلية معلومات النشر المسبق وإصدارها بمجرد أن</w:t>
      </w:r>
      <w:r w:rsidR="00D63A9E" w:rsidRPr="00D63A9E">
        <w:rPr>
          <w:rFonts w:hint="eastAsia"/>
          <w:spacing w:val="2"/>
          <w:rtl/>
          <w:lang w:bidi="ar-SY"/>
        </w:rPr>
        <w:t> </w:t>
      </w:r>
      <w:r w:rsidR="00DA3EB1" w:rsidRPr="00D63A9E">
        <w:rPr>
          <w:rFonts w:hint="cs"/>
          <w:spacing w:val="2"/>
          <w:rtl/>
          <w:lang w:bidi="ar-SY"/>
        </w:rPr>
        <w:t xml:space="preserve">يستلم مكتب الاتصالات الراديوية </w:t>
      </w:r>
      <w:r w:rsidR="0045527A" w:rsidRPr="00D63A9E">
        <w:rPr>
          <w:rFonts w:hint="cs"/>
          <w:spacing w:val="2"/>
          <w:rtl/>
          <w:lang w:bidi="ar-SY"/>
        </w:rPr>
        <w:t xml:space="preserve">طلب تنسيق جديد. </w:t>
      </w:r>
      <w:r w:rsidR="0045527A" w:rsidRPr="00D63A9E">
        <w:rPr>
          <w:spacing w:val="2"/>
          <w:rtl/>
          <w:lang w:bidi="ar"/>
        </w:rPr>
        <w:t>و</w:t>
      </w:r>
      <w:r w:rsidR="0045527A" w:rsidRPr="00D63A9E">
        <w:rPr>
          <w:rFonts w:hint="cs"/>
          <w:spacing w:val="2"/>
          <w:rtl/>
          <w:lang w:bidi="ar"/>
        </w:rPr>
        <w:t>س</w:t>
      </w:r>
      <w:r w:rsidR="0045527A" w:rsidRPr="00D63A9E">
        <w:rPr>
          <w:spacing w:val="2"/>
          <w:rtl/>
          <w:lang w:bidi="ar"/>
        </w:rPr>
        <w:t>تختفي مهلة الأشهر الستة</w:t>
      </w:r>
      <w:r w:rsidR="0045527A" w:rsidRPr="00D63A9E">
        <w:rPr>
          <w:rFonts w:hint="cs"/>
          <w:spacing w:val="2"/>
          <w:rtl/>
          <w:lang w:bidi="ar"/>
        </w:rPr>
        <w:t xml:space="preserve"> وسيحسب الموعد النهائي التنظيمي اعتباراً من</w:t>
      </w:r>
      <w:r w:rsidR="00D63A9E" w:rsidRPr="00D63A9E">
        <w:rPr>
          <w:rFonts w:hint="eastAsia"/>
          <w:spacing w:val="2"/>
          <w:rtl/>
          <w:lang w:bidi="ar"/>
        </w:rPr>
        <w:t> </w:t>
      </w:r>
      <w:r>
        <w:rPr>
          <w:rFonts w:hint="cs"/>
          <w:spacing w:val="2"/>
          <w:rtl/>
          <w:lang w:bidi="ar"/>
        </w:rPr>
        <w:t>تاريخ طلب التنسيق.</w:t>
      </w:r>
    </w:p>
    <w:p w:rsidR="00FA1231" w:rsidRDefault="004C767E" w:rsidP="001656B9">
      <w:pPr>
        <w:pStyle w:val="Reasons"/>
        <w:rPr>
          <w:rFonts w:ascii="Traditional Arabic" w:hAnsi="Traditional Arabic"/>
          <w:b w:val="0"/>
          <w:bCs w:val="0"/>
          <w:sz w:val="30"/>
          <w:lang w:bidi="ar-EG"/>
        </w:rPr>
      </w:pPr>
      <w:r>
        <w:rPr>
          <w:rtl/>
        </w:rPr>
        <w:t>الأسباب:</w:t>
      </w:r>
      <w:r>
        <w:tab/>
      </w:r>
      <w:r w:rsidR="009C1A88">
        <w:rPr>
          <w:rFonts w:ascii="Traditional Arabic" w:hAnsi="Traditional Arabic" w:hint="cs"/>
          <w:b w:val="0"/>
          <w:bCs w:val="0"/>
          <w:sz w:val="30"/>
          <w:rtl/>
          <w:lang w:bidi="ar-EG"/>
        </w:rPr>
        <w:t>تسبق معلومات النشر المسبق إجراء التنسيق</w:t>
      </w:r>
      <w:r w:rsidR="00BD51DB">
        <w:rPr>
          <w:rFonts w:ascii="Traditional Arabic" w:hAnsi="Traditional Arabic" w:hint="cs"/>
          <w:b w:val="0"/>
          <w:bCs w:val="0"/>
          <w:sz w:val="30"/>
          <w:rtl/>
          <w:lang w:bidi="ar-EG"/>
        </w:rPr>
        <w:t>، ولكنها تتسم حالياً بموضوعية أقل. ويتيح هذا الأسلوب فترة ستة</w:t>
      </w:r>
      <w:r w:rsidR="001656B9">
        <w:rPr>
          <w:rFonts w:ascii="Traditional Arabic" w:hAnsi="Traditional Arabic" w:hint="eastAsia"/>
          <w:b w:val="0"/>
          <w:bCs w:val="0"/>
          <w:sz w:val="30"/>
          <w:lang w:bidi="ar-EG"/>
        </w:rPr>
        <w:t> </w:t>
      </w:r>
      <w:r w:rsidR="00BD51DB">
        <w:rPr>
          <w:rFonts w:ascii="Traditional Arabic" w:hAnsi="Traditional Arabic" w:hint="cs"/>
          <w:b w:val="0"/>
          <w:bCs w:val="0"/>
          <w:sz w:val="30"/>
          <w:rtl/>
          <w:lang w:bidi="ar-EG"/>
        </w:rPr>
        <w:t xml:space="preserve">أشهر للاحتفاظ بها </w:t>
      </w:r>
      <w:r w:rsidR="000909DB">
        <w:rPr>
          <w:rFonts w:ascii="Traditional Arabic" w:hAnsi="Traditional Arabic" w:hint="cs"/>
          <w:b w:val="0"/>
          <w:bCs w:val="0"/>
          <w:sz w:val="30"/>
          <w:rtl/>
          <w:lang w:bidi="ar-EG"/>
        </w:rPr>
        <w:t>في عملية وضع تخصيص ما في الخدمة.</w:t>
      </w:r>
      <w:r w:rsidR="005F68C9">
        <w:rPr>
          <w:rFonts w:ascii="Traditional Arabic" w:hAnsi="Traditional Arabic" w:hint="cs"/>
          <w:b w:val="0"/>
          <w:bCs w:val="0"/>
          <w:sz w:val="30"/>
          <w:rtl/>
          <w:lang w:bidi="ar-EG"/>
        </w:rPr>
        <w:t xml:space="preserve"> كما يسمح، </w:t>
      </w:r>
      <w:r w:rsidR="000909DB">
        <w:rPr>
          <w:rFonts w:ascii="Traditional Arabic" w:hAnsi="Traditional Arabic" w:hint="cs"/>
          <w:b w:val="0"/>
          <w:bCs w:val="0"/>
          <w:sz w:val="30"/>
          <w:rtl/>
          <w:lang w:bidi="ar-EG"/>
        </w:rPr>
        <w:t xml:space="preserve">في </w:t>
      </w:r>
      <w:r w:rsidR="005F68C9">
        <w:rPr>
          <w:rFonts w:ascii="Traditional Arabic" w:hAnsi="Traditional Arabic" w:hint="cs"/>
          <w:b w:val="0"/>
          <w:bCs w:val="0"/>
          <w:sz w:val="30"/>
          <w:rtl/>
          <w:lang w:bidi="ar-EG"/>
        </w:rPr>
        <w:t>الوقت ذاته،</w:t>
      </w:r>
      <w:r w:rsidR="000909DB">
        <w:rPr>
          <w:rFonts w:ascii="Traditional Arabic" w:hAnsi="Traditional Arabic" w:hint="cs"/>
          <w:b w:val="0"/>
          <w:bCs w:val="0"/>
          <w:sz w:val="30"/>
          <w:rtl/>
          <w:lang w:bidi="ar-EG"/>
        </w:rPr>
        <w:t xml:space="preserve"> للإدارات بتتبع التطورات فيما</w:t>
      </w:r>
      <w:r w:rsidR="00D63A9E">
        <w:rPr>
          <w:rFonts w:ascii="Traditional Arabic" w:hAnsi="Traditional Arabic" w:hint="eastAsia"/>
          <w:b w:val="0"/>
          <w:bCs w:val="0"/>
          <w:sz w:val="30"/>
          <w:rtl/>
          <w:lang w:bidi="ar-EG"/>
        </w:rPr>
        <w:t> </w:t>
      </w:r>
      <w:r w:rsidR="000909DB">
        <w:rPr>
          <w:rFonts w:ascii="Traditional Arabic" w:hAnsi="Traditional Arabic" w:hint="cs"/>
          <w:b w:val="0"/>
          <w:bCs w:val="0"/>
          <w:sz w:val="30"/>
          <w:rtl/>
          <w:lang w:bidi="ar-EG"/>
        </w:rPr>
        <w:t>يتعلق بالتنسيق كلما حدثت تغيرات.</w:t>
      </w:r>
    </w:p>
    <w:p w:rsidR="00D63A9E" w:rsidRPr="00D63A9E" w:rsidRDefault="00D63A9E" w:rsidP="00D63A9E">
      <w:pPr>
        <w:pStyle w:val="Reasons"/>
        <w:rPr>
          <w:rtl/>
          <w:lang w:bidi="ar-EG"/>
        </w:rPr>
      </w:pPr>
      <w:bookmarkStart w:id="1" w:name="_GoBack"/>
      <w:bookmarkEnd w:id="1"/>
    </w:p>
    <w:p w:rsidR="000E5A7E" w:rsidRPr="000E5A7E" w:rsidRDefault="004C767E" w:rsidP="004C767E">
      <w:pPr>
        <w:spacing w:before="600"/>
        <w:jc w:val="center"/>
      </w:pPr>
      <w:r>
        <w:rPr>
          <w:rtl/>
        </w:rPr>
        <w:t>___________</w:t>
      </w:r>
    </w:p>
    <w:sectPr w:rsidR="000E5A7E" w:rsidRPr="000E5A7E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4C767E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1656B9">
      <w:rPr>
        <w:noProof/>
        <w:lang w:val="es-ES"/>
      </w:rPr>
      <w:t>P:\ARA\ITU-R\CONF-R\CMR15\000\068ADD09A.docx</w:t>
    </w:r>
    <w:r w:rsidRPr="00CB4300">
      <w:fldChar w:fldCharType="end"/>
    </w:r>
    <w:r w:rsidRPr="00CB4300">
      <w:rPr>
        <w:lang w:val="es-ES"/>
      </w:rPr>
      <w:t xml:space="preserve">  (</w:t>
    </w:r>
    <w:r w:rsidR="004C767E">
      <w:rPr>
        <w:rFonts w:hint="cs"/>
        <w:rtl/>
        <w:lang w:val="es-ES"/>
      </w:rPr>
      <w:t>388431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8D7B27">
      <w:rPr>
        <w:noProof/>
      </w:rPr>
      <w:t>31.10.15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4C767E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1656B9">
      <w:rPr>
        <w:noProof/>
        <w:lang w:val="es-ES"/>
      </w:rPr>
      <w:t>P:\ARA\ITU-R\CONF-R\CMR15\000\068ADD09A.docx</w:t>
    </w:r>
    <w:r>
      <w:fldChar w:fldCharType="end"/>
    </w:r>
    <w:r w:rsidRPr="00CB4300">
      <w:rPr>
        <w:lang w:val="es-ES"/>
      </w:rPr>
      <w:t xml:space="preserve">   (</w:t>
    </w:r>
    <w:r w:rsidR="004C767E">
      <w:rPr>
        <w:rFonts w:hint="cs"/>
        <w:rtl/>
        <w:lang w:val="es-ES"/>
      </w:rPr>
      <w:t>388431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8D7B27">
      <w:rPr>
        <w:noProof/>
      </w:rPr>
      <w:t>31.10.15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8D7B27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68(Add.9)-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909DB"/>
    <w:rsid w:val="000A1B16"/>
    <w:rsid w:val="000B5404"/>
    <w:rsid w:val="000D1708"/>
    <w:rsid w:val="000E2AFC"/>
    <w:rsid w:val="000E5A7E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56B9"/>
    <w:rsid w:val="00167364"/>
    <w:rsid w:val="001903B2"/>
    <w:rsid w:val="001E190C"/>
    <w:rsid w:val="001E54F6"/>
    <w:rsid w:val="001E5A8C"/>
    <w:rsid w:val="00201A0A"/>
    <w:rsid w:val="002075D4"/>
    <w:rsid w:val="00211B2A"/>
    <w:rsid w:val="00216471"/>
    <w:rsid w:val="002333A0"/>
    <w:rsid w:val="00247463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5527A"/>
    <w:rsid w:val="00461FA7"/>
    <w:rsid w:val="00470CBD"/>
    <w:rsid w:val="0047407D"/>
    <w:rsid w:val="00487C17"/>
    <w:rsid w:val="004909DD"/>
    <w:rsid w:val="004A05E6"/>
    <w:rsid w:val="004A6C66"/>
    <w:rsid w:val="004A7AA0"/>
    <w:rsid w:val="004C11BC"/>
    <w:rsid w:val="004C767E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333A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5F68C9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D7B27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C1A8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3B2E"/>
    <w:rsid w:val="00B9727C"/>
    <w:rsid w:val="00BA610A"/>
    <w:rsid w:val="00BA7D44"/>
    <w:rsid w:val="00BD51DB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259BE"/>
    <w:rsid w:val="00D419CB"/>
    <w:rsid w:val="00D44350"/>
    <w:rsid w:val="00D44E3F"/>
    <w:rsid w:val="00D5024C"/>
    <w:rsid w:val="00D525F5"/>
    <w:rsid w:val="00D535D0"/>
    <w:rsid w:val="00D62C78"/>
    <w:rsid w:val="00D63A9E"/>
    <w:rsid w:val="00D81703"/>
    <w:rsid w:val="00D82929"/>
    <w:rsid w:val="00D84214"/>
    <w:rsid w:val="00D943E5"/>
    <w:rsid w:val="00DA1AE0"/>
    <w:rsid w:val="00DA3EB1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6F67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62FAE"/>
    <w:rsid w:val="00F838A4"/>
    <w:rsid w:val="00F8654D"/>
    <w:rsid w:val="00F900C9"/>
    <w:rsid w:val="00F92C96"/>
    <w:rsid w:val="00F934BC"/>
    <w:rsid w:val="00FA0D4E"/>
    <w:rsid w:val="00FA1231"/>
    <w:rsid w:val="00FB0753"/>
    <w:rsid w:val="00FB5CC8"/>
    <w:rsid w:val="00FC2CD0"/>
    <w:rsid w:val="00FD0594"/>
    <w:rsid w:val="00FD545C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F2DE0E87-FCD0-4DAB-A6C4-EAE09FA9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R15-WRC15-C-0068!A9!MSW-A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D67875-38B7-494C-8DAA-536A2BB1B9B3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B7535D-9218-415B-88C3-C3E1478F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316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R15-WRC15-C-0068!A9!MSW-A</vt:lpstr>
    </vt:vector>
  </TitlesOfParts>
  <Manager>General Secretariat - Pool</Manager>
  <Company>International Telecommunication Union (ITU)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R15-WRC15-C-0068!A9!MSW-A</dc:title>
  <dc:creator>Documents Proposals Manager (DPM)</dc:creator>
  <cp:keywords>DPM_v5.2015.10.280_prod</cp:keywords>
  <cp:lastModifiedBy>Awad, Samy</cp:lastModifiedBy>
  <cp:revision>6</cp:revision>
  <cp:lastPrinted>2015-10-30T14:49:00Z</cp:lastPrinted>
  <dcterms:created xsi:type="dcterms:W3CDTF">2015-10-30T22:10:00Z</dcterms:created>
  <dcterms:modified xsi:type="dcterms:W3CDTF">2015-10-30T23:27:00Z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