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E323CD" w:rsidTr="0050008E">
        <w:trPr>
          <w:cantSplit/>
        </w:trPr>
        <w:tc>
          <w:tcPr>
            <w:tcW w:w="6911" w:type="dxa"/>
          </w:tcPr>
          <w:p w:rsidR="0090121B" w:rsidRPr="00E323CD" w:rsidRDefault="005D46FB" w:rsidP="00E323CD">
            <w:pPr>
              <w:spacing w:before="400" w:after="48"/>
              <w:rPr>
                <w:rFonts w:ascii="Verdana" w:hAnsi="Verdana"/>
                <w:position w:val="6"/>
              </w:rPr>
            </w:pPr>
            <w:r w:rsidRPr="00E323CD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E323CD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E323CD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E323CD" w:rsidRDefault="00CE7431" w:rsidP="00E323CD">
            <w:pPr>
              <w:spacing w:before="0"/>
              <w:jc w:val="right"/>
            </w:pPr>
            <w:bookmarkStart w:id="0" w:name="ditulogo"/>
            <w:bookmarkEnd w:id="0"/>
            <w:r w:rsidRPr="00E323CD">
              <w:rPr>
                <w:noProof/>
                <w:lang w:val="en-GB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E323C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E323CD" w:rsidRDefault="00CE7431" w:rsidP="00E323CD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E323CD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E323CD" w:rsidRDefault="0090121B" w:rsidP="00E323CD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E323C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E323CD" w:rsidRDefault="0090121B" w:rsidP="00E323CD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E323CD" w:rsidRDefault="0090121B" w:rsidP="00E323CD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E323C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E323CD" w:rsidRDefault="00AE658F" w:rsidP="00E323CD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323CD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E323CD" w:rsidRDefault="00AE658F" w:rsidP="00E323CD">
            <w:pPr>
              <w:spacing w:before="0"/>
              <w:rPr>
                <w:rFonts w:ascii="Verdana" w:hAnsi="Verdana"/>
                <w:sz w:val="20"/>
              </w:rPr>
            </w:pPr>
            <w:r w:rsidRPr="00E323CD">
              <w:rPr>
                <w:rFonts w:ascii="Verdana" w:eastAsia="SimSun" w:hAnsi="Verdana" w:cs="Traditional Arabic"/>
                <w:b/>
                <w:sz w:val="20"/>
              </w:rPr>
              <w:t>Addéndum 6 al</w:t>
            </w:r>
            <w:r w:rsidRPr="00E323CD">
              <w:rPr>
                <w:rFonts w:ascii="Verdana" w:eastAsia="SimSun" w:hAnsi="Verdana" w:cs="Traditional Arabic"/>
                <w:b/>
                <w:sz w:val="20"/>
              </w:rPr>
              <w:br/>
              <w:t>Documento 68</w:t>
            </w:r>
            <w:r w:rsidR="0090121B" w:rsidRPr="00E323CD">
              <w:rPr>
                <w:rFonts w:ascii="Verdana" w:hAnsi="Verdana"/>
                <w:b/>
                <w:sz w:val="20"/>
              </w:rPr>
              <w:t>-</w:t>
            </w:r>
            <w:r w:rsidRPr="00E323CD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E323C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E323CD" w:rsidRDefault="000A5B9A" w:rsidP="00E323CD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E323CD" w:rsidRDefault="000A5B9A" w:rsidP="00E323CD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323CD">
              <w:rPr>
                <w:rFonts w:ascii="Verdana" w:hAnsi="Verdana"/>
                <w:b/>
                <w:sz w:val="20"/>
              </w:rPr>
              <w:t>16 de octubre de 2015</w:t>
            </w:r>
          </w:p>
        </w:tc>
      </w:tr>
      <w:tr w:rsidR="000A5B9A" w:rsidRPr="00E323CD" w:rsidTr="0090121B">
        <w:trPr>
          <w:cantSplit/>
        </w:trPr>
        <w:tc>
          <w:tcPr>
            <w:tcW w:w="6911" w:type="dxa"/>
          </w:tcPr>
          <w:p w:rsidR="000A5B9A" w:rsidRPr="00E323CD" w:rsidRDefault="000A5B9A" w:rsidP="00E323CD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E323CD" w:rsidRDefault="000A5B9A" w:rsidP="00E323CD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323CD">
              <w:rPr>
                <w:rFonts w:ascii="Verdana" w:hAnsi="Verdana"/>
                <w:b/>
                <w:sz w:val="20"/>
              </w:rPr>
              <w:t>Original: francés</w:t>
            </w:r>
          </w:p>
        </w:tc>
      </w:tr>
      <w:tr w:rsidR="000A5B9A" w:rsidRPr="00E323CD" w:rsidTr="006744FC">
        <w:trPr>
          <w:cantSplit/>
        </w:trPr>
        <w:tc>
          <w:tcPr>
            <w:tcW w:w="10031" w:type="dxa"/>
            <w:gridSpan w:val="2"/>
          </w:tcPr>
          <w:p w:rsidR="000A5B9A" w:rsidRPr="00E323CD" w:rsidRDefault="000A5B9A" w:rsidP="00E323CD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E323CD" w:rsidTr="0050008E">
        <w:trPr>
          <w:cantSplit/>
        </w:trPr>
        <w:tc>
          <w:tcPr>
            <w:tcW w:w="10031" w:type="dxa"/>
            <w:gridSpan w:val="2"/>
          </w:tcPr>
          <w:p w:rsidR="000A5B9A" w:rsidRPr="00E323CD" w:rsidRDefault="000A5B9A" w:rsidP="00E323CD">
            <w:pPr>
              <w:pStyle w:val="Source"/>
            </w:pPr>
            <w:bookmarkStart w:id="2" w:name="dsource" w:colFirst="0" w:colLast="0"/>
            <w:r w:rsidRPr="00E323CD">
              <w:t>Côte d'Ivoire (República de)</w:t>
            </w:r>
          </w:p>
        </w:tc>
      </w:tr>
      <w:tr w:rsidR="000A5B9A" w:rsidRPr="00E323CD" w:rsidTr="0050008E">
        <w:trPr>
          <w:cantSplit/>
        </w:trPr>
        <w:tc>
          <w:tcPr>
            <w:tcW w:w="10031" w:type="dxa"/>
            <w:gridSpan w:val="2"/>
          </w:tcPr>
          <w:p w:rsidR="000A5B9A" w:rsidRPr="00E323CD" w:rsidRDefault="003E2195" w:rsidP="00E323CD">
            <w:pPr>
              <w:pStyle w:val="Title1"/>
            </w:pPr>
            <w:bookmarkStart w:id="3" w:name="dtitle1" w:colFirst="0" w:colLast="0"/>
            <w:bookmarkEnd w:id="2"/>
            <w:r w:rsidRPr="00E323CD">
              <w:t>PROPUESTAS PARA LOS TRABAJOS DE LA CONFERENCIA</w:t>
            </w:r>
          </w:p>
        </w:tc>
      </w:tr>
      <w:tr w:rsidR="000A5B9A" w:rsidRPr="00E323CD" w:rsidTr="0050008E">
        <w:trPr>
          <w:cantSplit/>
        </w:trPr>
        <w:tc>
          <w:tcPr>
            <w:tcW w:w="10031" w:type="dxa"/>
            <w:gridSpan w:val="2"/>
          </w:tcPr>
          <w:p w:rsidR="000A5B9A" w:rsidRPr="00E323CD" w:rsidRDefault="000A5B9A" w:rsidP="00E323CD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E323CD" w:rsidTr="0050008E">
        <w:trPr>
          <w:cantSplit/>
        </w:trPr>
        <w:tc>
          <w:tcPr>
            <w:tcW w:w="10031" w:type="dxa"/>
            <w:gridSpan w:val="2"/>
          </w:tcPr>
          <w:p w:rsidR="000A5B9A" w:rsidRPr="00E323CD" w:rsidRDefault="000A5B9A" w:rsidP="00E323CD">
            <w:pPr>
              <w:pStyle w:val="Agendaitem"/>
            </w:pPr>
            <w:bookmarkStart w:id="5" w:name="dtitle3" w:colFirst="0" w:colLast="0"/>
            <w:bookmarkEnd w:id="4"/>
            <w:r w:rsidRPr="00E323CD">
              <w:t>Punto 1.8 del orden del día</w:t>
            </w:r>
          </w:p>
        </w:tc>
      </w:tr>
    </w:tbl>
    <w:bookmarkEnd w:id="5"/>
    <w:p w:rsidR="001C0E40" w:rsidRPr="00E323CD" w:rsidRDefault="00567F33" w:rsidP="00E323CD">
      <w:r w:rsidRPr="00E323CD">
        <w:t>1.8</w:t>
      </w:r>
      <w:r w:rsidRPr="00E323CD">
        <w:tab/>
        <w:t xml:space="preserve">examinar las disposiciones relativas a las estaciones terrenas situadas a bordo de barcos (ETB), basándose en los estudios realizados de conformidad con la Resolución </w:t>
      </w:r>
      <w:r w:rsidRPr="00E323CD">
        <w:rPr>
          <w:b/>
          <w:bCs/>
        </w:rPr>
        <w:t>909 (CMR-12)</w:t>
      </w:r>
      <w:r w:rsidRPr="00E323CD">
        <w:t>;</w:t>
      </w:r>
    </w:p>
    <w:p w:rsidR="00706CFA" w:rsidRPr="00E323CD" w:rsidRDefault="00706CFA" w:rsidP="00E323CD">
      <w:pPr>
        <w:rPr>
          <w:color w:val="000000"/>
        </w:rPr>
      </w:pPr>
      <w:r w:rsidRPr="00E323CD">
        <w:rPr>
          <w:color w:val="000000"/>
        </w:rPr>
        <w:t>RESOLU</w:t>
      </w:r>
      <w:r w:rsidR="00325FCE" w:rsidRPr="00E323CD">
        <w:rPr>
          <w:color w:val="000000"/>
        </w:rPr>
        <w:t>CIÓ</w:t>
      </w:r>
      <w:r w:rsidRPr="00E323CD">
        <w:rPr>
          <w:color w:val="000000"/>
        </w:rPr>
        <w:t xml:space="preserve">N </w:t>
      </w:r>
      <w:r w:rsidRPr="00E323CD">
        <w:rPr>
          <w:rStyle w:val="dpstylehref"/>
          <w:color w:val="000000"/>
        </w:rPr>
        <w:t>909</w:t>
      </w:r>
      <w:r w:rsidR="006733EB" w:rsidRPr="00E323CD">
        <w:rPr>
          <w:color w:val="000000"/>
        </w:rPr>
        <w:t xml:space="preserve"> (CMR</w:t>
      </w:r>
      <w:r w:rsidRPr="00E323CD">
        <w:rPr>
          <w:color w:val="000000"/>
        </w:rPr>
        <w:t xml:space="preserve">-12): </w:t>
      </w:r>
      <w:r w:rsidR="00460D08" w:rsidRPr="00E323CD">
        <w:rPr>
          <w:color w:val="000000"/>
        </w:rPr>
        <w:t>Disposiciones relativas a estaciones terrenas a bordo de barcos que funcionan en las redes del servicio fijo por satélite en las bandas de enlace ascendente 5 925-6 425 MHz y 14-14,5 GHz</w:t>
      </w:r>
    </w:p>
    <w:p w:rsidR="00567F33" w:rsidRPr="00E323CD" w:rsidRDefault="00567F33" w:rsidP="00E323CD"/>
    <w:p w:rsidR="00822538" w:rsidRPr="00E323CD" w:rsidRDefault="00854C13" w:rsidP="00E323CD">
      <w:pPr>
        <w:pStyle w:val="Headingb"/>
      </w:pPr>
      <w:r w:rsidRPr="00E323CD">
        <w:t>Introducció</w:t>
      </w:r>
      <w:r w:rsidR="00822538" w:rsidRPr="00E323CD">
        <w:t>n</w:t>
      </w:r>
    </w:p>
    <w:p w:rsidR="00A77A96" w:rsidRPr="00E323CD" w:rsidRDefault="00D83B35" w:rsidP="00E323CD">
      <w:r w:rsidRPr="00E323CD">
        <w:t>E</w:t>
      </w:r>
      <w:r w:rsidR="00F47129" w:rsidRPr="00E323CD">
        <w:t>n e</w:t>
      </w:r>
      <w:r w:rsidRPr="00E323CD">
        <w:t xml:space="preserve">l punto 1.8 del orden del día de la CMR-15 </w:t>
      </w:r>
      <w:r w:rsidR="00F47129" w:rsidRPr="00E323CD">
        <w:t xml:space="preserve">se </w:t>
      </w:r>
      <w:r w:rsidR="00E323CD" w:rsidRPr="00E323CD">
        <w:t>pide</w:t>
      </w:r>
      <w:r w:rsidR="00F47129" w:rsidRPr="00E323CD">
        <w:t xml:space="preserve"> que se</w:t>
      </w:r>
      <w:r w:rsidRPr="00E323CD">
        <w:t xml:space="preserve"> examin</w:t>
      </w:r>
      <w:r w:rsidR="00F47129" w:rsidRPr="00E323CD">
        <w:t>en</w:t>
      </w:r>
      <w:r w:rsidRPr="00E323CD">
        <w:t xml:space="preserve"> las disposiciones actuales relativas a las estaciones terrenas a bordo de barcos (ETB) basándose en los estudios realizados de conformidad con la Resolución 909 (CMR-12). En particular, considera la necesidad de examinar y, posiblemente, revisar las limitaciones y restricciones contenidas en la Resolución 902 (CMR-03) para reflejar las actuales tecnologías y características técnicas de las ETB utilizadas o que está previsto utilizar, asegurando al mismo tiempo la continua protección de otros servicios a los que están atribuidas las bandas de frecuencia 5 925-6 425 MHz y 14-14,5 GHz.</w:t>
      </w:r>
    </w:p>
    <w:p w:rsidR="00822538" w:rsidRPr="00E323CD" w:rsidRDefault="00F47129" w:rsidP="00E323CD">
      <w:pPr>
        <w:rPr>
          <w:rFonts w:eastAsia="Malgun Gothic"/>
        </w:rPr>
      </w:pPr>
      <w:r w:rsidRPr="00E323CD">
        <w:rPr>
          <w:rFonts w:eastAsia="Malgun Gothic"/>
        </w:rPr>
        <w:t>Tras un largo debate, la CMR-03 decidió autorizar la explotación de estaciones terrenas a bordo de barcos (ETB) en el servicio fijo por satélite</w:t>
      </w:r>
      <w:r w:rsidR="00822538" w:rsidRPr="00E323CD">
        <w:rPr>
          <w:rFonts w:eastAsia="Malgun Gothic"/>
        </w:rPr>
        <w:t>.</w:t>
      </w:r>
    </w:p>
    <w:p w:rsidR="00822538" w:rsidRPr="00E323CD" w:rsidRDefault="00F47129" w:rsidP="00E323CD">
      <w:pPr>
        <w:rPr>
          <w:rFonts w:eastAsia="Malgun Gothic"/>
        </w:rPr>
      </w:pPr>
      <w:r w:rsidRPr="00E323CD">
        <w:rPr>
          <w:rFonts w:eastAsia="Malgun Gothic"/>
        </w:rPr>
        <w:t>En consecuencia, la CMR-03 adoptó la Resolución 902 (CMR-03) e introdujo las notas</w:t>
      </w:r>
      <w:r w:rsidR="00822538" w:rsidRPr="00E323CD">
        <w:rPr>
          <w:rFonts w:eastAsia="Malgun Gothic"/>
        </w:rPr>
        <w:t xml:space="preserve"> 5.457A, 5.457B, 5.506A </w:t>
      </w:r>
      <w:r w:rsidRPr="00E323CD">
        <w:rPr>
          <w:rFonts w:eastAsia="Malgun Gothic"/>
        </w:rPr>
        <w:t>y</w:t>
      </w:r>
      <w:r w:rsidR="00822538" w:rsidRPr="00E323CD">
        <w:rPr>
          <w:rFonts w:eastAsia="Malgun Gothic"/>
        </w:rPr>
        <w:t xml:space="preserve"> 5.506B </w:t>
      </w:r>
      <w:r w:rsidRPr="00E323CD">
        <w:rPr>
          <w:rFonts w:eastAsia="Malgun Gothic"/>
        </w:rPr>
        <w:t>en el</w:t>
      </w:r>
      <w:r w:rsidR="00822538" w:rsidRPr="00E323CD">
        <w:rPr>
          <w:rFonts w:eastAsia="Malgun Gothic"/>
        </w:rPr>
        <w:t xml:space="preserve"> RR.</w:t>
      </w:r>
    </w:p>
    <w:p w:rsidR="00363A65" w:rsidRPr="00E323CD" w:rsidRDefault="00665B30" w:rsidP="00E323CD">
      <w:pPr>
        <w:pStyle w:val="Headingb"/>
      </w:pPr>
      <w:r w:rsidRPr="00E323CD">
        <w:t>Propuesta</w:t>
      </w:r>
      <w:bookmarkStart w:id="6" w:name="_GoBack"/>
      <w:bookmarkEnd w:id="6"/>
    </w:p>
    <w:p w:rsidR="003B0C59" w:rsidRPr="00E323CD" w:rsidRDefault="00567F33" w:rsidP="00E323CD">
      <w:pPr>
        <w:pStyle w:val="Proposal"/>
      </w:pPr>
      <w:r w:rsidRPr="00E323CD">
        <w:tab/>
        <w:t>CTI/68A6/1</w:t>
      </w:r>
    </w:p>
    <w:p w:rsidR="00E323CD" w:rsidRPr="00E323CD" w:rsidRDefault="00F47129" w:rsidP="00E323CD">
      <w:r w:rsidRPr="00E323CD">
        <w:tab/>
        <w:t>Côte d’Ivoire apoya el Método B</w:t>
      </w:r>
      <w:r w:rsidR="00E323CD" w:rsidRPr="00E323CD">
        <w:t xml:space="preserve"> del Informe de la RPC, que consiste en aumentar la distancia de protección a 345km en la banda C y mantener la distancia en 125km en la banda Ku (14, 0-14,5 GHz).</w:t>
      </w:r>
    </w:p>
    <w:p w:rsidR="003B0C59" w:rsidRPr="00E323CD" w:rsidRDefault="00567F33" w:rsidP="00E323CD">
      <w:pPr>
        <w:pStyle w:val="Reasons"/>
      </w:pPr>
      <w:r w:rsidRPr="00E323CD">
        <w:rPr>
          <w:b/>
        </w:rPr>
        <w:lastRenderedPageBreak/>
        <w:t>Motivos:</w:t>
      </w:r>
      <w:r w:rsidRPr="00E323CD">
        <w:tab/>
      </w:r>
      <w:r w:rsidR="0022699D" w:rsidRPr="00E323CD">
        <w:t>Al aumentar la distancia de protección desde la costa en la banda C hasta los valores mencionados y utilizar simultáneamente ETB antiguas y nuevas, el SF quedaría mejor protegido.</w:t>
      </w:r>
    </w:p>
    <w:p w:rsidR="0022699D" w:rsidRPr="00E323CD" w:rsidRDefault="0022699D" w:rsidP="00E323CD">
      <w:pPr>
        <w:pStyle w:val="Reasons"/>
      </w:pPr>
    </w:p>
    <w:p w:rsidR="0022699D" w:rsidRPr="00E323CD" w:rsidRDefault="0022699D" w:rsidP="00E323CD">
      <w:pPr>
        <w:jc w:val="center"/>
      </w:pPr>
      <w:r w:rsidRPr="00E323CD">
        <w:t>______________</w:t>
      </w:r>
    </w:p>
    <w:p w:rsidR="0022699D" w:rsidRPr="00E323CD" w:rsidRDefault="0022699D" w:rsidP="00E323CD">
      <w:pPr>
        <w:pStyle w:val="Reasons"/>
      </w:pPr>
    </w:p>
    <w:sectPr w:rsidR="0022699D" w:rsidRPr="00E323CD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323CD">
      <w:rPr>
        <w:noProof/>
        <w:lang w:val="en-US"/>
      </w:rPr>
      <w:t>P:\TRAD\S\ITU-R\CONF-R\CMR15\000\068ADD06 (388428) LIN 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97C8A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323CD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5FA" w:rsidRDefault="001165FA" w:rsidP="001165F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1133C">
      <w:rPr>
        <w:lang w:val="en-US"/>
      </w:rPr>
      <w:t>P:\ESP\ITU-R\CONF-R\CMR15\000\068ADD06S.docx</w:t>
    </w:r>
    <w:r>
      <w:fldChar w:fldCharType="end"/>
    </w:r>
    <w:r w:rsidRPr="00822538">
      <w:rPr>
        <w:lang w:val="en-US"/>
      </w:rPr>
      <w:t xml:space="preserve"> (388428)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97C8A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323CD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997C8A" w:rsidRDefault="00997C8A" w:rsidP="00997C8A">
    <w:pPr>
      <w:pStyle w:val="Footer"/>
    </w:pPr>
    <w:fldSimple w:instr=" FILENAME \p  \* MERGEFORMAT ">
      <w:r>
        <w:t>P:\ESP\ITU-R\CONF-R\CMR15\000\068ADD06S.docx</w:t>
      </w:r>
    </w:fldSimple>
    <w:r>
      <w:t xml:space="preserve"> (388428)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29.10.15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7C8A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68(Add.6)-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165FA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2699D"/>
    <w:rsid w:val="00236D2A"/>
    <w:rsid w:val="00255F12"/>
    <w:rsid w:val="00262C09"/>
    <w:rsid w:val="002678E2"/>
    <w:rsid w:val="002A0C2F"/>
    <w:rsid w:val="002A791F"/>
    <w:rsid w:val="002C1B26"/>
    <w:rsid w:val="002C5D6C"/>
    <w:rsid w:val="002E701F"/>
    <w:rsid w:val="003248A9"/>
    <w:rsid w:val="00324FFA"/>
    <w:rsid w:val="00325FCE"/>
    <w:rsid w:val="0032680B"/>
    <w:rsid w:val="00363A65"/>
    <w:rsid w:val="003B0C59"/>
    <w:rsid w:val="003B178D"/>
    <w:rsid w:val="003B1E8C"/>
    <w:rsid w:val="003C2508"/>
    <w:rsid w:val="003D0AA3"/>
    <w:rsid w:val="003E2195"/>
    <w:rsid w:val="003E3C69"/>
    <w:rsid w:val="00440B3A"/>
    <w:rsid w:val="0045384C"/>
    <w:rsid w:val="00454553"/>
    <w:rsid w:val="00460D08"/>
    <w:rsid w:val="004B124A"/>
    <w:rsid w:val="005133B5"/>
    <w:rsid w:val="00532097"/>
    <w:rsid w:val="00567F33"/>
    <w:rsid w:val="0058350F"/>
    <w:rsid w:val="00583C7E"/>
    <w:rsid w:val="005A44FE"/>
    <w:rsid w:val="005D46FB"/>
    <w:rsid w:val="005F2605"/>
    <w:rsid w:val="005F3B0E"/>
    <w:rsid w:val="005F559C"/>
    <w:rsid w:val="00662BA0"/>
    <w:rsid w:val="00665B30"/>
    <w:rsid w:val="006733EB"/>
    <w:rsid w:val="006802F3"/>
    <w:rsid w:val="00692AAE"/>
    <w:rsid w:val="00697DBE"/>
    <w:rsid w:val="006D6E67"/>
    <w:rsid w:val="006E1A13"/>
    <w:rsid w:val="00701C20"/>
    <w:rsid w:val="00702F3D"/>
    <w:rsid w:val="0070518E"/>
    <w:rsid w:val="00706CFA"/>
    <w:rsid w:val="0071133C"/>
    <w:rsid w:val="007354E9"/>
    <w:rsid w:val="00765578"/>
    <w:rsid w:val="0077084A"/>
    <w:rsid w:val="007952C7"/>
    <w:rsid w:val="007C0B95"/>
    <w:rsid w:val="007C2317"/>
    <w:rsid w:val="007D330A"/>
    <w:rsid w:val="00822538"/>
    <w:rsid w:val="00854C13"/>
    <w:rsid w:val="00866AE6"/>
    <w:rsid w:val="008750A8"/>
    <w:rsid w:val="008E5AF2"/>
    <w:rsid w:val="0090121B"/>
    <w:rsid w:val="009144C9"/>
    <w:rsid w:val="0094091F"/>
    <w:rsid w:val="00973754"/>
    <w:rsid w:val="00997C8A"/>
    <w:rsid w:val="009A6058"/>
    <w:rsid w:val="009C0BED"/>
    <w:rsid w:val="009E11EC"/>
    <w:rsid w:val="009E3C7C"/>
    <w:rsid w:val="00A118DB"/>
    <w:rsid w:val="00A4450C"/>
    <w:rsid w:val="00A77A96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CF0032"/>
    <w:rsid w:val="00D0288A"/>
    <w:rsid w:val="00D72A5D"/>
    <w:rsid w:val="00D83B35"/>
    <w:rsid w:val="00DC629B"/>
    <w:rsid w:val="00E05BFF"/>
    <w:rsid w:val="00E262F1"/>
    <w:rsid w:val="00E3176A"/>
    <w:rsid w:val="00E323CD"/>
    <w:rsid w:val="00E54754"/>
    <w:rsid w:val="00E56BD3"/>
    <w:rsid w:val="00E71D14"/>
    <w:rsid w:val="00F47129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9BDED7F-2F25-4280-8CCA-EFF82B0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dpstylehref">
    <w:name w:val="dpstylehref"/>
    <w:basedOn w:val="DefaultParagraphFont"/>
    <w:rsid w:val="00706CFA"/>
  </w:style>
  <w:style w:type="paragraph" w:styleId="BalloonText">
    <w:name w:val="Balloon Text"/>
    <w:basedOn w:val="Normal"/>
    <w:link w:val="BalloonTextChar"/>
    <w:semiHidden/>
    <w:unhideWhenUsed/>
    <w:rsid w:val="00E323C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23CD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R15-WRC15-C-0068!A6!MSW-S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7980-46D8-4095-8B92-B8BAF555D5B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32a1a8c5-2265-4ebc-b7a0-2071e2c5c9bb"/>
    <ds:schemaRef ds:uri="http://www.w3.org/XML/1998/namespace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7551C8-BCBB-43EB-83EC-F46DFA7D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R15-WRC15-C-0068!A6!MSW-S</vt:lpstr>
    </vt:vector>
  </TitlesOfParts>
  <Manager>Secretaría General - Pool</Manager>
  <Company>Unión Internacional de Telecomunicaciones (UIT)</Company>
  <LinksUpToDate>false</LinksUpToDate>
  <CharactersWithSpaces>2101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R15-WRC15-C-0068!A6!MSW-S</dc:title>
  <dc:subject>Conferencia Mundial de Radiocomunicaciones - 2015</dc:subject>
  <dc:creator>Documents Proposals Manager (DPM)</dc:creator>
  <cp:keywords>DPM_v5.2015.10.271_prod</cp:keywords>
  <dc:description/>
  <cp:lastModifiedBy>Jones, Jacqueline</cp:lastModifiedBy>
  <cp:revision>4</cp:revision>
  <cp:lastPrinted>2015-10-28T11:05:00Z</cp:lastPrinted>
  <dcterms:created xsi:type="dcterms:W3CDTF">2015-10-29T16:12:00Z</dcterms:created>
  <dcterms:modified xsi:type="dcterms:W3CDTF">2015-10-29T17:20:00Z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