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RPr="009F6956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9F6956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9F6956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9F6956" w:rsidRDefault="003E1608" w:rsidP="003E1608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9F6956">
              <w:rPr>
                <w:rFonts w:ascii="Verdana" w:hAnsi="Verdana"/>
                <w:rtl/>
              </w:rPr>
              <w:t xml:space="preserve">الإضافة </w:t>
            </w:r>
            <w:r w:rsidRPr="009F6956">
              <w:rPr>
                <w:rFonts w:ascii="Verdana" w:hAnsi="Verdana"/>
              </w:rPr>
              <w:t>6</w:t>
            </w:r>
            <w:r w:rsidRPr="009F6956">
              <w:rPr>
                <w:rFonts w:ascii="Verdana" w:hAnsi="Verdana"/>
              </w:rPr>
              <w:br/>
            </w:r>
            <w:r w:rsidRPr="009F6956">
              <w:rPr>
                <w:rFonts w:ascii="Verdana" w:hAnsi="Verdana"/>
                <w:rtl/>
              </w:rPr>
              <w:t xml:space="preserve">للوثيقة </w:t>
            </w:r>
            <w:r w:rsidRPr="009F6956">
              <w:rPr>
                <w:rFonts w:ascii="Verdana" w:hAnsi="Verdana"/>
              </w:rPr>
              <w:t>68-</w:t>
            </w:r>
            <w:r w:rsidR="009F6956">
              <w:rPr>
                <w:rFonts w:ascii="Verdana" w:hAnsi="Verdana"/>
              </w:rPr>
              <w:t>A</w:t>
            </w:r>
          </w:p>
        </w:tc>
      </w:tr>
      <w:tr w:rsidR="00764079" w:rsidRPr="009F6956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9F6956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9F6956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9F6956">
              <w:rPr>
                <w:rFonts w:ascii="Verdana" w:eastAsia="SimSun" w:hAnsi="Verdana"/>
              </w:rPr>
              <w:t>16</w:t>
            </w:r>
            <w:r w:rsidRPr="009F6956">
              <w:rPr>
                <w:rFonts w:ascii="Verdana" w:eastAsia="SimSun" w:hAnsi="Verdana"/>
                <w:rtl/>
              </w:rPr>
              <w:t xml:space="preserve"> أكتوبر </w:t>
            </w:r>
            <w:r w:rsidRPr="009F6956">
              <w:rPr>
                <w:rFonts w:ascii="Verdana" w:eastAsia="SimSun" w:hAnsi="Verdana"/>
              </w:rPr>
              <w:t>2015</w:t>
            </w:r>
          </w:p>
        </w:tc>
      </w:tr>
      <w:tr w:rsidR="00764079" w:rsidRPr="009F6956" w:rsidTr="003E1608">
        <w:trPr>
          <w:cantSplit/>
        </w:trPr>
        <w:tc>
          <w:tcPr>
            <w:tcW w:w="6619" w:type="dxa"/>
          </w:tcPr>
          <w:p w:rsidR="00764079" w:rsidRPr="009F6956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9F6956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9F6956">
              <w:rPr>
                <w:rFonts w:ascii="Verdana" w:eastAsia="SimSun" w:hAnsi="Verdana"/>
                <w:rtl/>
              </w:rPr>
              <w:t>الأصل: بالفرنسية</w:t>
            </w:r>
          </w:p>
        </w:tc>
      </w:tr>
      <w:tr w:rsidR="00764079" w:rsidRPr="009F6956" w:rsidTr="003E1608">
        <w:trPr>
          <w:cantSplit/>
        </w:trPr>
        <w:tc>
          <w:tcPr>
            <w:tcW w:w="9672" w:type="dxa"/>
            <w:gridSpan w:val="2"/>
          </w:tcPr>
          <w:p w:rsidR="00764079" w:rsidRPr="009F6956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كوت ديفوار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9F6956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الـمؤتـمر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9F6956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9F6956">
              <w:t>8.1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Default="00F42F75" w:rsidP="009F6956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8.1</w:t>
      </w:r>
      <w:r w:rsidRPr="00431196">
        <w:rPr>
          <w:rFonts w:eastAsia="SimSun" w:hint="cs"/>
          <w:rtl/>
        </w:rPr>
        <w:tab/>
        <w:t>استعراض الأحكام المتعلقة بالمحطات الأرضية المقامة على متن السفن </w:t>
      </w:r>
      <w:r w:rsidRPr="00431196">
        <w:rPr>
          <w:rFonts w:eastAsia="SimSun"/>
        </w:rPr>
        <w:t>(ESV)</w:t>
      </w:r>
      <w:r w:rsidRPr="00431196">
        <w:rPr>
          <w:rFonts w:eastAsia="SimSun" w:hint="cs"/>
          <w:rtl/>
        </w:rPr>
        <w:t xml:space="preserve">، استناداً إلى الدراسات التي أُجريت وفقاً للقرار </w:t>
      </w:r>
      <w:r w:rsidRPr="00431196">
        <w:rPr>
          <w:rFonts w:eastAsia="SimSun"/>
          <w:b/>
          <w:bCs/>
        </w:rPr>
        <w:t>909 (WRC</w:t>
      </w:r>
      <w:r w:rsidRPr="00431196">
        <w:rPr>
          <w:rFonts w:eastAsia="SimSun"/>
          <w:b/>
          <w:bCs/>
        </w:rPr>
        <w:sym w:font="Symbol" w:char="F02D"/>
      </w:r>
      <w:r w:rsidRPr="00431196">
        <w:rPr>
          <w:rFonts w:eastAsia="SimSun"/>
          <w:b/>
          <w:bCs/>
        </w:rPr>
        <w:t>12)</w:t>
      </w:r>
      <w:r w:rsidRPr="00431196">
        <w:rPr>
          <w:rFonts w:eastAsia="SimSun" w:hint="cs"/>
          <w:rtl/>
        </w:rPr>
        <w:t>؛</w:t>
      </w:r>
    </w:p>
    <w:p w:rsidR="004860D2" w:rsidRPr="00A256CB" w:rsidRDefault="004860D2" w:rsidP="004860D2">
      <w:pPr>
        <w:rPr>
          <w:b/>
          <w:bCs/>
        </w:rPr>
      </w:pPr>
      <w:bookmarkStart w:id="1" w:name="_Toc327956809"/>
      <w:r w:rsidRPr="003175A3">
        <w:rPr>
          <w:rtl/>
        </w:rPr>
        <w:t xml:space="preserve">القـرار </w:t>
      </w:r>
      <w:r w:rsidRPr="0090043D">
        <w:rPr>
          <w:rStyle w:val="href"/>
        </w:rPr>
        <w:t>909</w:t>
      </w:r>
      <w:r>
        <w:t> </w:t>
      </w:r>
      <w:r w:rsidRPr="003175A3">
        <w:t>(WRC-12)</w:t>
      </w:r>
      <w:bookmarkStart w:id="2" w:name="_Toc327956810"/>
      <w:bookmarkEnd w:id="1"/>
      <w:r>
        <w:rPr>
          <w:rFonts w:hint="cs"/>
          <w:rtl/>
        </w:rPr>
        <w:t>:</w:t>
      </w:r>
      <w:r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rtl/>
        </w:rPr>
        <w:t>أحكام متعلقة بالمحطات الأرضية المقامة على متن السفن المشغلة في شبكات الخدمة الثابتة الساتلية في نطاقي الوصلة</w:t>
      </w:r>
      <w:r>
        <w:rPr>
          <w:rFonts w:hint="eastAsia"/>
          <w:rtl/>
        </w:rPr>
        <w:t> </w:t>
      </w:r>
      <w:r>
        <w:rPr>
          <w:rFonts w:hint="cs"/>
          <w:rtl/>
        </w:rPr>
        <w:t>الصاعدة</w:t>
      </w:r>
      <w:r>
        <w:rPr>
          <w:rFonts w:hint="eastAsia"/>
          <w:rtl/>
        </w:rPr>
        <w:t> </w:t>
      </w:r>
      <w:r>
        <w:t>MHz 6 425</w:t>
      </w:r>
      <w:r>
        <w:sym w:font="Symbol" w:char="F02D"/>
      </w:r>
      <w:r>
        <w:t>5 925</w:t>
      </w:r>
      <w:r>
        <w:rPr>
          <w:rFonts w:hint="cs"/>
          <w:rtl/>
        </w:rPr>
        <w:t xml:space="preserve"> و</w:t>
      </w:r>
      <w:r>
        <w:t>GHz 14,5</w:t>
      </w:r>
      <w:r>
        <w:sym w:font="Symbol" w:char="F02D"/>
      </w:r>
      <w:r>
        <w:t>14</w:t>
      </w:r>
      <w:bookmarkEnd w:id="2"/>
      <w:r>
        <w:rPr>
          <w:rFonts w:hint="cs"/>
          <w:rtl/>
        </w:rPr>
        <w:t xml:space="preserve"> </w:t>
      </w:r>
    </w:p>
    <w:p w:rsidR="009F6956" w:rsidRDefault="009F6956" w:rsidP="009F6956">
      <w:pPr>
        <w:pStyle w:val="Headingb"/>
      </w:pPr>
      <w:r>
        <w:rPr>
          <w:rFonts w:hint="cs"/>
          <w:rtl/>
        </w:rPr>
        <w:t>مقدمة</w:t>
      </w:r>
    </w:p>
    <w:p w:rsidR="009F6956" w:rsidRPr="00105629" w:rsidRDefault="009F6956" w:rsidP="00972692">
      <w:pPr>
        <w:rPr>
          <w:spacing w:val="-2"/>
          <w:rtl/>
        </w:rPr>
      </w:pPr>
      <w:r w:rsidRPr="00105629">
        <w:rPr>
          <w:rFonts w:hint="cs"/>
          <w:spacing w:val="-2"/>
          <w:rtl/>
        </w:rPr>
        <w:t xml:space="preserve">ويدعو البند </w:t>
      </w:r>
      <w:r w:rsidRPr="00105629">
        <w:rPr>
          <w:spacing w:val="-2"/>
        </w:rPr>
        <w:t>8.1</w:t>
      </w:r>
      <w:r w:rsidRPr="00105629">
        <w:rPr>
          <w:rFonts w:hint="cs"/>
          <w:spacing w:val="-2"/>
          <w:rtl/>
        </w:rPr>
        <w:t xml:space="preserve"> من جدول أعمال المؤتمر </w:t>
      </w:r>
      <w:r w:rsidRPr="00105629">
        <w:rPr>
          <w:spacing w:val="-2"/>
        </w:rPr>
        <w:t>WRC</w:t>
      </w:r>
      <w:r w:rsidRPr="00105629">
        <w:rPr>
          <w:spacing w:val="-2"/>
        </w:rPr>
        <w:noBreakHyphen/>
        <w:t>15</w:t>
      </w:r>
      <w:r w:rsidRPr="00105629">
        <w:rPr>
          <w:rFonts w:hint="cs"/>
          <w:spacing w:val="-2"/>
          <w:rtl/>
        </w:rPr>
        <w:t xml:space="preserve"> إلى مراجعة الأحكام القائمة المتعلقة بالمحطات الأرضية الموجودة على متن السفن، استناداً إلى الدراسات المضطلع بها وفقاً للقرار </w:t>
      </w:r>
      <w:r w:rsidRPr="00105629">
        <w:rPr>
          <w:spacing w:val="-2"/>
        </w:rPr>
        <w:t>909 (WRC</w:t>
      </w:r>
      <w:r w:rsidRPr="00105629">
        <w:rPr>
          <w:spacing w:val="-2"/>
        </w:rPr>
        <w:noBreakHyphen/>
        <w:t>12)</w:t>
      </w:r>
      <w:r w:rsidRPr="00105629">
        <w:rPr>
          <w:rFonts w:hint="cs"/>
          <w:spacing w:val="-2"/>
          <w:rtl/>
        </w:rPr>
        <w:t>. وينظر بصفة خاصة في الحاجة إلى مراجعة الحدود والقيود الواردة في</w:t>
      </w:r>
      <w:r w:rsidR="00105629">
        <w:rPr>
          <w:rFonts w:hint="eastAsia"/>
          <w:spacing w:val="-2"/>
          <w:rtl/>
        </w:rPr>
        <w:t> </w:t>
      </w:r>
      <w:r w:rsidRPr="00105629">
        <w:rPr>
          <w:rFonts w:hint="cs"/>
          <w:spacing w:val="-2"/>
          <w:rtl/>
        </w:rPr>
        <w:t>القرار</w:t>
      </w:r>
      <w:r w:rsidRPr="00105629">
        <w:rPr>
          <w:rFonts w:hint="eastAsia"/>
          <w:spacing w:val="-2"/>
          <w:rtl/>
        </w:rPr>
        <w:t> </w:t>
      </w:r>
      <w:r w:rsidRPr="00105629">
        <w:rPr>
          <w:spacing w:val="-2"/>
        </w:rPr>
        <w:t>902 (WRC</w:t>
      </w:r>
      <w:r w:rsidRPr="00105629">
        <w:rPr>
          <w:spacing w:val="-2"/>
        </w:rPr>
        <w:noBreakHyphen/>
        <w:t>03)</w:t>
      </w:r>
      <w:r w:rsidRPr="00105629">
        <w:rPr>
          <w:rFonts w:hint="cs"/>
          <w:spacing w:val="-2"/>
          <w:rtl/>
        </w:rPr>
        <w:t xml:space="preserve"> واحتمال تنقيحها لتعكس التكنولوجيات والخصائص التقنية الحالية للمحطات </w:t>
      </w:r>
      <w:r w:rsidRPr="00105629">
        <w:rPr>
          <w:spacing w:val="-2"/>
        </w:rPr>
        <w:t>ESV</w:t>
      </w:r>
      <w:r w:rsidRPr="00105629">
        <w:rPr>
          <w:rFonts w:hint="cs"/>
          <w:spacing w:val="-2"/>
          <w:rtl/>
        </w:rPr>
        <w:t xml:space="preserve"> المستعملة أو المقرر استعمالها مع ضمان استمرار حماية الخدمات الأخرى التي تخصص لها نطاقات التردد </w:t>
      </w:r>
      <w:r w:rsidRPr="00105629">
        <w:rPr>
          <w:spacing w:val="-2"/>
        </w:rPr>
        <w:t>MHz 6 425-5 925</w:t>
      </w:r>
      <w:r w:rsidRPr="00105629">
        <w:rPr>
          <w:rFonts w:hint="cs"/>
          <w:spacing w:val="-2"/>
          <w:rtl/>
        </w:rPr>
        <w:t xml:space="preserve"> و</w:t>
      </w:r>
      <w:r w:rsidRPr="00105629">
        <w:rPr>
          <w:spacing w:val="-2"/>
        </w:rPr>
        <w:t>GHz 14,</w:t>
      </w:r>
      <w:bookmarkStart w:id="3" w:name="_GoBack"/>
      <w:bookmarkEnd w:id="3"/>
      <w:r w:rsidRPr="00105629">
        <w:rPr>
          <w:spacing w:val="-2"/>
        </w:rPr>
        <w:t>5</w:t>
      </w:r>
      <w:r w:rsidR="00972692">
        <w:rPr>
          <w:spacing w:val="-2"/>
        </w:rPr>
        <w:noBreakHyphen/>
        <w:t>14</w:t>
      </w:r>
      <w:r w:rsidRPr="00105629">
        <w:rPr>
          <w:rFonts w:hint="cs"/>
          <w:spacing w:val="-2"/>
          <w:rtl/>
        </w:rPr>
        <w:t>.</w:t>
      </w:r>
    </w:p>
    <w:p w:rsidR="009F6956" w:rsidRPr="00D262CF" w:rsidRDefault="00A265AE" w:rsidP="00837E6A">
      <w:pPr>
        <w:rPr>
          <w:spacing w:val="-4"/>
        </w:rPr>
      </w:pPr>
      <w:r w:rsidRPr="00D262CF">
        <w:rPr>
          <w:rFonts w:hint="cs"/>
          <w:spacing w:val="-4"/>
          <w:rtl/>
        </w:rPr>
        <w:t xml:space="preserve">بعد مناقشات مطولة، قرر المؤتمر </w:t>
      </w:r>
      <w:r w:rsidRPr="00D262CF">
        <w:rPr>
          <w:rFonts w:eastAsia="Malgun Gothic"/>
          <w:spacing w:val="-4"/>
        </w:rPr>
        <w:t xml:space="preserve">WRC-03 </w:t>
      </w:r>
      <w:r w:rsidRPr="00D262CF">
        <w:rPr>
          <w:rFonts w:hint="cs"/>
          <w:spacing w:val="-4"/>
          <w:rtl/>
        </w:rPr>
        <w:t xml:space="preserve"> الترخيص للمحطات الأرضية على متن السفن </w:t>
      </w:r>
      <w:r w:rsidR="00837E6A" w:rsidRPr="00D262CF">
        <w:rPr>
          <w:rFonts w:hint="cs"/>
          <w:spacing w:val="-4"/>
          <w:rtl/>
        </w:rPr>
        <w:t>ب</w:t>
      </w:r>
      <w:r w:rsidRPr="00D262CF">
        <w:rPr>
          <w:rFonts w:hint="cs"/>
          <w:spacing w:val="-4"/>
          <w:rtl/>
        </w:rPr>
        <w:t>العمل على الخدمة الساتلية الثابتة</w:t>
      </w:r>
      <w:r w:rsidR="003C4320" w:rsidRPr="00D262CF">
        <w:rPr>
          <w:rFonts w:hint="eastAsia"/>
          <w:spacing w:val="-4"/>
          <w:rtl/>
          <w:lang w:bidi="ar-EG"/>
        </w:rPr>
        <w:t> </w:t>
      </w:r>
      <w:r w:rsidR="003C4320" w:rsidRPr="00D262CF">
        <w:rPr>
          <w:spacing w:val="-4"/>
          <w:lang w:bidi="ar-EG"/>
        </w:rPr>
        <w:t>(ESV)</w:t>
      </w:r>
      <w:r w:rsidRPr="00D262CF">
        <w:rPr>
          <w:rFonts w:hint="cs"/>
          <w:spacing w:val="-4"/>
          <w:rtl/>
        </w:rPr>
        <w:t>.</w:t>
      </w:r>
    </w:p>
    <w:p w:rsidR="009F6956" w:rsidRPr="00EB78B0" w:rsidRDefault="00837E6A" w:rsidP="00EB78B0">
      <w:pPr>
        <w:rPr>
          <w:spacing w:val="-4"/>
          <w:rtl/>
        </w:rPr>
      </w:pPr>
      <w:r w:rsidRPr="00EB78B0">
        <w:rPr>
          <w:rFonts w:hint="cs"/>
          <w:spacing w:val="-4"/>
          <w:rtl/>
        </w:rPr>
        <w:t xml:space="preserve">وعليه اعتمد المؤتمر </w:t>
      </w:r>
      <w:r w:rsidRPr="00EB78B0">
        <w:rPr>
          <w:rFonts w:eastAsia="Malgun Gothic"/>
          <w:spacing w:val="-4"/>
        </w:rPr>
        <w:t xml:space="preserve">WRC-03 </w:t>
      </w:r>
      <w:r w:rsidRPr="00EB78B0">
        <w:rPr>
          <w:rFonts w:hint="cs"/>
          <w:spacing w:val="-4"/>
          <w:rtl/>
        </w:rPr>
        <w:t xml:space="preserve"> القرار </w:t>
      </w:r>
      <w:r w:rsidRPr="00EB78B0">
        <w:rPr>
          <w:rFonts w:eastAsia="Malgun Gothic"/>
          <w:spacing w:val="-4"/>
        </w:rPr>
        <w:t>(WRC-03)</w:t>
      </w:r>
      <w:r w:rsidRPr="00EB78B0">
        <w:rPr>
          <w:rFonts w:eastAsia="Malgun Gothic" w:hint="cs"/>
          <w:spacing w:val="-4"/>
          <w:rtl/>
        </w:rPr>
        <w:t xml:space="preserve"> </w:t>
      </w:r>
      <w:r w:rsidRPr="00EB78B0">
        <w:rPr>
          <w:rFonts w:eastAsia="Malgun Gothic"/>
          <w:spacing w:val="-4"/>
        </w:rPr>
        <w:t>902</w:t>
      </w:r>
      <w:r w:rsidRPr="00EB78B0">
        <w:rPr>
          <w:rFonts w:eastAsia="Malgun Gothic" w:hint="cs"/>
          <w:spacing w:val="-4"/>
          <w:rtl/>
        </w:rPr>
        <w:t xml:space="preserve"> وقدم الحواشي </w:t>
      </w:r>
      <w:r w:rsidR="00EB78B0" w:rsidRPr="00EB78B0">
        <w:rPr>
          <w:rFonts w:eastAsia="Malgun Gothic"/>
          <w:spacing w:val="-4"/>
        </w:rPr>
        <w:t>457A</w:t>
      </w:r>
      <w:r w:rsidRPr="00EB78B0">
        <w:rPr>
          <w:rFonts w:eastAsia="Malgun Gothic"/>
          <w:spacing w:val="-4"/>
        </w:rPr>
        <w:t>.5</w:t>
      </w:r>
      <w:r w:rsidRPr="00EB78B0">
        <w:rPr>
          <w:rFonts w:eastAsia="Malgun Gothic" w:hint="cs"/>
          <w:spacing w:val="-4"/>
          <w:rtl/>
        </w:rPr>
        <w:t xml:space="preserve"> و</w:t>
      </w:r>
      <w:r w:rsidR="00EB78B0" w:rsidRPr="00EB78B0">
        <w:rPr>
          <w:rFonts w:eastAsia="Malgun Gothic"/>
          <w:spacing w:val="-4"/>
        </w:rPr>
        <w:t>457B</w:t>
      </w:r>
      <w:r w:rsidRPr="00EB78B0">
        <w:rPr>
          <w:rFonts w:eastAsia="Malgun Gothic"/>
          <w:spacing w:val="-4"/>
        </w:rPr>
        <w:t>.5</w:t>
      </w:r>
      <w:r w:rsidRPr="00EB78B0">
        <w:rPr>
          <w:rFonts w:eastAsia="Malgun Gothic" w:hint="cs"/>
          <w:spacing w:val="-4"/>
          <w:rtl/>
        </w:rPr>
        <w:t xml:space="preserve"> و</w:t>
      </w:r>
      <w:r w:rsidR="00EB78B0" w:rsidRPr="00EB78B0">
        <w:rPr>
          <w:rFonts w:eastAsia="Malgun Gothic"/>
          <w:spacing w:val="-4"/>
        </w:rPr>
        <w:t>506A</w:t>
      </w:r>
      <w:r w:rsidRPr="00EB78B0">
        <w:rPr>
          <w:rFonts w:eastAsia="Malgun Gothic"/>
          <w:spacing w:val="-4"/>
        </w:rPr>
        <w:t>.5</w:t>
      </w:r>
      <w:r w:rsidRPr="00EB78B0">
        <w:rPr>
          <w:rFonts w:eastAsia="Malgun Gothic" w:hint="cs"/>
          <w:spacing w:val="-4"/>
          <w:rtl/>
        </w:rPr>
        <w:t xml:space="preserve"> و</w:t>
      </w:r>
      <w:r w:rsidR="00EB78B0" w:rsidRPr="00EB78B0">
        <w:rPr>
          <w:rFonts w:eastAsia="Malgun Gothic"/>
          <w:spacing w:val="-4"/>
        </w:rPr>
        <w:t>506B</w:t>
      </w:r>
      <w:r w:rsidRPr="00EB78B0">
        <w:rPr>
          <w:rFonts w:eastAsia="Malgun Gothic"/>
          <w:spacing w:val="-4"/>
        </w:rPr>
        <w:t>.5</w:t>
      </w:r>
      <w:r w:rsidRPr="00EB78B0">
        <w:rPr>
          <w:rFonts w:eastAsia="Malgun Gothic" w:hint="cs"/>
          <w:spacing w:val="-4"/>
          <w:rtl/>
        </w:rPr>
        <w:t xml:space="preserve"> في</w:t>
      </w:r>
      <w:r w:rsidR="00EB78B0" w:rsidRPr="00EB78B0">
        <w:rPr>
          <w:rFonts w:eastAsia="Malgun Gothic" w:hint="eastAsia"/>
          <w:spacing w:val="-4"/>
          <w:rtl/>
        </w:rPr>
        <w:t> </w:t>
      </w:r>
      <w:r w:rsidRPr="00EB78B0">
        <w:rPr>
          <w:rFonts w:eastAsia="Malgun Gothic" w:hint="cs"/>
          <w:spacing w:val="-4"/>
          <w:rtl/>
        </w:rPr>
        <w:t>لوائح</w:t>
      </w:r>
      <w:r w:rsidR="00EB78B0" w:rsidRPr="00EB78B0">
        <w:rPr>
          <w:rFonts w:eastAsia="Malgun Gothic" w:hint="eastAsia"/>
          <w:spacing w:val="-4"/>
          <w:rtl/>
        </w:rPr>
        <w:t> </w:t>
      </w:r>
      <w:r w:rsidRPr="00EB78B0">
        <w:rPr>
          <w:rFonts w:eastAsia="Malgun Gothic" w:hint="cs"/>
          <w:spacing w:val="-4"/>
          <w:rtl/>
        </w:rPr>
        <w:t>الراديو.</w:t>
      </w:r>
    </w:p>
    <w:p w:rsidR="009F6956" w:rsidRDefault="009F6956" w:rsidP="00543333">
      <w:pPr>
        <w:pStyle w:val="Headingb"/>
        <w:keepNext w:val="0"/>
        <w:rPr>
          <w:rtl/>
        </w:rPr>
      </w:pPr>
      <w:r>
        <w:rPr>
          <w:rFonts w:hint="cs"/>
          <w:rtl/>
        </w:rPr>
        <w:t>المقترح</w:t>
      </w:r>
    </w:p>
    <w:p w:rsidR="00D0502C" w:rsidRDefault="00F42F75" w:rsidP="00D262CF">
      <w:pPr>
        <w:pStyle w:val="Proposal"/>
      </w:pPr>
      <w:r>
        <w:lastRenderedPageBreak/>
        <w:tab/>
        <w:t>CTI/68A6/1</w:t>
      </w:r>
    </w:p>
    <w:p w:rsidR="009F6956" w:rsidRDefault="00A265AE" w:rsidP="00D262CF">
      <w:pPr>
        <w:keepNext/>
        <w:rPr>
          <w:rtl/>
          <w:lang w:bidi="ar-EG"/>
        </w:rPr>
      </w:pPr>
      <w:r>
        <w:rPr>
          <w:rFonts w:hint="cs"/>
          <w:rtl/>
        </w:rPr>
        <w:t>تؤيد</w:t>
      </w:r>
      <w:r w:rsidR="00837E6A">
        <w:rPr>
          <w:rFonts w:hint="cs"/>
          <w:rtl/>
        </w:rPr>
        <w:t xml:space="preserve"> كوت ديفوار الطريقة </w:t>
      </w:r>
      <w:r w:rsidR="00837E6A">
        <w:t>B</w:t>
      </w:r>
      <w:r w:rsidR="00837E6A">
        <w:rPr>
          <w:rFonts w:hint="cs"/>
          <w:rtl/>
        </w:rPr>
        <w:t xml:space="preserve"> الواردة في تقرير الاجتماع التحضيري للمؤتمر، التي تتمثل في</w:t>
      </w:r>
      <w:r w:rsidR="00EB78B0">
        <w:rPr>
          <w:rFonts w:hint="eastAsia"/>
          <w:rtl/>
        </w:rPr>
        <w:t> </w:t>
      </w:r>
      <w:r w:rsidR="00837E6A">
        <w:rPr>
          <w:rFonts w:hint="cs"/>
          <w:rtl/>
        </w:rPr>
        <w:t xml:space="preserve">زيادة مسافة الحماية إلى </w:t>
      </w:r>
      <w:r w:rsidR="00EB78B0">
        <w:t>km </w:t>
      </w:r>
      <w:r w:rsidR="00837E6A">
        <w:t>345</w:t>
      </w:r>
      <w:r w:rsidR="00837E6A">
        <w:rPr>
          <w:rFonts w:hint="cs"/>
          <w:rtl/>
        </w:rPr>
        <w:t xml:space="preserve"> على نطاق التردد</w:t>
      </w:r>
      <w:r w:rsidR="00EB78B0">
        <w:rPr>
          <w:rFonts w:hint="eastAsia"/>
          <w:rtl/>
        </w:rPr>
        <w:t> </w:t>
      </w:r>
      <w:r w:rsidR="00837E6A">
        <w:t>C</w:t>
      </w:r>
      <w:r w:rsidR="00837E6A">
        <w:rPr>
          <w:rFonts w:hint="cs"/>
          <w:rtl/>
        </w:rPr>
        <w:t xml:space="preserve"> والإبقاء على مسافة </w:t>
      </w:r>
      <w:r w:rsidR="00EB78B0">
        <w:t>km </w:t>
      </w:r>
      <w:r w:rsidR="00837E6A">
        <w:t>125</w:t>
      </w:r>
      <w:r w:rsidR="00837E6A">
        <w:rPr>
          <w:rFonts w:hint="cs"/>
          <w:rtl/>
        </w:rPr>
        <w:t xml:space="preserve"> في نطاق التردد</w:t>
      </w:r>
      <w:r w:rsidR="00EB78B0">
        <w:rPr>
          <w:rFonts w:hint="eastAsia"/>
          <w:rtl/>
        </w:rPr>
        <w:t> </w:t>
      </w:r>
      <w:r w:rsidR="00837E6A">
        <w:t>Ku</w:t>
      </w:r>
      <w:r w:rsidR="00837E6A">
        <w:rPr>
          <w:rFonts w:hint="cs"/>
          <w:rtl/>
        </w:rPr>
        <w:t xml:space="preserve"> </w:t>
      </w:r>
      <w:r w:rsidR="00EB78B0">
        <w:t>(</w:t>
      </w:r>
      <w:r w:rsidR="00837E6A">
        <w:t>GHz</w:t>
      </w:r>
      <w:r w:rsidR="00EB78B0">
        <w:t> 14,5</w:t>
      </w:r>
      <w:r w:rsidR="00EB78B0">
        <w:noBreakHyphen/>
        <w:t>14,0)</w:t>
      </w:r>
      <w:r w:rsidR="00EB78B0">
        <w:rPr>
          <w:rFonts w:hint="cs"/>
          <w:rtl/>
          <w:lang w:bidi="ar-EG"/>
        </w:rPr>
        <w:t>.</w:t>
      </w:r>
    </w:p>
    <w:p w:rsidR="00D0502C" w:rsidRDefault="00F42F75" w:rsidP="00D262CF">
      <w:pPr>
        <w:pStyle w:val="Reasons"/>
        <w:keepNext/>
        <w:rPr>
          <w:b w:val="0"/>
          <w:bCs w:val="0"/>
          <w:rtl/>
          <w:lang w:bidi="ar"/>
        </w:rPr>
      </w:pPr>
      <w:r>
        <w:rPr>
          <w:rtl/>
        </w:rPr>
        <w:t>الأسباب:</w:t>
      </w:r>
      <w:r>
        <w:tab/>
      </w:r>
      <w:r w:rsidR="009F6956" w:rsidRPr="009F6956">
        <w:rPr>
          <w:rFonts w:hint="cs"/>
          <w:b w:val="0"/>
          <w:bCs w:val="0"/>
          <w:rtl/>
          <w:lang w:bidi="ar"/>
        </w:rPr>
        <w:t xml:space="preserve">بزيادة المسافة الوقائية قبالة الشاطئ في النطاق </w:t>
      </w:r>
      <w:r w:rsidR="009F6956" w:rsidRPr="009F6956">
        <w:rPr>
          <w:rFonts w:hint="cs"/>
          <w:b w:val="0"/>
          <w:bCs w:val="0"/>
        </w:rPr>
        <w:t>C</w:t>
      </w:r>
      <w:r w:rsidR="009F6956" w:rsidRPr="009F6956">
        <w:rPr>
          <w:rFonts w:hint="cs"/>
          <w:b w:val="0"/>
          <w:bCs w:val="0"/>
          <w:rtl/>
        </w:rPr>
        <w:t xml:space="preserve"> </w:t>
      </w:r>
      <w:r w:rsidR="009F6956" w:rsidRPr="009F6956">
        <w:rPr>
          <w:rFonts w:hint="cs"/>
          <w:b w:val="0"/>
          <w:bCs w:val="0"/>
          <w:rtl/>
          <w:lang w:bidi="ar"/>
        </w:rPr>
        <w:t xml:space="preserve">إلى القيمة المذكورة أعلاه واستخدام </w:t>
      </w:r>
      <w:r w:rsidR="009F6956" w:rsidRPr="009F6956">
        <w:rPr>
          <w:b w:val="0"/>
          <w:bCs w:val="0"/>
          <w:rtl/>
        </w:rPr>
        <w:t>المحطات الأرضية</w:t>
      </w:r>
      <w:r w:rsidR="009F6956" w:rsidRPr="009F6956">
        <w:rPr>
          <w:rFonts w:hint="cs"/>
          <w:b w:val="0"/>
          <w:bCs w:val="0"/>
          <w:rtl/>
          <w:lang w:bidi="ar"/>
        </w:rPr>
        <w:t xml:space="preserve"> التشغيلية القديمة والجديدة </w:t>
      </w:r>
      <w:r w:rsidR="009F6956" w:rsidRPr="009F6956">
        <w:rPr>
          <w:b w:val="0"/>
          <w:bCs w:val="0"/>
          <w:rtl/>
        </w:rPr>
        <w:t>المقامة على متن السفن</w:t>
      </w:r>
      <w:r w:rsidR="009F6956" w:rsidRPr="009F6956">
        <w:rPr>
          <w:rFonts w:hint="cs"/>
          <w:b w:val="0"/>
          <w:bCs w:val="0"/>
          <w:rtl/>
        </w:rPr>
        <w:t xml:space="preserve"> </w:t>
      </w:r>
      <w:r w:rsidR="009F6956" w:rsidRPr="009F6956">
        <w:rPr>
          <w:rFonts w:hint="cs"/>
          <w:b w:val="0"/>
          <w:bCs w:val="0"/>
          <w:rtl/>
          <w:lang w:bidi="ar"/>
        </w:rPr>
        <w:t>في وقت واحد، ستحظى الخدمة الثابتة بحماية أفضل دون أي</w:t>
      </w:r>
      <w:r w:rsidR="00213D60">
        <w:rPr>
          <w:rFonts w:hint="eastAsia"/>
          <w:b w:val="0"/>
          <w:bCs w:val="0"/>
          <w:rtl/>
          <w:lang w:bidi="ar"/>
        </w:rPr>
        <w:t> </w:t>
      </w:r>
      <w:r w:rsidR="009F6956" w:rsidRPr="009F6956">
        <w:rPr>
          <w:rFonts w:hint="cs"/>
          <w:b w:val="0"/>
          <w:bCs w:val="0"/>
          <w:rtl/>
          <w:lang w:bidi="ar"/>
        </w:rPr>
        <w:t>تداخل.</w:t>
      </w:r>
    </w:p>
    <w:p w:rsidR="00F42F75" w:rsidRPr="00F42F75" w:rsidRDefault="0046080B" w:rsidP="00F42F7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F42F75" w:rsidRPr="00F42F75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9F6956">
    <w:pPr>
      <w:pStyle w:val="Footer"/>
      <w:tabs>
        <w:tab w:val="clear" w:pos="5812"/>
        <w:tab w:val="left" w:pos="6379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673EFC">
      <w:rPr>
        <w:noProof/>
        <w:lang w:val="es-ES"/>
      </w:rPr>
      <w:t>P:\ARA\ITU-R\CONF-R\CMR15\000\068ADD06A.docx</w:t>
    </w:r>
    <w:r w:rsidRPr="00CB4300">
      <w:fldChar w:fldCharType="end"/>
    </w:r>
    <w:r w:rsidRPr="00CB4300">
      <w:rPr>
        <w:lang w:val="es-ES"/>
      </w:rPr>
      <w:t xml:space="preserve">  (</w:t>
    </w:r>
    <w:r w:rsidR="009F6956">
      <w:rPr>
        <w:lang w:val="es-ES"/>
      </w:rPr>
      <w:t>388428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673EFC">
      <w:rPr>
        <w:noProof/>
      </w:rPr>
      <w:t>01.11.15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673EFC">
      <w:rPr>
        <w:noProof/>
      </w:rPr>
      <w:t>01.11.15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9F6956">
    <w:pPr>
      <w:pStyle w:val="Footer"/>
      <w:tabs>
        <w:tab w:val="clear" w:pos="5812"/>
        <w:tab w:val="left" w:pos="6379"/>
      </w:tabs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673EFC">
      <w:rPr>
        <w:noProof/>
        <w:lang w:val="es-ES"/>
      </w:rPr>
      <w:t>P:\ARA\ITU-R\CONF-R\CMR15\000\068ADD06A.docx</w:t>
    </w:r>
    <w:r>
      <w:fldChar w:fldCharType="end"/>
    </w:r>
    <w:r w:rsidRPr="00CB4300">
      <w:rPr>
        <w:lang w:val="es-ES"/>
      </w:rPr>
      <w:t xml:space="preserve">   (</w:t>
    </w:r>
    <w:r w:rsidR="009F6956">
      <w:rPr>
        <w:lang w:val="es-ES"/>
      </w:rPr>
      <w:t>388428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673EFC">
      <w:rPr>
        <w:noProof/>
      </w:rPr>
      <w:t>01.11.15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673EFC">
      <w:rPr>
        <w:noProof/>
      </w:rPr>
      <w:t>01.11.15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673EFC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68(Add.6)-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05629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13D60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C4320"/>
    <w:rsid w:val="003E02EF"/>
    <w:rsid w:val="003E1608"/>
    <w:rsid w:val="003E1D90"/>
    <w:rsid w:val="00400CD4"/>
    <w:rsid w:val="004147B9"/>
    <w:rsid w:val="00422C04"/>
    <w:rsid w:val="00426144"/>
    <w:rsid w:val="0046080B"/>
    <w:rsid w:val="00461FA7"/>
    <w:rsid w:val="00470CBD"/>
    <w:rsid w:val="0047407D"/>
    <w:rsid w:val="004860D2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3559C"/>
    <w:rsid w:val="00543333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73EFC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350C0"/>
    <w:rsid w:val="00837E6A"/>
    <w:rsid w:val="008455BE"/>
    <w:rsid w:val="0085569D"/>
    <w:rsid w:val="00855B59"/>
    <w:rsid w:val="0085774F"/>
    <w:rsid w:val="008601F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692"/>
    <w:rsid w:val="00972CE0"/>
    <w:rsid w:val="009A3D30"/>
    <w:rsid w:val="009B0BD8"/>
    <w:rsid w:val="009D6348"/>
    <w:rsid w:val="009E613F"/>
    <w:rsid w:val="009F042B"/>
    <w:rsid w:val="009F6956"/>
    <w:rsid w:val="009F7BA0"/>
    <w:rsid w:val="00A03FD6"/>
    <w:rsid w:val="00A116A8"/>
    <w:rsid w:val="00A22AE9"/>
    <w:rsid w:val="00A265AE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0502C"/>
    <w:rsid w:val="00D25120"/>
    <w:rsid w:val="00D262CF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B78B0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42F75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0AE7F046-3510-4145-ADF2-C4DCB31F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486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R15-WRC15-C-0068!A6!MSW-A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452A0-1C51-4048-9887-2695E9BD2F61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550A2F-914F-40CA-A530-819B6538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261</Words>
  <Characters>1432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R15-WRC15-C-0068!A6!MSW-A</vt:lpstr>
    </vt:vector>
  </TitlesOfParts>
  <Manager>General Secretariat - Pool</Manager>
  <Company>International Telecommunication Union (ITU)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R15-WRC15-C-0068!A6!MSW-A</dc:title>
  <dc:creator>Documents Proposals Manager (DPM)</dc:creator>
  <cp:keywords>DPM_v5.2015.10.271_prod</cp:keywords>
  <cp:lastModifiedBy>Awad, Samy</cp:lastModifiedBy>
  <cp:revision>14</cp:revision>
  <cp:lastPrinted>2015-11-01T00:24:00Z</cp:lastPrinted>
  <dcterms:created xsi:type="dcterms:W3CDTF">2015-10-31T22:46:00Z</dcterms:created>
  <dcterms:modified xsi:type="dcterms:W3CDTF">2015-11-01T00:24:00Z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