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E430BC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bCs/>
                <w:sz w:val="19"/>
                <w:szCs w:val="30"/>
                <w:rtl/>
              </w:rPr>
            </w:pPr>
            <w:r w:rsidRPr="00E430BC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E430BC" w:rsidRDefault="003E1608" w:rsidP="00E430BC">
            <w:pPr>
              <w:pStyle w:val="Adress"/>
              <w:framePr w:hSpace="0" w:wrap="auto" w:xAlign="left" w:yAlign="inline"/>
              <w:rPr>
                <w:rtl/>
              </w:rPr>
            </w:pPr>
            <w:r w:rsidRPr="00E430BC">
              <w:rPr>
                <w:rtl/>
              </w:rPr>
              <w:t xml:space="preserve">الإضافة </w:t>
            </w:r>
            <w:r w:rsidRPr="00E430BC">
              <w:t>2</w:t>
            </w:r>
            <w:r w:rsidRPr="00E430BC">
              <w:br/>
            </w:r>
            <w:r w:rsidRPr="00E430BC">
              <w:rPr>
                <w:rtl/>
              </w:rPr>
              <w:t xml:space="preserve">للوثيقة </w:t>
            </w:r>
            <w:r w:rsidR="00E430BC" w:rsidRPr="00E430BC">
              <w:t>68-A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E430B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E430B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E430BC">
              <w:rPr>
                <w:rFonts w:eastAsia="SimSun"/>
              </w:rPr>
              <w:t>16</w:t>
            </w:r>
            <w:r w:rsidRPr="00E430BC">
              <w:rPr>
                <w:rFonts w:eastAsia="SimSun"/>
                <w:rtl/>
              </w:rPr>
              <w:t xml:space="preserve"> أكتوبر </w:t>
            </w:r>
            <w:r w:rsidRPr="00E430BC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E430B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430B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E430BC">
              <w:rPr>
                <w:rFonts w:eastAsia="SimSun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E430BC" w:rsidP="00D44350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C92C05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C92C05" w:rsidRPr="00C92C05">
              <w:rPr>
                <w:lang w:val="en-US"/>
              </w:rPr>
              <w:t>2.1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Default="00E4015D" w:rsidP="00445CD8">
      <w:pPr>
        <w:pStyle w:val="Normalaftertitle"/>
        <w:rPr>
          <w:rFonts w:eastAsia="SimSun"/>
          <w:lang w:bidi="ar-SY"/>
        </w:rPr>
      </w:pPr>
      <w:r w:rsidRPr="00431196">
        <w:rPr>
          <w:rFonts w:eastAsia="SimSun"/>
        </w:rPr>
        <w:t>2.1</w:t>
      </w:r>
      <w:r w:rsidRPr="00431196">
        <w:rPr>
          <w:rFonts w:eastAsia="SimSun" w:hint="cs"/>
          <w:rtl/>
        </w:rPr>
        <w:tab/>
        <w:t>تفحص نتائج دراسات قطاع الاتصالات الراديوية،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232 </w:t>
      </w:r>
      <w:r w:rsidRPr="00431196">
        <w:rPr>
          <w:rFonts w:eastAsia="SimSun"/>
          <w:b/>
          <w:bCs/>
          <w:lang w:bidi="ar-SY"/>
        </w:rPr>
        <w:t>(WRC</w:t>
      </w:r>
      <w:r w:rsidRPr="00431196">
        <w:rPr>
          <w:rFonts w:eastAsia="SimSun"/>
          <w:b/>
          <w:bCs/>
          <w:lang w:bidi="ar-SY"/>
        </w:rPr>
        <w:noBreakHyphen/>
        <w:t>12)</w:t>
      </w:r>
      <w:r w:rsidRPr="00431196">
        <w:rPr>
          <w:rFonts w:eastAsia="SimSun" w:hint="cs"/>
          <w:rtl/>
        </w:rPr>
        <w:t xml:space="preserve"> بشأن استعمال الخدمة المتنقلة باستثناء المتنقلة للطيران لنطاق التردد </w:t>
      </w:r>
      <w:r w:rsidRPr="00431196">
        <w:rPr>
          <w:rFonts w:eastAsia="SimSun"/>
        </w:rPr>
        <w:t>MHz 790</w:t>
      </w:r>
      <w:r w:rsidRPr="00431196">
        <w:rPr>
          <w:rFonts w:eastAsia="SimSun"/>
        </w:rPr>
        <w:noBreakHyphen/>
        <w:t>694</w:t>
      </w:r>
      <w:r w:rsidRPr="00431196">
        <w:rPr>
          <w:rFonts w:eastAsia="SimSun" w:hint="cs"/>
          <w:rtl/>
          <w:lang w:bidi="ar-SY"/>
        </w:rPr>
        <w:t xml:space="preserve"> في الإقليم </w:t>
      </w:r>
      <w:r w:rsidRPr="00431196">
        <w:rPr>
          <w:rFonts w:eastAsia="SimSun"/>
          <w:lang w:bidi="ar-SY"/>
        </w:rPr>
        <w:t>1</w:t>
      </w:r>
      <w:r w:rsidRPr="00431196">
        <w:rPr>
          <w:rFonts w:eastAsia="SimSun" w:hint="cs"/>
          <w:rtl/>
          <w:lang w:bidi="ar-SY"/>
        </w:rPr>
        <w:t>، واتخاذ التدابير المناسبة؛</w:t>
      </w:r>
    </w:p>
    <w:p w:rsidR="00C060B4" w:rsidRPr="00431196" w:rsidRDefault="00C060B4" w:rsidP="0048215B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القرار </w:t>
      </w:r>
      <w:r w:rsidRPr="00C060B4">
        <w:rPr>
          <w:rFonts w:eastAsia="SimSun"/>
        </w:rPr>
        <w:t>232 </w:t>
      </w:r>
      <w:r w:rsidRPr="00C060B4">
        <w:rPr>
          <w:rFonts w:eastAsia="SimSun"/>
          <w:lang w:bidi="ar-SY"/>
        </w:rPr>
        <w:t>(WRC</w:t>
      </w:r>
      <w:r w:rsidRPr="00C060B4">
        <w:rPr>
          <w:rFonts w:eastAsia="SimSun"/>
          <w:lang w:bidi="ar-SY"/>
        </w:rPr>
        <w:noBreakHyphen/>
        <w:t>12)</w:t>
      </w:r>
      <w:r>
        <w:rPr>
          <w:rFonts w:eastAsia="SimSun" w:hint="cs"/>
          <w:b/>
          <w:bCs/>
          <w:rtl/>
          <w:lang w:bidi="ar-EG"/>
        </w:rPr>
        <w:t xml:space="preserve">: </w:t>
      </w:r>
      <w:r>
        <w:rPr>
          <w:color w:val="000000"/>
          <w:rtl/>
        </w:rPr>
        <w:t>استعمال الخدمة المتنقلة باستثناء المتنقلة للطيران للنطاق</w:t>
      </w:r>
      <w:r>
        <w:rPr>
          <w:color w:val="000000"/>
        </w:rPr>
        <w:t xml:space="preserve"> MHz 790-694 </w:t>
      </w:r>
      <w:r>
        <w:rPr>
          <w:color w:val="000000"/>
          <w:rtl/>
        </w:rPr>
        <w:t>في الإقليم</w:t>
      </w:r>
      <w:r w:rsidR="0048215B">
        <w:rPr>
          <w:rFonts w:hint="cs"/>
          <w:color w:val="000000"/>
          <w:rtl/>
        </w:rPr>
        <w:t> </w:t>
      </w:r>
      <w:r>
        <w:rPr>
          <w:color w:val="000000"/>
        </w:rPr>
        <w:t>1</w:t>
      </w:r>
      <w:r>
        <w:rPr>
          <w:color w:val="000000"/>
          <w:rtl/>
        </w:rPr>
        <w:t xml:space="preserve"> والدراسات ذات</w:t>
      </w:r>
      <w:r w:rsidR="0048215B">
        <w:rPr>
          <w:rFonts w:hint="cs"/>
          <w:color w:val="000000"/>
          <w:rtl/>
        </w:rPr>
        <w:t> </w:t>
      </w:r>
      <w:r>
        <w:rPr>
          <w:color w:val="000000"/>
          <w:rtl/>
        </w:rPr>
        <w:t>الصلة</w:t>
      </w:r>
      <w:r>
        <w:rPr>
          <w:rFonts w:hint="cs"/>
          <w:color w:val="000000"/>
          <w:rtl/>
        </w:rPr>
        <w:t>.</w:t>
      </w:r>
    </w:p>
    <w:p w:rsidR="00F16602" w:rsidRDefault="00B91113" w:rsidP="00B91113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B91113" w:rsidRDefault="00C060B4" w:rsidP="005E396E">
      <w:pPr>
        <w:rPr>
          <w:color w:val="000000"/>
          <w:rtl/>
          <w:lang w:bidi="ar-EG"/>
        </w:rPr>
      </w:pPr>
      <w:r>
        <w:rPr>
          <w:rFonts w:hint="cs"/>
          <w:rtl/>
        </w:rPr>
        <w:t xml:space="preserve">ينص القرار </w:t>
      </w:r>
      <w:r>
        <w:t>232</w:t>
      </w:r>
      <w:r w:rsidR="001442EF">
        <w:rPr>
          <w:rFonts w:hint="cs"/>
          <w:rtl/>
        </w:rPr>
        <w:t>،</w:t>
      </w:r>
      <w:r>
        <w:rPr>
          <w:rFonts w:hint="cs"/>
          <w:rtl/>
          <w:lang w:bidi="ar-EG"/>
        </w:rPr>
        <w:t xml:space="preserve"> الذي اعتمده المؤتمر </w:t>
      </w:r>
      <w:r>
        <w:rPr>
          <w:lang w:bidi="ar-EG"/>
        </w:rPr>
        <w:t>WRC-12</w:t>
      </w:r>
      <w:r w:rsidR="001442EF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على توزيع نطاق التردد </w:t>
      </w:r>
      <w:r>
        <w:rPr>
          <w:color w:val="000000"/>
        </w:rPr>
        <w:t>MHz 790-694</w:t>
      </w:r>
      <w:r w:rsidR="001442EF">
        <w:rPr>
          <w:rFonts w:hint="cs"/>
          <w:color w:val="000000"/>
          <w:rtl/>
        </w:rPr>
        <w:t xml:space="preserve"> في الإ</w:t>
      </w:r>
      <w:r>
        <w:rPr>
          <w:rFonts w:hint="cs"/>
          <w:color w:val="000000"/>
          <w:rtl/>
        </w:rPr>
        <w:t xml:space="preserve">قليم </w:t>
      </w:r>
      <w:r w:rsidR="001442EF">
        <w:rPr>
          <w:color w:val="000000"/>
        </w:rPr>
        <w:t>1</w:t>
      </w:r>
      <w:r w:rsidR="001442EF">
        <w:rPr>
          <w:rFonts w:hint="cs"/>
          <w:color w:val="000000"/>
          <w:rtl/>
          <w:lang w:bidi="ar-EG"/>
        </w:rPr>
        <w:t xml:space="preserve"> للخدمة المتنقلة باستثناء الخدمة المتنقلة للطيران. وهو يدعو قطاع الاتصالات الراديوية إلى تحديد الشروط التقنية والتنظيمية التي تنطبق على هذا التوزيع فيما</w:t>
      </w:r>
      <w:r w:rsidR="005E396E">
        <w:rPr>
          <w:rFonts w:hint="eastAsia"/>
          <w:color w:val="000000"/>
          <w:rtl/>
          <w:lang w:bidi="ar-EG"/>
        </w:rPr>
        <w:t> </w:t>
      </w:r>
      <w:r w:rsidR="001442EF">
        <w:rPr>
          <w:rFonts w:hint="cs"/>
          <w:color w:val="000000"/>
          <w:rtl/>
          <w:lang w:bidi="ar-EG"/>
        </w:rPr>
        <w:t>يخص الخدمات القائمة في نطاق التردد هذا، بما في ذلك النطاقات المجاورة.</w:t>
      </w:r>
    </w:p>
    <w:p w:rsidR="00B91113" w:rsidRDefault="001442EF" w:rsidP="005E396E">
      <w:pPr>
        <w:rPr>
          <w:rtl/>
          <w:lang w:bidi="ar-EG"/>
        </w:rPr>
      </w:pPr>
      <w:r>
        <w:rPr>
          <w:rFonts w:hint="cs"/>
          <w:rtl/>
          <w:lang w:bidi="ar-EG"/>
        </w:rPr>
        <w:t>وبعد أن نظرت كوت ديفوار في الدراسات التي أجراها قطاع الاتصالات الراديوية، توصلت إلى رأي بشأن المسألة</w:t>
      </w:r>
      <w:r w:rsidR="005E396E">
        <w:rPr>
          <w:rFonts w:hint="eastAsia"/>
          <w:rtl/>
          <w:lang w:bidi="ar-EG"/>
        </w:rPr>
        <w:t> </w:t>
      </w:r>
      <w:r>
        <w:rPr>
          <w:lang w:bidi="ar-EG"/>
        </w:rPr>
        <w:t>B</w:t>
      </w:r>
      <w:r>
        <w:rPr>
          <w:rFonts w:hint="cs"/>
          <w:rtl/>
          <w:lang w:bidi="ar-EG"/>
        </w:rPr>
        <w:t xml:space="preserve">: </w:t>
      </w:r>
      <w:r w:rsidR="00B91113" w:rsidRPr="000A044C">
        <w:rPr>
          <w:rFonts w:hint="cs"/>
          <w:rtl/>
        </w:rPr>
        <w:t>الشروط التقنية والتنظيمية المنطبقة على الخدمة المتنقلة فيما يتعلق بالتوافق بين الخدمة المتنقلة والخدمة الإذاعية</w:t>
      </w:r>
      <w:r>
        <w:rPr>
          <w:rFonts w:hint="cs"/>
          <w:rtl/>
        </w:rPr>
        <w:t>.</w:t>
      </w:r>
    </w:p>
    <w:p w:rsidR="00B91113" w:rsidRDefault="00B91113" w:rsidP="00B91113">
      <w:pPr>
        <w:pStyle w:val="Headingb"/>
        <w:rPr>
          <w:rtl/>
        </w:rPr>
      </w:pPr>
      <w:r>
        <w:rPr>
          <w:rFonts w:hint="cs"/>
          <w:rtl/>
        </w:rPr>
        <w:t>معلومات أساسية</w:t>
      </w:r>
    </w:p>
    <w:p w:rsidR="00B91113" w:rsidRDefault="001442EF" w:rsidP="005E396E">
      <w:pPr>
        <w:rPr>
          <w:rtl/>
          <w:lang w:bidi="ar-EG"/>
        </w:rPr>
      </w:pPr>
      <w:r>
        <w:rPr>
          <w:rFonts w:hint="cs"/>
          <w:rtl/>
        </w:rPr>
        <w:t xml:space="preserve">يتضمن الاتفاق </w:t>
      </w:r>
      <w:r w:rsidR="007068BC">
        <w:t>GE06</w:t>
      </w:r>
      <w:r w:rsidR="007068BC">
        <w:rPr>
          <w:rFonts w:hint="cs"/>
          <w:rtl/>
          <w:lang w:bidi="ar-EG"/>
        </w:rPr>
        <w:t xml:space="preserve"> الأحكام التقنية والتنظيمية الضرورية لضمان حماية الخدمة الإذاعية. وبهذا الصدد، يدعو قطاع الاتصالات الراديوية الدول الأعضاء </w:t>
      </w:r>
      <w:r w:rsidR="005E396E">
        <w:rPr>
          <w:rFonts w:hint="cs"/>
          <w:rtl/>
          <w:lang w:bidi="ar-EG"/>
        </w:rPr>
        <w:t>إلى مراعاة</w:t>
      </w:r>
      <w:r w:rsidR="007068BC">
        <w:rPr>
          <w:rFonts w:hint="cs"/>
          <w:rtl/>
          <w:lang w:bidi="ar-EG"/>
        </w:rPr>
        <w:t xml:space="preserve"> أحكام الاتفاق </w:t>
      </w:r>
      <w:r w:rsidR="007068BC">
        <w:rPr>
          <w:lang w:bidi="ar-EG"/>
        </w:rPr>
        <w:t>GE06</w:t>
      </w:r>
      <w:r w:rsidR="007068BC">
        <w:rPr>
          <w:rFonts w:hint="cs"/>
          <w:rtl/>
          <w:lang w:bidi="ar-EG"/>
        </w:rPr>
        <w:t xml:space="preserve"> والنظر في ما إذا كان ينبغي له أن يعتمد أحكاماً جديدة لدعمه.</w:t>
      </w:r>
    </w:p>
    <w:p w:rsidR="002919E1" w:rsidRPr="002919E1" w:rsidRDefault="00B91113" w:rsidP="004B2C1B">
      <w:pPr>
        <w:pStyle w:val="Headingb"/>
        <w:rPr>
          <w:noProof/>
          <w:rtl/>
        </w:rPr>
      </w:pPr>
      <w:r>
        <w:rPr>
          <w:rFonts w:hint="cs"/>
          <w:rtl/>
        </w:rPr>
        <w:lastRenderedPageBreak/>
        <w:t>المقترح</w:t>
      </w:r>
    </w:p>
    <w:p w:rsidR="00601038" w:rsidRDefault="00E4015D">
      <w:pPr>
        <w:pStyle w:val="Proposal"/>
      </w:pPr>
      <w:r>
        <w:tab/>
        <w:t>CTI/68A2/1</w:t>
      </w:r>
    </w:p>
    <w:p w:rsidR="004B2C1B" w:rsidRPr="007068BC" w:rsidRDefault="007068BC" w:rsidP="00445CD8">
      <w:pPr>
        <w:rPr>
          <w:b/>
          <w:bCs/>
          <w:rtl/>
          <w:lang w:bidi="ar-EG"/>
        </w:rPr>
      </w:pPr>
      <w:r w:rsidRPr="007068BC">
        <w:rPr>
          <w:rFonts w:hint="cs"/>
          <w:rtl/>
        </w:rPr>
        <w:t xml:space="preserve">تقترح كوت ديفوار الأسلوب </w:t>
      </w:r>
      <w:r w:rsidRPr="007068BC">
        <w:t>B2</w:t>
      </w:r>
      <w:r w:rsidRPr="007068BC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الوارد في تقرير الاجتماع التحضيري للمؤتمر، أي الخطوات التالية:</w:t>
      </w:r>
    </w:p>
    <w:p w:rsidR="004B2C1B" w:rsidRDefault="004B2C1B" w:rsidP="007068BC">
      <w:pPr>
        <w:pStyle w:val="enumlev1"/>
        <w:rPr>
          <w:rtl/>
          <w:lang w:bidi="ar-EG"/>
        </w:rPr>
      </w:pPr>
      <w:r w:rsidRPr="004B2C1B">
        <w:rPr>
          <w:rFonts w:hint="cs"/>
          <w:rtl/>
        </w:rPr>
        <w:t>–</w:t>
      </w:r>
      <w:r w:rsidRPr="004B2C1B">
        <w:rPr>
          <w:rFonts w:hint="cs"/>
          <w:rtl/>
        </w:rPr>
        <w:tab/>
      </w:r>
      <w:r w:rsidR="007068BC">
        <w:rPr>
          <w:rFonts w:hint="cs"/>
          <w:rtl/>
        </w:rPr>
        <w:t xml:space="preserve">تطبيق اتفاق جنيف </w:t>
      </w:r>
      <w:r w:rsidR="007068BC">
        <w:t>GE06</w:t>
      </w:r>
      <w:r w:rsidR="007068BC">
        <w:rPr>
          <w:rFonts w:hint="cs"/>
          <w:rtl/>
          <w:lang w:bidi="ar-EG"/>
        </w:rPr>
        <w:t>؛</w:t>
      </w:r>
    </w:p>
    <w:p w:rsidR="004B2C1B" w:rsidRDefault="004B2C1B" w:rsidP="005E396E">
      <w:pPr>
        <w:pStyle w:val="enumlev1"/>
        <w:rPr>
          <w:rtl/>
        </w:rPr>
      </w:pPr>
      <w:r>
        <w:rPr>
          <w:rFonts w:hint="cs"/>
          <w:rtl/>
        </w:rPr>
        <w:t>–</w:t>
      </w:r>
      <w:r>
        <w:rPr>
          <w:rFonts w:hint="cs"/>
          <w:rtl/>
        </w:rPr>
        <w:tab/>
      </w:r>
      <w:r w:rsidR="007E6D1B" w:rsidRPr="000A044C">
        <w:rPr>
          <w:rFonts w:hint="cs"/>
          <w:rtl/>
        </w:rPr>
        <w:t xml:space="preserve">مراجعة التوصية </w:t>
      </w:r>
      <w:r w:rsidR="007E6D1B" w:rsidRPr="000A044C">
        <w:t>ITU</w:t>
      </w:r>
      <w:r w:rsidR="007E6D1B" w:rsidRPr="000A044C">
        <w:noBreakHyphen/>
        <w:t>R </w:t>
      </w:r>
      <w:r w:rsidR="007E6D1B" w:rsidRPr="000A044C">
        <w:rPr>
          <w:lang w:bidi="ar-SY"/>
        </w:rPr>
        <w:t>M.1036</w:t>
      </w:r>
      <w:r w:rsidR="007E6D1B" w:rsidRPr="000A044C">
        <w:rPr>
          <w:rFonts w:hint="cs"/>
          <w:rtl/>
        </w:rPr>
        <w:t xml:space="preserve"> بحيث تتضمن ترتيبات ترددات متناسقة لنطاق التردد</w:t>
      </w:r>
      <w:r w:rsidR="007E6D1B" w:rsidRPr="000A044C">
        <w:rPr>
          <w:rFonts w:hint="eastAsia"/>
          <w:rtl/>
        </w:rPr>
        <w:t> </w:t>
      </w:r>
      <w:r w:rsidR="007E6D1B" w:rsidRPr="000A044C">
        <w:t>MHz </w:t>
      </w:r>
      <w:r w:rsidR="007E6D1B" w:rsidRPr="000A044C">
        <w:rPr>
          <w:lang w:bidi="ar-SY"/>
        </w:rPr>
        <w:t>700</w:t>
      </w:r>
      <w:r w:rsidR="007E6D1B" w:rsidRPr="000A044C">
        <w:rPr>
          <w:rFonts w:hint="cs"/>
          <w:rtl/>
        </w:rPr>
        <w:t xml:space="preserve"> في الإقليم</w:t>
      </w:r>
      <w:r w:rsidR="005E396E">
        <w:rPr>
          <w:rFonts w:hint="eastAsia"/>
          <w:rtl/>
        </w:rPr>
        <w:t> </w:t>
      </w:r>
      <w:r w:rsidR="007E6D1B" w:rsidRPr="000A044C">
        <w:t>1</w:t>
      </w:r>
      <w:r w:rsidR="007068BC">
        <w:rPr>
          <w:rFonts w:hint="cs"/>
          <w:rtl/>
        </w:rPr>
        <w:t>.</w:t>
      </w:r>
    </w:p>
    <w:p w:rsidR="004B2C1B" w:rsidRPr="004B2C1B" w:rsidRDefault="007068BC" w:rsidP="000B70AE">
      <w:pPr>
        <w:rPr>
          <w:rtl/>
          <w:lang w:bidi="ar-EG"/>
        </w:rPr>
      </w:pPr>
      <w:r>
        <w:rPr>
          <w:rFonts w:hint="cs"/>
          <w:rtl/>
        </w:rPr>
        <w:t xml:space="preserve">إعداد توصية جديدة </w:t>
      </w:r>
      <w:r w:rsidR="00B81E9C">
        <w:rPr>
          <w:rFonts w:hint="cs"/>
          <w:rtl/>
        </w:rPr>
        <w:t>ل</w:t>
      </w:r>
      <w:r>
        <w:rPr>
          <w:rFonts w:hint="cs"/>
          <w:rtl/>
        </w:rPr>
        <w:t>قطاع الاتصالات الراديوية</w:t>
      </w:r>
      <w:r w:rsidR="002772DC">
        <w:rPr>
          <w:rFonts w:hint="eastAsia"/>
          <w:rtl/>
        </w:rPr>
        <w:t> </w:t>
      </w:r>
      <w:r w:rsidR="002772DC">
        <w:t>(ITU-R)</w:t>
      </w:r>
      <w:r>
        <w:rPr>
          <w:rFonts w:hint="cs"/>
          <w:rtl/>
        </w:rPr>
        <w:t xml:space="preserve"> في المؤتمر </w:t>
      </w:r>
      <w:r>
        <w:t>WRC-15</w:t>
      </w:r>
      <w:r>
        <w:rPr>
          <w:rFonts w:hint="cs"/>
          <w:rtl/>
          <w:lang w:bidi="ar-EG"/>
        </w:rPr>
        <w:t xml:space="preserve"> </w:t>
      </w:r>
      <w:r w:rsidR="002B1DD8" w:rsidRPr="000A044C">
        <w:rPr>
          <w:rFonts w:hint="cs"/>
          <w:rtl/>
        </w:rPr>
        <w:t xml:space="preserve">تعيِّن حد الإرسال </w:t>
      </w:r>
      <w:r>
        <w:rPr>
          <w:rFonts w:hint="cs"/>
          <w:rtl/>
        </w:rPr>
        <w:t xml:space="preserve">غير المطلوب </w:t>
      </w:r>
      <w:r w:rsidR="002B1DD8" w:rsidRPr="000A044C">
        <w:rPr>
          <w:rFonts w:hint="cs"/>
          <w:rtl/>
        </w:rPr>
        <w:t>خارج النطاق</w:t>
      </w:r>
      <w:r w:rsidRPr="007068BC">
        <w:rPr>
          <w:rFonts w:hint="cs"/>
          <w:rtl/>
        </w:rPr>
        <w:t xml:space="preserve"> </w:t>
      </w:r>
      <w:r>
        <w:rPr>
          <w:rFonts w:hint="cs"/>
          <w:rtl/>
        </w:rPr>
        <w:t>من تجهيزات المستعمل</w:t>
      </w:r>
      <w:r w:rsidR="002B1DD8" w:rsidRPr="000A044C">
        <w:rPr>
          <w:rFonts w:hint="cs"/>
          <w:rtl/>
        </w:rPr>
        <w:t xml:space="preserve"> في نطاق التردد </w:t>
      </w:r>
      <w:r w:rsidR="002B1DD8" w:rsidRPr="000A044C">
        <w:t>MHz </w:t>
      </w:r>
      <w:r w:rsidR="002B1DD8" w:rsidRPr="000A044C">
        <w:rPr>
          <w:lang w:bidi="ar-SY"/>
        </w:rPr>
        <w:t>700</w:t>
      </w:r>
      <w:r>
        <w:rPr>
          <w:rFonts w:hint="cs"/>
          <w:rtl/>
        </w:rPr>
        <w:t xml:space="preserve"> في الإقليم </w:t>
      </w:r>
      <w:r>
        <w:t>1</w:t>
      </w:r>
      <w:r>
        <w:rPr>
          <w:rFonts w:hint="cs"/>
          <w:rtl/>
          <w:lang w:bidi="ar-EG"/>
        </w:rPr>
        <w:t>. وسوف تدمج هذه التوصية في لوائح الراديو</w:t>
      </w:r>
      <w:r w:rsidR="002B1DD8" w:rsidRPr="000A044C">
        <w:rPr>
          <w:rFonts w:hint="cs"/>
          <w:rtl/>
        </w:rPr>
        <w:t xml:space="preserve"> </w:t>
      </w:r>
      <w:r>
        <w:rPr>
          <w:rFonts w:hint="cs"/>
          <w:rtl/>
        </w:rPr>
        <w:t>مما</w:t>
      </w:r>
      <w:r w:rsidR="002772DC">
        <w:rPr>
          <w:rFonts w:hint="eastAsia"/>
        </w:rPr>
        <w:t> </w:t>
      </w:r>
      <w:r>
        <w:rPr>
          <w:rFonts w:hint="cs"/>
          <w:rtl/>
        </w:rPr>
        <w:t xml:space="preserve">يضفي عليها </w:t>
      </w:r>
      <w:r w:rsidR="002772DC">
        <w:rPr>
          <w:rFonts w:hint="cs"/>
          <w:rtl/>
        </w:rPr>
        <w:t>صفة</w:t>
      </w:r>
      <w:r w:rsidR="000B70AE">
        <w:rPr>
          <w:rFonts w:hint="eastAsia"/>
          <w:rtl/>
        </w:rPr>
        <w:t> </w:t>
      </w:r>
      <w:bookmarkStart w:id="1" w:name="_GoBack"/>
      <w:bookmarkEnd w:id="1"/>
      <w:r>
        <w:rPr>
          <w:rFonts w:hint="cs"/>
          <w:rtl/>
        </w:rPr>
        <w:t>الإلزامية.</w:t>
      </w:r>
    </w:p>
    <w:p w:rsidR="00601038" w:rsidRDefault="00E4015D" w:rsidP="002C14CB">
      <w:pPr>
        <w:pStyle w:val="Reasons"/>
        <w:rPr>
          <w:b w:val="0"/>
          <w:bCs w:val="0"/>
          <w:lang w:bidi="ar-EG"/>
        </w:rPr>
      </w:pPr>
      <w:r>
        <w:rPr>
          <w:rtl/>
        </w:rPr>
        <w:t>الأسباب:</w:t>
      </w:r>
      <w:r>
        <w:tab/>
      </w:r>
      <w:r w:rsidR="007068BC" w:rsidRPr="00B81E9C">
        <w:rPr>
          <w:rFonts w:hint="cs"/>
          <w:b w:val="0"/>
          <w:bCs w:val="0"/>
          <w:rtl/>
        </w:rPr>
        <w:t>هذا الالتزام</w:t>
      </w:r>
      <w:r w:rsidR="002C14CB">
        <w:rPr>
          <w:rFonts w:hint="cs"/>
          <w:b w:val="0"/>
          <w:bCs w:val="0"/>
          <w:rtl/>
        </w:rPr>
        <w:t>،</w:t>
      </w:r>
      <w:r w:rsidR="00B81E9C">
        <w:rPr>
          <w:rFonts w:hint="cs"/>
          <w:b w:val="0"/>
          <w:bCs w:val="0"/>
          <w:rtl/>
        </w:rPr>
        <w:t xml:space="preserve"> لاسيما بالنسبة للمصنعين، يسمح</w:t>
      </w:r>
      <w:r w:rsidR="007068BC" w:rsidRPr="00B81E9C">
        <w:rPr>
          <w:rFonts w:hint="cs"/>
          <w:b w:val="0"/>
          <w:bCs w:val="0"/>
          <w:rtl/>
        </w:rPr>
        <w:t xml:space="preserve"> بحماية الخدمة الإذاعية فوق </w:t>
      </w:r>
      <w:r w:rsidR="007068BC" w:rsidRPr="00B81E9C">
        <w:rPr>
          <w:b w:val="0"/>
          <w:bCs w:val="0"/>
        </w:rPr>
        <w:t>MHz 694</w:t>
      </w:r>
      <w:r w:rsidR="007068BC" w:rsidRPr="00B81E9C">
        <w:rPr>
          <w:rFonts w:hint="cs"/>
          <w:b w:val="0"/>
          <w:bCs w:val="0"/>
          <w:rtl/>
          <w:lang w:bidi="ar-EG"/>
        </w:rPr>
        <w:t xml:space="preserve"> من التداخل الناجم عن الخدمة</w:t>
      </w:r>
      <w:r w:rsidR="002C14CB">
        <w:rPr>
          <w:rFonts w:hint="eastAsia"/>
          <w:b w:val="0"/>
          <w:bCs w:val="0"/>
          <w:rtl/>
          <w:lang w:bidi="ar-EG"/>
        </w:rPr>
        <w:t> </w:t>
      </w:r>
      <w:r w:rsidR="007068BC" w:rsidRPr="00B81E9C">
        <w:rPr>
          <w:rFonts w:hint="cs"/>
          <w:b w:val="0"/>
          <w:bCs w:val="0"/>
          <w:rtl/>
          <w:lang w:bidi="ar-EG"/>
        </w:rPr>
        <w:t>المتنقلة</w:t>
      </w:r>
      <w:r w:rsidR="00B81E9C">
        <w:rPr>
          <w:rFonts w:hint="cs"/>
          <w:b w:val="0"/>
          <w:bCs w:val="0"/>
          <w:rtl/>
          <w:lang w:bidi="ar-EG"/>
        </w:rPr>
        <w:t>.</w:t>
      </w:r>
    </w:p>
    <w:p w:rsidR="00445CD8" w:rsidRPr="00445CD8" w:rsidRDefault="00445CD8" w:rsidP="00445CD8">
      <w:pPr>
        <w:pStyle w:val="Reasons"/>
        <w:rPr>
          <w:b w:val="0"/>
          <w:bCs w:val="0"/>
          <w:rtl/>
          <w:lang w:bidi="ar-EG"/>
        </w:rPr>
      </w:pPr>
    </w:p>
    <w:p w:rsidR="00822178" w:rsidRPr="00822178" w:rsidRDefault="002C14CB" w:rsidP="00822178">
      <w:pPr>
        <w:spacing w:before="600"/>
        <w:jc w:val="center"/>
      </w:pPr>
      <w:r>
        <w:rPr>
          <w:rFonts w:hint="cs"/>
          <w:rtl/>
        </w:rPr>
        <w:t>___________</w:t>
      </w:r>
    </w:p>
    <w:sectPr w:rsidR="00822178" w:rsidRPr="00822178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E4015D" w:rsidRDefault="00822178" w:rsidP="00E4015D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445CD8">
      <w:rPr>
        <w:noProof/>
        <w:lang w:val="es-ES"/>
      </w:rPr>
      <w:t>P:\ARA\ITU-R\CONF-R\CMR15\000\068ADD02A.docx</w:t>
    </w:r>
    <w:r>
      <w:fldChar w:fldCharType="end"/>
    </w:r>
    <w:r w:rsidRPr="00CB4300">
      <w:rPr>
        <w:lang w:val="es-ES"/>
      </w:rPr>
      <w:t xml:space="preserve">   (</w:t>
    </w:r>
    <w:r>
      <w:rPr>
        <w:rFonts w:hint="cs"/>
        <w:rtl/>
        <w:lang w:val="es-ES"/>
      </w:rPr>
      <w:t>388424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8215B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22178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445CD8">
      <w:rPr>
        <w:noProof/>
        <w:lang w:val="es-ES"/>
      </w:rPr>
      <w:t>P:\ARA\ITU-R\CONF-R\CMR15\000\068ADD02A.docx</w:t>
    </w:r>
    <w:r>
      <w:fldChar w:fldCharType="end"/>
    </w:r>
    <w:r w:rsidRPr="00CB4300">
      <w:rPr>
        <w:lang w:val="es-ES"/>
      </w:rPr>
      <w:t xml:space="preserve">   (</w:t>
    </w:r>
    <w:r w:rsidR="00822178">
      <w:rPr>
        <w:rFonts w:hint="cs"/>
        <w:rtl/>
        <w:lang w:val="es-ES"/>
      </w:rPr>
      <w:t>388424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8215B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0B70AE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B70AE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42E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2DC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B1DD8"/>
    <w:rsid w:val="002C14CB"/>
    <w:rsid w:val="002D5F64"/>
    <w:rsid w:val="002D6FBF"/>
    <w:rsid w:val="002D7991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45CD8"/>
    <w:rsid w:val="00461FA7"/>
    <w:rsid w:val="00470CBD"/>
    <w:rsid w:val="0047407D"/>
    <w:rsid w:val="0048215B"/>
    <w:rsid w:val="004909DD"/>
    <w:rsid w:val="004A05E6"/>
    <w:rsid w:val="004A6C66"/>
    <w:rsid w:val="004A7AA0"/>
    <w:rsid w:val="004B2C1B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E396E"/>
    <w:rsid w:val="005F05CC"/>
    <w:rsid w:val="005F65DE"/>
    <w:rsid w:val="00601038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068BC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E6D1B"/>
    <w:rsid w:val="007F08CA"/>
    <w:rsid w:val="007F7FC3"/>
    <w:rsid w:val="00810482"/>
    <w:rsid w:val="00817568"/>
    <w:rsid w:val="008204AC"/>
    <w:rsid w:val="00822178"/>
    <w:rsid w:val="008261C2"/>
    <w:rsid w:val="00830D96"/>
    <w:rsid w:val="008455BE"/>
    <w:rsid w:val="0085569D"/>
    <w:rsid w:val="00855B59"/>
    <w:rsid w:val="0085774F"/>
    <w:rsid w:val="008657CB"/>
    <w:rsid w:val="00866A15"/>
    <w:rsid w:val="008805A1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44D37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1E9C"/>
    <w:rsid w:val="00B8351F"/>
    <w:rsid w:val="00B86C44"/>
    <w:rsid w:val="00B91113"/>
    <w:rsid w:val="00B9727C"/>
    <w:rsid w:val="00BA610A"/>
    <w:rsid w:val="00BA7D44"/>
    <w:rsid w:val="00BD6EF3"/>
    <w:rsid w:val="00BE69C3"/>
    <w:rsid w:val="00C060B4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2C0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4015D"/>
    <w:rsid w:val="00E430BC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4B688A67-DEC6-4D87-A2A4-7B0177AE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R15-WRC15-C-0068!A2!MSW-A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317A-0A18-4BDC-A72F-C18720246712}">
  <ds:schemaRefs>
    <ds:schemaRef ds:uri="http://schemas.openxmlformats.org/package/2006/metadata/core-properties"/>
    <ds:schemaRef ds:uri="http://schemas.microsoft.com/office/2006/metadata/properties"/>
    <ds:schemaRef ds:uri="996b2e75-67fd-4955-a3b0-5ab9934cb50b"/>
    <ds:schemaRef ds:uri="http://www.w3.org/XML/1998/namespace"/>
    <ds:schemaRef ds:uri="http://purl.org/dc/dcmitype/"/>
    <ds:schemaRef ds:uri="http://schemas.microsoft.com/office/2006/documentManagement/types"/>
    <ds:schemaRef ds:uri="32a1a8c5-2265-4ebc-b7a0-2071e2c5c9bb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229695-5B02-49FC-ADF7-1FCCA409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301</Words>
  <Characters>1681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R15-WRC15-C-0068!A2!MSW-A</vt:lpstr>
    </vt:vector>
  </TitlesOfParts>
  <Manager>General Secretariat - Pool</Manager>
  <Company>International Telecommunication Union (ITU)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R15-WRC15-C-0068!A2!MSW-A</dc:title>
  <dc:creator>Documents Proposals Manager (DPM)</dc:creator>
  <cp:keywords>DPM_v5.2015.10.280_prod</cp:keywords>
  <cp:lastModifiedBy>Awad, Samy</cp:lastModifiedBy>
  <cp:revision>9</cp:revision>
  <cp:lastPrinted>2011-11-07T13:53:00Z</cp:lastPrinted>
  <dcterms:created xsi:type="dcterms:W3CDTF">2015-10-31T12:26:00Z</dcterms:created>
  <dcterms:modified xsi:type="dcterms:W3CDTF">2015-10-31T16:09:00Z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