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rsidTr="003E1608">
        <w:trPr>
          <w:cantSplit/>
          <w:trHeight w:val="20"/>
        </w:trPr>
        <w:tc>
          <w:tcPr>
            <w:tcW w:w="6619" w:type="dxa"/>
          </w:tcPr>
          <w:p w:rsidR="00461FA7" w:rsidRPr="00584333" w:rsidRDefault="00461FA7" w:rsidP="00461FA7">
            <w:pPr>
              <w:pStyle w:val="LOGO"/>
              <w:framePr w:hSpace="0" w:wrap="auto" w:xAlign="left" w:yAlign="inline"/>
              <w:rPr>
                <w:rtl/>
              </w:rPr>
            </w:pPr>
            <w:r w:rsidRPr="00584333">
              <w:rPr>
                <w:rFonts w:hint="cs"/>
                <w:rtl/>
              </w:rPr>
              <w:t xml:space="preserve">المؤتمر العالمي للاتصالات الراديوية </w:t>
            </w:r>
            <w:r w:rsidRPr="00584333">
              <w:t>(WRC-1</w:t>
            </w:r>
            <w:r>
              <w:t>5</w:t>
            </w:r>
            <w:r w:rsidRPr="00584333">
              <w:t>)</w:t>
            </w:r>
          </w:p>
          <w:p w:rsidR="00280E04" w:rsidRPr="00F16602" w:rsidRDefault="00461FA7" w:rsidP="00461FA7">
            <w:pPr>
              <w:pStyle w:val="LOGO"/>
              <w:framePr w:hSpace="0" w:wrap="auto" w:xAlign="left" w:yAlign="inline"/>
              <w:spacing w:before="120"/>
              <w:rPr>
                <w:rtl/>
              </w:rPr>
            </w:pPr>
            <w:r w:rsidRPr="003E1D90">
              <w:rPr>
                <w:rFonts w:hint="cs"/>
                <w:sz w:val="25"/>
                <w:szCs w:val="38"/>
                <w:rtl/>
              </w:rPr>
              <w:t xml:space="preserve">جنيف، </w:t>
            </w:r>
            <w:r w:rsidRPr="00A809E8">
              <w:rPr>
                <w:sz w:val="24"/>
                <w:szCs w:val="36"/>
              </w:rPr>
              <w:t>2</w:t>
            </w:r>
            <w:r w:rsidRPr="00A809E8">
              <w:rPr>
                <w:rFonts w:hint="cs"/>
                <w:sz w:val="24"/>
                <w:szCs w:val="36"/>
                <w:rtl/>
              </w:rPr>
              <w:t>-</w:t>
            </w:r>
            <w:r w:rsidRPr="00A809E8">
              <w:rPr>
                <w:sz w:val="24"/>
                <w:szCs w:val="36"/>
              </w:rPr>
              <w:t>27</w:t>
            </w:r>
            <w:r w:rsidRPr="003E1D90">
              <w:rPr>
                <w:rFonts w:hint="cs"/>
                <w:sz w:val="25"/>
                <w:szCs w:val="38"/>
                <w:rtl/>
              </w:rPr>
              <w:t xml:space="preserve"> </w:t>
            </w:r>
            <w:r w:rsidRPr="00A809E8">
              <w:rPr>
                <w:sz w:val="25"/>
                <w:szCs w:val="38"/>
                <w:rtl/>
              </w:rPr>
              <w:t>نوفمبر</w:t>
            </w:r>
            <w:r w:rsidRPr="003E1D90">
              <w:rPr>
                <w:rFonts w:hint="cs"/>
                <w:sz w:val="25"/>
                <w:szCs w:val="38"/>
                <w:rtl/>
              </w:rPr>
              <w:t xml:space="preserve"> </w:t>
            </w:r>
            <w:r w:rsidRPr="00A809E8">
              <w:rPr>
                <w:sz w:val="24"/>
                <w:szCs w:val="36"/>
              </w:rPr>
              <w:t>2015</w:t>
            </w:r>
          </w:p>
        </w:tc>
        <w:tc>
          <w:tcPr>
            <w:tcW w:w="3053" w:type="dxa"/>
          </w:tcPr>
          <w:p w:rsidR="00280E04" w:rsidRDefault="006B0D94" w:rsidP="006B0D94">
            <w:pPr>
              <w:jc w:val="right"/>
              <w:rPr>
                <w:rtl/>
                <w:lang w:bidi="ar-EG"/>
              </w:rPr>
            </w:pPr>
            <w:bookmarkStart w:id="0" w:name="ditulogo"/>
            <w:bookmarkEnd w:id="0"/>
            <w:r>
              <w:rPr>
                <w:noProof/>
                <w:lang w:eastAsia="zh-CN"/>
              </w:rPr>
              <w:drawing>
                <wp:inline distT="0" distB="0" distL="0" distR="0" wp14:anchorId="70DED31C" wp14:editId="2F55BBD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280E04" w:rsidTr="003E1608">
        <w:trPr>
          <w:cantSplit/>
          <w:trHeight w:val="20"/>
        </w:trPr>
        <w:tc>
          <w:tcPr>
            <w:tcW w:w="6619" w:type="dxa"/>
            <w:tcBorders>
              <w:bottom w:val="single" w:sz="12" w:space="0" w:color="auto"/>
            </w:tcBorders>
          </w:tcPr>
          <w:p w:rsidR="00280E04" w:rsidRPr="00960962" w:rsidRDefault="006B0D94" w:rsidP="00D44350">
            <w:pPr>
              <w:rPr>
                <w:rtl/>
                <w:lang w:bidi="ar-EG"/>
              </w:rPr>
            </w:pPr>
            <w:r w:rsidRPr="00486C51">
              <w:rPr>
                <w:b/>
                <w:bCs/>
                <w:sz w:val="24"/>
                <w:szCs w:val="32"/>
                <w:rtl/>
              </w:rPr>
              <w:t>الاتحـ</w:t>
            </w:r>
            <w:r w:rsidRPr="00486C51">
              <w:rPr>
                <w:rFonts w:hint="cs"/>
                <w:b/>
                <w:bCs/>
                <w:sz w:val="24"/>
                <w:szCs w:val="32"/>
                <w:rtl/>
              </w:rPr>
              <w:t>ـــ</w:t>
            </w:r>
            <w:r w:rsidRPr="00486C51">
              <w:rPr>
                <w:b/>
                <w:bCs/>
                <w:sz w:val="24"/>
                <w:szCs w:val="32"/>
                <w:rtl/>
              </w:rPr>
              <w:t>اد</w:t>
            </w:r>
            <w:r w:rsidRPr="00486C51">
              <w:rPr>
                <w:rFonts w:hint="cs"/>
                <w:b/>
                <w:bCs/>
                <w:sz w:val="24"/>
                <w:szCs w:val="32"/>
                <w:rtl/>
              </w:rPr>
              <w:t xml:space="preserve"> </w:t>
            </w:r>
            <w:r w:rsidRPr="00486C51">
              <w:rPr>
                <w:b/>
                <w:bCs/>
                <w:sz w:val="24"/>
                <w:szCs w:val="32"/>
                <w:rtl/>
              </w:rPr>
              <w:t>ال</w:t>
            </w:r>
            <w:r w:rsidRPr="00486C51">
              <w:rPr>
                <w:rFonts w:hint="cs"/>
                <w:b/>
                <w:bCs/>
                <w:sz w:val="24"/>
                <w:szCs w:val="32"/>
                <w:rtl/>
              </w:rPr>
              <w:t>ـ</w:t>
            </w:r>
            <w:r w:rsidRPr="00486C51">
              <w:rPr>
                <w:b/>
                <w:bCs/>
                <w:sz w:val="24"/>
                <w:szCs w:val="32"/>
                <w:rtl/>
              </w:rPr>
              <w:t>دولـ</w:t>
            </w:r>
            <w:r w:rsidRPr="00486C51">
              <w:rPr>
                <w:rFonts w:hint="cs"/>
                <w:b/>
                <w:bCs/>
                <w:sz w:val="24"/>
                <w:szCs w:val="32"/>
                <w:rtl/>
              </w:rPr>
              <w:t>ـــ</w:t>
            </w:r>
            <w:r w:rsidRPr="00486C51">
              <w:rPr>
                <w:b/>
                <w:bCs/>
                <w:sz w:val="24"/>
                <w:szCs w:val="32"/>
                <w:rtl/>
              </w:rPr>
              <w:t>ي للاتص</w:t>
            </w:r>
            <w:r w:rsidRPr="00486C51">
              <w:rPr>
                <w:rFonts w:hint="cs"/>
                <w:b/>
                <w:bCs/>
                <w:sz w:val="24"/>
                <w:szCs w:val="32"/>
                <w:rtl/>
              </w:rPr>
              <w:t>ـ</w:t>
            </w:r>
            <w:r w:rsidRPr="00486C51">
              <w:rPr>
                <w:b/>
                <w:bCs/>
                <w:sz w:val="24"/>
                <w:szCs w:val="32"/>
                <w:rtl/>
              </w:rPr>
              <w:t>ـ</w:t>
            </w:r>
            <w:r w:rsidRPr="00486C51">
              <w:rPr>
                <w:rFonts w:hint="cs"/>
                <w:b/>
                <w:bCs/>
                <w:sz w:val="24"/>
                <w:szCs w:val="32"/>
                <w:rtl/>
              </w:rPr>
              <w:t>ــ</w:t>
            </w:r>
            <w:r w:rsidRPr="00486C51">
              <w:rPr>
                <w:b/>
                <w:bCs/>
                <w:sz w:val="24"/>
                <w:szCs w:val="32"/>
                <w:rtl/>
              </w:rPr>
              <w:t>الات</w:t>
            </w:r>
          </w:p>
        </w:tc>
        <w:tc>
          <w:tcPr>
            <w:tcW w:w="3053" w:type="dxa"/>
            <w:tcBorders>
              <w:bottom w:val="single" w:sz="12" w:space="0" w:color="auto"/>
            </w:tcBorders>
          </w:tcPr>
          <w:p w:rsidR="00280E04" w:rsidRPr="00A9645C" w:rsidRDefault="00280E04" w:rsidP="00D44350">
            <w:pPr>
              <w:rPr>
                <w:lang w:bidi="ar-EG"/>
              </w:rPr>
            </w:pPr>
          </w:p>
        </w:tc>
      </w:tr>
      <w:tr w:rsidR="00280E04" w:rsidTr="003E1608">
        <w:trPr>
          <w:cantSplit/>
          <w:trHeight w:val="20"/>
        </w:trPr>
        <w:tc>
          <w:tcPr>
            <w:tcW w:w="6619" w:type="dxa"/>
            <w:tcBorders>
              <w:top w:val="single" w:sz="12" w:space="0" w:color="auto"/>
            </w:tcBorders>
          </w:tcPr>
          <w:p w:rsidR="00280E04" w:rsidRPr="00371711" w:rsidRDefault="00280E04" w:rsidP="00D44350">
            <w:pPr>
              <w:pStyle w:val="Adress"/>
              <w:framePr w:hSpace="0" w:wrap="auto" w:xAlign="left" w:yAlign="inline"/>
              <w:rPr>
                <w:rFonts w:ascii="Verdana" w:hAnsi="Verdana"/>
                <w:rtl/>
              </w:rPr>
            </w:pPr>
          </w:p>
        </w:tc>
        <w:tc>
          <w:tcPr>
            <w:tcW w:w="3053" w:type="dxa"/>
            <w:tcBorders>
              <w:top w:val="single" w:sz="12" w:space="0" w:color="auto"/>
            </w:tcBorders>
          </w:tcPr>
          <w:p w:rsidR="00280E04" w:rsidRPr="00371711" w:rsidRDefault="00280E04" w:rsidP="00D44350">
            <w:pPr>
              <w:pStyle w:val="Adress"/>
              <w:framePr w:hSpace="0" w:wrap="auto" w:xAlign="left" w:yAlign="inline"/>
              <w:rPr>
                <w:rFonts w:ascii="Verdana" w:hAnsi="Verdana"/>
              </w:rPr>
            </w:pPr>
          </w:p>
        </w:tc>
      </w:tr>
      <w:tr w:rsidR="003E1608" w:rsidTr="003E1608">
        <w:trPr>
          <w:cantSplit/>
        </w:trPr>
        <w:tc>
          <w:tcPr>
            <w:tcW w:w="6619" w:type="dxa"/>
            <w:shd w:val="clear" w:color="auto" w:fill="auto"/>
          </w:tcPr>
          <w:p w:rsidR="003E1608" w:rsidRPr="00371711" w:rsidRDefault="00E165ED" w:rsidP="003E1608">
            <w:pPr>
              <w:pStyle w:val="Committee"/>
              <w:framePr w:hSpace="0" w:wrap="auto" w:hAnchor="text" w:yAlign="inline"/>
              <w:tabs>
                <w:tab w:val="clear" w:pos="2268"/>
                <w:tab w:val="left" w:pos="2448"/>
              </w:tabs>
              <w:bidi/>
              <w:rPr>
                <w:rFonts w:ascii="Verdana" w:hAnsi="Verdana" w:cs="Traditional Arabic"/>
                <w:sz w:val="30"/>
                <w:szCs w:val="30"/>
                <w:rtl/>
              </w:rPr>
            </w:pPr>
            <w:r w:rsidRPr="00371711">
              <w:rPr>
                <w:rFonts w:ascii="Verdana" w:hAnsi="Verdana" w:cs="Traditional Arabic"/>
                <w:bCs/>
                <w:sz w:val="19"/>
                <w:szCs w:val="30"/>
                <w:rtl/>
                <w:lang w:val="en-US" w:bidi="ar-EG"/>
              </w:rPr>
              <w:t>الجلسة العامة</w:t>
            </w:r>
          </w:p>
        </w:tc>
        <w:tc>
          <w:tcPr>
            <w:tcW w:w="3053" w:type="dxa"/>
            <w:shd w:val="clear" w:color="auto" w:fill="auto"/>
            <w:vAlign w:val="center"/>
          </w:tcPr>
          <w:p w:rsidR="003E1608" w:rsidRPr="00371711" w:rsidRDefault="003E1608" w:rsidP="003E1608">
            <w:pPr>
              <w:pStyle w:val="Adress"/>
              <w:framePr w:hSpace="0" w:wrap="auto" w:xAlign="left" w:yAlign="inline"/>
              <w:rPr>
                <w:rFonts w:ascii="Verdana" w:hAnsi="Verdana"/>
                <w:rtl/>
              </w:rPr>
            </w:pPr>
            <w:r w:rsidRPr="00371711">
              <w:rPr>
                <w:rFonts w:ascii="Verdana" w:hAnsi="Verdana"/>
                <w:rtl/>
              </w:rPr>
              <w:t xml:space="preserve">الإضافة </w:t>
            </w:r>
            <w:r w:rsidRPr="00371711">
              <w:rPr>
                <w:rFonts w:ascii="Verdana" w:hAnsi="Verdana"/>
              </w:rPr>
              <w:t>13</w:t>
            </w:r>
            <w:r w:rsidRPr="00371711">
              <w:rPr>
                <w:rFonts w:ascii="Verdana" w:hAnsi="Verdana"/>
              </w:rPr>
              <w:br/>
            </w:r>
            <w:r w:rsidRPr="00371711">
              <w:rPr>
                <w:rFonts w:ascii="Verdana" w:hAnsi="Verdana"/>
                <w:rtl/>
              </w:rPr>
              <w:t xml:space="preserve">للوثيقة </w:t>
            </w:r>
            <w:r w:rsidRPr="00371711">
              <w:rPr>
                <w:rFonts w:ascii="Verdana" w:hAnsi="Verdana"/>
              </w:rPr>
              <w:t>68-</w:t>
            </w:r>
            <w:r w:rsidR="00371711">
              <w:rPr>
                <w:rFonts w:ascii="Verdana" w:hAnsi="Verdana"/>
              </w:rPr>
              <w:t>A</w:t>
            </w:r>
          </w:p>
        </w:tc>
      </w:tr>
      <w:tr w:rsidR="00764079" w:rsidTr="003E1608">
        <w:trPr>
          <w:cantSplit/>
        </w:trPr>
        <w:tc>
          <w:tcPr>
            <w:tcW w:w="6619" w:type="dxa"/>
            <w:shd w:val="clear" w:color="auto" w:fill="auto"/>
          </w:tcPr>
          <w:p w:rsidR="00764079" w:rsidRPr="00371711" w:rsidRDefault="00764079" w:rsidP="00D44350">
            <w:pPr>
              <w:pStyle w:val="Adress"/>
              <w:framePr w:hSpace="0" w:wrap="auto" w:xAlign="left" w:yAlign="inline"/>
              <w:rPr>
                <w:rFonts w:ascii="Verdana" w:hAnsi="Verdana"/>
                <w:rtl/>
              </w:rPr>
            </w:pPr>
          </w:p>
        </w:tc>
        <w:tc>
          <w:tcPr>
            <w:tcW w:w="3053" w:type="dxa"/>
            <w:shd w:val="clear" w:color="auto" w:fill="auto"/>
            <w:vAlign w:val="center"/>
          </w:tcPr>
          <w:p w:rsidR="00764079" w:rsidRPr="00371711" w:rsidRDefault="00764079" w:rsidP="00D44350">
            <w:pPr>
              <w:pStyle w:val="Adress"/>
              <w:framePr w:hSpace="0" w:wrap="auto" w:xAlign="left" w:yAlign="inline"/>
              <w:rPr>
                <w:rFonts w:ascii="Verdana" w:hAnsi="Verdana"/>
                <w:rtl/>
              </w:rPr>
            </w:pPr>
            <w:r w:rsidRPr="00371711">
              <w:rPr>
                <w:rFonts w:ascii="Verdana" w:eastAsia="SimSun" w:hAnsi="Verdana"/>
              </w:rPr>
              <w:t>16</w:t>
            </w:r>
            <w:r w:rsidRPr="00371711">
              <w:rPr>
                <w:rFonts w:ascii="Verdana" w:eastAsia="SimSun" w:hAnsi="Verdana"/>
                <w:rtl/>
              </w:rPr>
              <w:t xml:space="preserve"> أكتوبر </w:t>
            </w:r>
            <w:r w:rsidRPr="00371711">
              <w:rPr>
                <w:rFonts w:ascii="Verdana" w:eastAsia="SimSun" w:hAnsi="Verdana"/>
              </w:rPr>
              <w:t>2015</w:t>
            </w:r>
          </w:p>
        </w:tc>
      </w:tr>
      <w:tr w:rsidR="00764079" w:rsidTr="003E1608">
        <w:trPr>
          <w:cantSplit/>
        </w:trPr>
        <w:tc>
          <w:tcPr>
            <w:tcW w:w="6619" w:type="dxa"/>
          </w:tcPr>
          <w:p w:rsidR="00764079" w:rsidRPr="00371711" w:rsidRDefault="00764079" w:rsidP="00D44350">
            <w:pPr>
              <w:pStyle w:val="Adress"/>
              <w:framePr w:hSpace="0" w:wrap="auto" w:xAlign="left" w:yAlign="inline"/>
              <w:rPr>
                <w:rFonts w:ascii="Verdana" w:eastAsia="SimSun" w:hAnsi="Verdana"/>
                <w:rtl/>
              </w:rPr>
            </w:pPr>
          </w:p>
        </w:tc>
        <w:tc>
          <w:tcPr>
            <w:tcW w:w="3053" w:type="dxa"/>
            <w:vAlign w:val="center"/>
          </w:tcPr>
          <w:p w:rsidR="00764079" w:rsidRPr="00371711" w:rsidRDefault="00764079" w:rsidP="00D44350">
            <w:pPr>
              <w:pStyle w:val="Adress"/>
              <w:framePr w:hSpace="0" w:wrap="auto" w:xAlign="left" w:yAlign="inline"/>
              <w:rPr>
                <w:rFonts w:ascii="Verdana" w:eastAsia="SimSun" w:hAnsi="Verdana"/>
              </w:rPr>
            </w:pPr>
            <w:r w:rsidRPr="00371711">
              <w:rPr>
                <w:rFonts w:ascii="Verdana" w:eastAsia="SimSun" w:hAnsi="Verdana"/>
                <w:rtl/>
              </w:rPr>
              <w:t>الأصل: بالفرنسية</w:t>
            </w:r>
          </w:p>
        </w:tc>
      </w:tr>
      <w:tr w:rsidR="00764079" w:rsidTr="003E1608">
        <w:trPr>
          <w:cantSplit/>
        </w:trPr>
        <w:tc>
          <w:tcPr>
            <w:tcW w:w="9672" w:type="dxa"/>
            <w:gridSpan w:val="2"/>
          </w:tcPr>
          <w:p w:rsidR="00764079" w:rsidRPr="00371711" w:rsidRDefault="00764079" w:rsidP="00D44350">
            <w:pPr>
              <w:pStyle w:val="Adress"/>
              <w:framePr w:hSpace="0" w:wrap="auto" w:xAlign="left" w:yAlign="inline"/>
              <w:rPr>
                <w:rFonts w:ascii="Verdana" w:eastAsia="SimSun" w:hAnsi="Verdana"/>
              </w:rPr>
            </w:pPr>
          </w:p>
        </w:tc>
      </w:tr>
      <w:tr w:rsidR="00764079" w:rsidTr="003E1608">
        <w:trPr>
          <w:cantSplit/>
        </w:trPr>
        <w:tc>
          <w:tcPr>
            <w:tcW w:w="9672" w:type="dxa"/>
            <w:gridSpan w:val="2"/>
          </w:tcPr>
          <w:p w:rsidR="00764079" w:rsidRPr="00E621A3" w:rsidRDefault="00764079" w:rsidP="00D44350">
            <w:pPr>
              <w:pStyle w:val="Source"/>
              <w:rPr>
                <w:rtl/>
              </w:rPr>
            </w:pPr>
            <w:r w:rsidRPr="008204AC">
              <w:rPr>
                <w:rtl/>
              </w:rPr>
              <w:t>جمهورية كوت ديفوار</w:t>
            </w:r>
          </w:p>
        </w:tc>
      </w:tr>
      <w:tr w:rsidR="00764079" w:rsidTr="003E1608">
        <w:trPr>
          <w:cantSplit/>
        </w:trPr>
        <w:tc>
          <w:tcPr>
            <w:tcW w:w="9672" w:type="dxa"/>
            <w:gridSpan w:val="2"/>
          </w:tcPr>
          <w:p w:rsidR="00764079" w:rsidRPr="00BD6EF3" w:rsidRDefault="00371711" w:rsidP="00D44350">
            <w:pPr>
              <w:pStyle w:val="Title1"/>
              <w:spacing w:before="240"/>
              <w:rPr>
                <w:rtl/>
              </w:rPr>
            </w:pPr>
            <w:r>
              <w:rPr>
                <w:rFonts w:hint="cs"/>
                <w:rtl/>
              </w:rPr>
              <w:t>مقترحات بشأن أعمال الـمؤتـمر</w:t>
            </w:r>
          </w:p>
        </w:tc>
      </w:tr>
      <w:tr w:rsidR="00764079" w:rsidTr="003E1608">
        <w:trPr>
          <w:cantSplit/>
        </w:trPr>
        <w:tc>
          <w:tcPr>
            <w:tcW w:w="9672" w:type="dxa"/>
            <w:gridSpan w:val="2"/>
          </w:tcPr>
          <w:p w:rsidR="00764079" w:rsidRPr="00BD6EF3" w:rsidRDefault="00764079" w:rsidP="00D44350">
            <w:pPr>
              <w:pStyle w:val="Title2"/>
              <w:rPr>
                <w:rtl/>
              </w:rPr>
            </w:pPr>
          </w:p>
        </w:tc>
      </w:tr>
      <w:tr w:rsidR="00764079" w:rsidTr="003E1608">
        <w:trPr>
          <w:cantSplit/>
        </w:trPr>
        <w:tc>
          <w:tcPr>
            <w:tcW w:w="9672" w:type="dxa"/>
            <w:gridSpan w:val="2"/>
          </w:tcPr>
          <w:p w:rsidR="00764079" w:rsidRPr="002919E1" w:rsidRDefault="00764079" w:rsidP="00371711">
            <w:pPr>
              <w:pStyle w:val="Agendaitem"/>
              <w:spacing w:before="240" w:line="192" w:lineRule="auto"/>
            </w:pPr>
            <w:r w:rsidRPr="008204AC">
              <w:rPr>
                <w:rtl/>
              </w:rPr>
              <w:t xml:space="preserve">البنـد </w:t>
            </w:r>
            <w:r w:rsidR="00371711">
              <w:t>(L)7</w:t>
            </w:r>
            <w:r w:rsidRPr="008204AC">
              <w:rPr>
                <w:rtl/>
              </w:rPr>
              <w:t xml:space="preserve"> من جدول الأعمال</w:t>
            </w:r>
          </w:p>
        </w:tc>
      </w:tr>
    </w:tbl>
    <w:p w:rsidR="001D597A" w:rsidRPr="00431196" w:rsidRDefault="00AE69CF" w:rsidP="003D3396">
      <w:pPr>
        <w:pStyle w:val="Normalaftertitle"/>
        <w:spacing w:before="240" w:line="187" w:lineRule="auto"/>
        <w:rPr>
          <w:rFonts w:eastAsia="SimSun"/>
          <w:rtl/>
        </w:rPr>
      </w:pPr>
      <w:r w:rsidRPr="00431196">
        <w:rPr>
          <w:rFonts w:eastAsia="SimSun"/>
        </w:rPr>
        <w:t>7</w:t>
      </w:r>
      <w:r w:rsidRPr="00431196">
        <w:rPr>
          <w:rFonts w:eastAsia="SimSun" w:hint="cs"/>
          <w:rtl/>
        </w:rPr>
        <w:tab/>
        <w:t xml:space="preserve">النظر في أي تغييرات قد يلزم إجراؤها، وفي خيارات أخرى، تطبيقاً للقرار </w:t>
      </w:r>
      <w:r w:rsidRPr="00431196">
        <w:rPr>
          <w:rFonts w:eastAsia="SimSun"/>
        </w:rPr>
        <w:t>86</w:t>
      </w:r>
      <w:r w:rsidRPr="00431196">
        <w:rPr>
          <w:rFonts w:eastAsia="SimSun" w:hint="cs"/>
          <w:rtl/>
        </w:rPr>
        <w:t xml:space="preserve"> (المراج</w:t>
      </w:r>
      <w:r w:rsidR="00F453B3">
        <w:rPr>
          <w:rFonts w:eastAsia="SimSun" w:hint="cs"/>
          <w:rtl/>
        </w:rPr>
        <w:t>َ</w:t>
      </w:r>
      <w:r w:rsidRPr="00431196">
        <w:rPr>
          <w:rFonts w:eastAsia="SimSun" w:hint="cs"/>
          <w:rtl/>
        </w:rPr>
        <w:t xml:space="preserve">ع في مراكش، </w:t>
      </w:r>
      <w:r w:rsidRPr="00431196">
        <w:rPr>
          <w:rFonts w:eastAsia="SimSun"/>
        </w:rPr>
        <w:t>2002</w:t>
      </w:r>
      <w:r w:rsidR="00F453B3">
        <w:rPr>
          <w:rFonts w:eastAsia="SimSun" w:hint="cs"/>
          <w:rtl/>
        </w:rPr>
        <w:t>)</w:t>
      </w:r>
      <w:r w:rsidRPr="00431196">
        <w:rPr>
          <w:rFonts w:eastAsia="SimSun" w:hint="cs"/>
          <w:rtl/>
        </w:rPr>
        <w:t xml:space="preserve"> لمؤتمر</w:t>
      </w:r>
      <w:r w:rsidR="00A305FA">
        <w:rPr>
          <w:rFonts w:eastAsia="SimSun" w:hint="eastAsia"/>
          <w:rtl/>
        </w:rPr>
        <w:t> </w:t>
      </w:r>
      <w:r w:rsidRPr="00431196">
        <w:rPr>
          <w:rFonts w:eastAsia="SimSun" w:hint="cs"/>
          <w:rtl/>
        </w:rPr>
        <w:t xml:space="preserve">المندوبين المفوضين، بشأن "إجراءات النشر المسبق والتنسيق </w:t>
      </w:r>
      <w:r w:rsidRPr="00431196">
        <w:rPr>
          <w:rFonts w:eastAsia="SimSun" w:hint="cs"/>
          <w:spacing w:val="6"/>
          <w:rtl/>
          <w:lang w:bidi="ar-SY"/>
        </w:rPr>
        <w:t>والتبليغ</w:t>
      </w:r>
      <w:r w:rsidRPr="00431196">
        <w:rPr>
          <w:rFonts w:eastAsia="SimSun" w:hint="cs"/>
          <w:rtl/>
        </w:rPr>
        <w:t xml:space="preserve"> والتسجيل لتخصيصات التردد للشبكات الساتلية"، وفقاً للقرار</w:t>
      </w:r>
      <w:r w:rsidR="00A305FA">
        <w:rPr>
          <w:rFonts w:eastAsia="SimSun" w:hint="eastAsia"/>
          <w:rtl/>
        </w:rPr>
        <w:t> </w:t>
      </w:r>
      <w:r w:rsidRPr="00431196">
        <w:rPr>
          <w:rFonts w:eastAsia="SimSun"/>
          <w:b/>
          <w:bCs/>
        </w:rPr>
        <w:t>86 (Rev.WRC</w:t>
      </w:r>
      <w:r w:rsidRPr="00431196">
        <w:rPr>
          <w:rFonts w:eastAsia="SimSun"/>
          <w:b/>
          <w:bCs/>
        </w:rPr>
        <w:noBreakHyphen/>
        <w:t>07)</w:t>
      </w:r>
      <w:r w:rsidRPr="00431196">
        <w:rPr>
          <w:rFonts w:eastAsia="SimSun" w:hint="cs"/>
          <w:rtl/>
        </w:rPr>
        <w:t xml:space="preserve"> تيسيراً للاستخدام الرشيد والفع</w:t>
      </w:r>
      <w:r w:rsidR="00AD5408">
        <w:rPr>
          <w:rFonts w:eastAsia="SimSun" w:hint="cs"/>
          <w:rtl/>
        </w:rPr>
        <w:t>ّ</w:t>
      </w:r>
      <w:bookmarkStart w:id="1" w:name="_GoBack"/>
      <w:bookmarkEnd w:id="1"/>
      <w:r w:rsidRPr="00431196">
        <w:rPr>
          <w:rFonts w:eastAsia="SimSun" w:hint="cs"/>
          <w:rtl/>
        </w:rPr>
        <w:t>ال والاقتصادي للترددات الراديوية وأي مدارات مرتبطة بها، بما فيها مدار السواتل المستقرة بالنسبة إلى الأرض؛</w:t>
      </w:r>
    </w:p>
    <w:p w:rsidR="00F16602" w:rsidRDefault="00AE69CF" w:rsidP="003D3396">
      <w:pPr>
        <w:spacing w:line="187" w:lineRule="auto"/>
        <w:rPr>
          <w:rFonts w:eastAsia="SimSun"/>
          <w:b/>
          <w:bCs/>
          <w:rtl/>
        </w:rPr>
      </w:pPr>
      <w:r w:rsidRPr="00431196">
        <w:rPr>
          <w:rFonts w:eastAsia="SimSun"/>
        </w:rPr>
        <w:t>(L)7</w:t>
      </w:r>
      <w:r w:rsidRPr="00431196">
        <w:rPr>
          <w:rFonts w:eastAsia="SimSun"/>
          <w:spacing w:val="2"/>
          <w:lang w:bidi="ar-EG"/>
        </w:rPr>
        <w:tab/>
      </w:r>
      <w:r w:rsidRPr="00431196">
        <w:rPr>
          <w:rFonts w:eastAsia="SimSun" w:hint="cs"/>
          <w:rtl/>
          <w:lang w:bidi="ar-EG"/>
        </w:rPr>
        <w:t>المسألة </w:t>
      </w:r>
      <w:r w:rsidRPr="00431196">
        <w:rPr>
          <w:rFonts w:eastAsia="SimSun"/>
          <w:lang w:bidi="ar-EG"/>
        </w:rPr>
        <w:t>L</w:t>
      </w:r>
      <w:r w:rsidRPr="00431196">
        <w:rPr>
          <w:rFonts w:eastAsia="SimSun" w:hint="cs"/>
          <w:rtl/>
          <w:lang w:bidi="ar-EG"/>
        </w:rPr>
        <w:t xml:space="preserve"> - تعديل أحكام </w:t>
      </w:r>
      <w:r w:rsidRPr="00431196">
        <w:rPr>
          <w:rFonts w:eastAsia="SimSun" w:hint="cs"/>
          <w:rtl/>
        </w:rPr>
        <w:t xml:space="preserve">معينة من </w:t>
      </w:r>
      <w:r w:rsidR="00115F59">
        <w:rPr>
          <w:rFonts w:eastAsia="SimSun" w:hint="cs"/>
          <w:rtl/>
        </w:rPr>
        <w:t>ال‍مادة</w:t>
      </w:r>
      <w:r w:rsidRPr="00431196">
        <w:rPr>
          <w:rFonts w:eastAsia="SimSun" w:hint="eastAsia"/>
          <w:rtl/>
        </w:rPr>
        <w:t> </w:t>
      </w:r>
      <w:r w:rsidRPr="00431196">
        <w:rPr>
          <w:rFonts w:eastAsia="SimSun"/>
          <w:lang w:bidi="ar-EG"/>
        </w:rPr>
        <w:t>4</w:t>
      </w:r>
      <w:r w:rsidRPr="00431196">
        <w:rPr>
          <w:rFonts w:eastAsia="SimSun" w:hint="cs"/>
          <w:rtl/>
        </w:rPr>
        <w:t xml:space="preserve"> من التذييلين</w:t>
      </w:r>
      <w:r w:rsidRPr="00431196">
        <w:rPr>
          <w:rFonts w:eastAsia="SimSun" w:hint="eastAsia"/>
          <w:rtl/>
        </w:rPr>
        <w:t> </w:t>
      </w:r>
      <w:r w:rsidRPr="00431196">
        <w:rPr>
          <w:rFonts w:eastAsia="SimSun"/>
          <w:b/>
          <w:bCs/>
          <w:lang w:bidi="ar-EG"/>
        </w:rPr>
        <w:t>30</w:t>
      </w:r>
      <w:r w:rsidRPr="00431196">
        <w:rPr>
          <w:rFonts w:eastAsia="SimSun" w:hint="cs"/>
          <w:rtl/>
        </w:rPr>
        <w:t xml:space="preserve"> و</w:t>
      </w:r>
      <w:r w:rsidRPr="00431196">
        <w:rPr>
          <w:rFonts w:eastAsia="SimSun"/>
          <w:b/>
          <w:bCs/>
          <w:lang w:bidi="ar-EG"/>
        </w:rPr>
        <w:t>30A</w:t>
      </w:r>
      <w:r w:rsidRPr="00431196">
        <w:rPr>
          <w:rFonts w:eastAsia="SimSun" w:hint="cs"/>
          <w:rtl/>
        </w:rPr>
        <w:t xml:space="preserve"> للوائح الراديو للإقليمين </w:t>
      </w:r>
      <w:r w:rsidRPr="00431196">
        <w:rPr>
          <w:rFonts w:eastAsia="SimSun"/>
        </w:rPr>
        <w:t>1</w:t>
      </w:r>
      <w:r w:rsidRPr="00431196">
        <w:rPr>
          <w:rFonts w:eastAsia="SimSun" w:hint="cs"/>
          <w:rtl/>
          <w:lang w:bidi="ar-EG"/>
        </w:rPr>
        <w:t xml:space="preserve"> و</w:t>
      </w:r>
      <w:r w:rsidRPr="00431196">
        <w:rPr>
          <w:rFonts w:eastAsia="SimSun"/>
          <w:lang w:bidi="ar-EG"/>
        </w:rPr>
        <w:t>3</w:t>
      </w:r>
      <w:r w:rsidRPr="00431196">
        <w:rPr>
          <w:rFonts w:eastAsia="SimSun" w:hint="cs"/>
          <w:rtl/>
          <w:lang w:bidi="ar-EG"/>
        </w:rPr>
        <w:t xml:space="preserve">، وتحديداً استبدال الموافقة الضمنية بالموافقة الصريحة أو مواءمة أحكام </w:t>
      </w:r>
      <w:r w:rsidRPr="00431196">
        <w:rPr>
          <w:rFonts w:eastAsia="SimSun" w:hint="cs"/>
          <w:rtl/>
        </w:rPr>
        <w:t>التذييلين</w:t>
      </w:r>
      <w:r w:rsidRPr="00431196">
        <w:rPr>
          <w:rFonts w:eastAsia="SimSun" w:hint="eastAsia"/>
          <w:rtl/>
        </w:rPr>
        <w:t> </w:t>
      </w:r>
      <w:r w:rsidRPr="00431196">
        <w:rPr>
          <w:rFonts w:eastAsia="SimSun"/>
          <w:b/>
          <w:bCs/>
          <w:lang w:bidi="ar-EG"/>
        </w:rPr>
        <w:t>30</w:t>
      </w:r>
      <w:r w:rsidRPr="00431196">
        <w:rPr>
          <w:rFonts w:eastAsia="SimSun" w:hint="cs"/>
          <w:rtl/>
        </w:rPr>
        <w:t xml:space="preserve"> و</w:t>
      </w:r>
      <w:r w:rsidRPr="00431196">
        <w:rPr>
          <w:rFonts w:eastAsia="SimSun"/>
          <w:b/>
          <w:bCs/>
          <w:lang w:bidi="ar-EG"/>
        </w:rPr>
        <w:t>30A</w:t>
      </w:r>
      <w:r w:rsidRPr="00431196">
        <w:rPr>
          <w:rFonts w:eastAsia="SimSun" w:hint="cs"/>
          <w:rtl/>
          <w:lang w:bidi="ar-EG"/>
        </w:rPr>
        <w:t xml:space="preserve"> للوائح الراديو مع أحكام التذييل</w:t>
      </w:r>
      <w:r w:rsidR="00371711">
        <w:rPr>
          <w:rFonts w:eastAsia="SimSun" w:hint="eastAsia"/>
          <w:rtl/>
          <w:lang w:bidi="ar-EG"/>
        </w:rPr>
        <w:t> </w:t>
      </w:r>
      <w:r w:rsidRPr="00431196">
        <w:rPr>
          <w:rFonts w:eastAsia="SimSun"/>
          <w:b/>
          <w:bCs/>
        </w:rPr>
        <w:t>30B</w:t>
      </w:r>
    </w:p>
    <w:p w:rsidR="00371711" w:rsidRDefault="00C215E1" w:rsidP="003D3396">
      <w:pPr>
        <w:pStyle w:val="Headingb"/>
        <w:spacing w:line="187" w:lineRule="auto"/>
        <w:rPr>
          <w:rFonts w:eastAsia="SimSun"/>
          <w:rtl/>
        </w:rPr>
      </w:pPr>
      <w:r>
        <w:rPr>
          <w:rFonts w:eastAsia="SimSun" w:hint="cs"/>
          <w:rtl/>
        </w:rPr>
        <w:t>معلومات أساسية</w:t>
      </w:r>
    </w:p>
    <w:p w:rsidR="001A2432" w:rsidRPr="002523CB" w:rsidRDefault="001A2432" w:rsidP="003D3396">
      <w:pPr>
        <w:spacing w:line="187" w:lineRule="auto"/>
        <w:rPr>
          <w:rtl/>
          <w:lang w:bidi="ar-EG"/>
        </w:rPr>
      </w:pPr>
      <w:r w:rsidRPr="003D3396">
        <w:rPr>
          <w:rFonts w:hint="cs"/>
          <w:spacing w:val="-4"/>
          <w:rtl/>
          <w:lang w:bidi="ar-EG"/>
        </w:rPr>
        <w:t xml:space="preserve">شكلت الموافقة الضمنية، أي أن عدم الرد يعني القبول، أساساً للتذييلين </w:t>
      </w:r>
      <w:r w:rsidRPr="003D3396">
        <w:rPr>
          <w:spacing w:val="-4"/>
          <w:lang w:bidi="ar-EG"/>
        </w:rPr>
        <w:t>30</w:t>
      </w:r>
      <w:r w:rsidRPr="003D3396">
        <w:rPr>
          <w:rFonts w:hint="cs"/>
          <w:spacing w:val="-4"/>
          <w:rtl/>
        </w:rPr>
        <w:t xml:space="preserve"> و</w:t>
      </w:r>
      <w:r w:rsidRPr="003D3396">
        <w:rPr>
          <w:spacing w:val="-4"/>
        </w:rPr>
        <w:t>30A</w:t>
      </w:r>
      <w:r w:rsidRPr="003D3396">
        <w:rPr>
          <w:rFonts w:hint="cs"/>
          <w:spacing w:val="-4"/>
          <w:rtl/>
        </w:rPr>
        <w:t xml:space="preserve"> منذ أن أنشآهما المؤتمران</w:t>
      </w:r>
      <w:r w:rsidRPr="003D3396">
        <w:rPr>
          <w:rFonts w:hint="eastAsia"/>
          <w:spacing w:val="-4"/>
          <w:rtl/>
        </w:rPr>
        <w:t> </w:t>
      </w:r>
      <w:r w:rsidRPr="003D3396">
        <w:rPr>
          <w:spacing w:val="-4"/>
        </w:rPr>
        <w:t>WARC</w:t>
      </w:r>
      <w:r w:rsidRPr="003D3396">
        <w:rPr>
          <w:spacing w:val="-4"/>
        </w:rPr>
        <w:noBreakHyphen/>
        <w:t>77</w:t>
      </w:r>
      <w:r w:rsidRPr="003D3396">
        <w:rPr>
          <w:rFonts w:hint="cs"/>
          <w:spacing w:val="-4"/>
          <w:rtl/>
        </w:rPr>
        <w:t xml:space="preserve"> و</w:t>
      </w:r>
      <w:r w:rsidRPr="003D3396">
        <w:rPr>
          <w:spacing w:val="-4"/>
        </w:rPr>
        <w:t>WARC</w:t>
      </w:r>
      <w:r w:rsidRPr="003D3396">
        <w:rPr>
          <w:spacing w:val="-4"/>
        </w:rPr>
        <w:noBreakHyphen/>
        <w:t>83</w:t>
      </w:r>
      <w:r w:rsidRPr="003D3396">
        <w:rPr>
          <w:rFonts w:hint="cs"/>
          <w:spacing w:val="-4"/>
          <w:rtl/>
        </w:rPr>
        <w:t>.</w:t>
      </w:r>
      <w:r w:rsidRPr="002523CB">
        <w:rPr>
          <w:rFonts w:hint="cs"/>
          <w:rtl/>
        </w:rPr>
        <w:t xml:space="preserve"> </w:t>
      </w:r>
      <w:r w:rsidRPr="003D3396">
        <w:rPr>
          <w:rFonts w:hint="cs"/>
          <w:spacing w:val="-4"/>
          <w:rtl/>
        </w:rPr>
        <w:t>وإن مسألة الموافقة الضمنية أو الموافقة الصريحة، وما يترتب عنهما من نتائج، قد نوقشت في مؤتمرات عدة، بما</w:t>
      </w:r>
      <w:r w:rsidRPr="003D3396">
        <w:rPr>
          <w:rFonts w:hint="eastAsia"/>
          <w:spacing w:val="-4"/>
          <w:rtl/>
        </w:rPr>
        <w:t> </w:t>
      </w:r>
      <w:r w:rsidRPr="003D3396">
        <w:rPr>
          <w:rFonts w:hint="cs"/>
          <w:spacing w:val="-4"/>
          <w:rtl/>
        </w:rPr>
        <w:t xml:space="preserve">فيها المؤتمران </w:t>
      </w:r>
      <w:r w:rsidRPr="003D3396">
        <w:rPr>
          <w:spacing w:val="-4"/>
        </w:rPr>
        <w:t>WARC-97</w:t>
      </w:r>
      <w:r w:rsidRPr="002523CB">
        <w:rPr>
          <w:rFonts w:hint="cs"/>
          <w:rtl/>
        </w:rPr>
        <w:t xml:space="preserve"> و</w:t>
      </w:r>
      <w:r w:rsidRPr="002523CB">
        <w:t xml:space="preserve"> WRC-2000</w:t>
      </w:r>
      <w:r w:rsidRPr="002523CB">
        <w:rPr>
          <w:rFonts w:hint="cs"/>
          <w:rtl/>
        </w:rPr>
        <w:t xml:space="preserve">اللذان راجعا خطط التذييلين </w:t>
      </w:r>
      <w:r w:rsidRPr="00C215E1">
        <w:rPr>
          <w:lang w:bidi="ar-EG"/>
        </w:rPr>
        <w:t>30</w:t>
      </w:r>
      <w:r w:rsidRPr="002523CB">
        <w:rPr>
          <w:rFonts w:hint="cs"/>
          <w:rtl/>
        </w:rPr>
        <w:t xml:space="preserve"> و</w:t>
      </w:r>
      <w:r w:rsidRPr="00C215E1">
        <w:t>30A</w:t>
      </w:r>
      <w:r w:rsidRPr="002523CB">
        <w:rPr>
          <w:rFonts w:hint="cs"/>
          <w:b/>
          <w:bCs/>
          <w:rtl/>
        </w:rPr>
        <w:t xml:space="preserve"> </w:t>
      </w:r>
      <w:r w:rsidRPr="002523CB">
        <w:rPr>
          <w:rFonts w:hint="cs"/>
          <w:rtl/>
        </w:rPr>
        <w:t>للإقليمين</w:t>
      </w:r>
      <w:r w:rsidRPr="00E62BF6">
        <w:rPr>
          <w:rFonts w:hint="cs"/>
          <w:rtl/>
        </w:rPr>
        <w:t xml:space="preserve"> </w:t>
      </w:r>
      <w:r w:rsidRPr="002523CB">
        <w:t>1</w:t>
      </w:r>
      <w:r w:rsidRPr="00E62BF6">
        <w:rPr>
          <w:rFonts w:hint="cs"/>
          <w:rtl/>
        </w:rPr>
        <w:t xml:space="preserve"> </w:t>
      </w:r>
      <w:r w:rsidRPr="002523CB">
        <w:rPr>
          <w:rFonts w:hint="cs"/>
          <w:rtl/>
        </w:rPr>
        <w:t>و</w:t>
      </w:r>
      <w:r w:rsidRPr="002523CB">
        <w:t>2</w:t>
      </w:r>
      <w:r w:rsidRPr="002523CB">
        <w:rPr>
          <w:rFonts w:hint="cs"/>
          <w:rtl/>
        </w:rPr>
        <w:t xml:space="preserve"> وأعادا تخطيطها. ونتيجة لهذه المناقشات، فقد أُدرجت في إجراءات خطط التذييلين </w:t>
      </w:r>
      <w:r w:rsidRPr="00C215E1">
        <w:rPr>
          <w:lang w:bidi="ar-EG"/>
        </w:rPr>
        <w:t>30</w:t>
      </w:r>
      <w:r w:rsidRPr="002523CB">
        <w:rPr>
          <w:rFonts w:hint="cs"/>
          <w:rtl/>
        </w:rPr>
        <w:t xml:space="preserve"> و</w:t>
      </w:r>
      <w:r w:rsidRPr="00C215E1">
        <w:t>30A</w:t>
      </w:r>
      <w:r w:rsidRPr="002523CB">
        <w:rPr>
          <w:rFonts w:hint="cs"/>
          <w:b/>
          <w:bCs/>
          <w:rtl/>
        </w:rPr>
        <w:t xml:space="preserve"> </w:t>
      </w:r>
      <w:r w:rsidRPr="002523CB">
        <w:rPr>
          <w:rFonts w:hint="cs"/>
          <w:rtl/>
        </w:rPr>
        <w:t xml:space="preserve">للوائح الراديو أحكامٌ تقضي بأن يخبر المكتب الإدارات المحددة وأن يوجه إليها أيضاً رسائل تذكير في حال عدم تقديمها لردود. وعندما وضع المؤتمر </w:t>
      </w:r>
      <w:r w:rsidRPr="002523CB">
        <w:t>WRC-07</w:t>
      </w:r>
      <w:r w:rsidRPr="002523CB">
        <w:rPr>
          <w:rFonts w:hint="cs"/>
          <w:rtl/>
        </w:rPr>
        <w:t xml:space="preserve"> إجراءات جديدة وخطة جديدة من التذييلين</w:t>
      </w:r>
      <w:r w:rsidRPr="002523CB">
        <w:rPr>
          <w:rFonts w:hint="eastAsia"/>
          <w:rtl/>
        </w:rPr>
        <w:t> </w:t>
      </w:r>
      <w:r w:rsidRPr="00C215E1">
        <w:rPr>
          <w:lang w:bidi="ar-EG"/>
        </w:rPr>
        <w:t>30</w:t>
      </w:r>
      <w:r w:rsidRPr="002523CB">
        <w:rPr>
          <w:rFonts w:hint="cs"/>
          <w:rtl/>
        </w:rPr>
        <w:t xml:space="preserve"> و</w:t>
      </w:r>
      <w:r w:rsidRPr="00C215E1">
        <w:t>30A</w:t>
      </w:r>
      <w:r w:rsidRPr="002523CB">
        <w:rPr>
          <w:rFonts w:hint="cs"/>
          <w:rtl/>
        </w:rPr>
        <w:t xml:space="preserve"> للوائح الراديو، </w:t>
      </w:r>
      <w:r w:rsidRPr="002523CB">
        <w:rPr>
          <w:rtl/>
        </w:rPr>
        <w:t xml:space="preserve">نوقشت </w:t>
      </w:r>
      <w:r w:rsidRPr="002523CB">
        <w:rPr>
          <w:rFonts w:hint="cs"/>
          <w:rtl/>
        </w:rPr>
        <w:t>مسألة الموافقة الضمنية أو الصريحة مرة أخرى. وتجسدت نتائج هذه المناقشات في</w:t>
      </w:r>
      <w:r w:rsidRPr="002523CB">
        <w:rPr>
          <w:rFonts w:hint="eastAsia"/>
          <w:rtl/>
        </w:rPr>
        <w:t> </w:t>
      </w:r>
      <w:r w:rsidRPr="002523CB">
        <w:rPr>
          <w:rFonts w:hint="cs"/>
          <w:rtl/>
        </w:rPr>
        <w:t>التذييل</w:t>
      </w:r>
      <w:r w:rsidRPr="002523CB">
        <w:rPr>
          <w:rFonts w:hint="eastAsia"/>
          <w:rtl/>
        </w:rPr>
        <w:t> </w:t>
      </w:r>
      <w:r w:rsidRPr="00C215E1">
        <w:t>30B</w:t>
      </w:r>
      <w:r w:rsidRPr="002523CB">
        <w:rPr>
          <w:rFonts w:hint="cs"/>
          <w:rtl/>
        </w:rPr>
        <w:t xml:space="preserve">، حيث أدخلت أحكام مماثلة للأحكام الواردة في التذييلين </w:t>
      </w:r>
      <w:r w:rsidRPr="00C215E1">
        <w:rPr>
          <w:lang w:bidi="ar-EG"/>
        </w:rPr>
        <w:t>30</w:t>
      </w:r>
      <w:r w:rsidRPr="002523CB">
        <w:rPr>
          <w:rFonts w:hint="cs"/>
          <w:rtl/>
        </w:rPr>
        <w:t xml:space="preserve"> و</w:t>
      </w:r>
      <w:r w:rsidRPr="00C215E1">
        <w:t>30A</w:t>
      </w:r>
      <w:r w:rsidRPr="002523CB">
        <w:rPr>
          <w:rFonts w:hint="cs"/>
          <w:rtl/>
        </w:rPr>
        <w:t xml:space="preserve">. وبالإضافة إلى ذلك، فقد أُدرجت أحكام للتعامل مع حالات عدم تقديم الردود. وتنبغي الإشارة أيضاً إلى إدراج إجراءات للتعامل مع حالات عدم الرد فيما يتعلق بتنسيق </w:t>
      </w:r>
      <w:r w:rsidRPr="002523CB">
        <w:rPr>
          <w:rtl/>
        </w:rPr>
        <w:t>خدمة الثابتة الساتلية</w:t>
      </w:r>
      <w:r w:rsidRPr="002523CB">
        <w:rPr>
          <w:rFonts w:hint="cs"/>
          <w:rtl/>
        </w:rPr>
        <w:t xml:space="preserve"> غير المخططة بموجب المادة </w:t>
      </w:r>
      <w:r w:rsidRPr="002523CB">
        <w:t>9</w:t>
      </w:r>
      <w:r w:rsidRPr="002523CB">
        <w:rPr>
          <w:rFonts w:hint="cs"/>
          <w:rtl/>
        </w:rPr>
        <w:t xml:space="preserve"> من لوائح الراديو أيضاً. بيد أن الأحكام المعنية في المادة</w:t>
      </w:r>
      <w:r w:rsidR="00F453B3">
        <w:rPr>
          <w:rFonts w:hint="cs"/>
          <w:rtl/>
        </w:rPr>
        <w:t xml:space="preserve"> </w:t>
      </w:r>
      <w:r w:rsidRPr="002523CB">
        <w:t>4</w:t>
      </w:r>
      <w:r w:rsidRPr="002523CB">
        <w:rPr>
          <w:rFonts w:hint="cs"/>
          <w:rtl/>
        </w:rPr>
        <w:t xml:space="preserve"> من التذييلين</w:t>
      </w:r>
      <w:r>
        <w:rPr>
          <w:rFonts w:hint="eastAsia"/>
          <w:rtl/>
        </w:rPr>
        <w:t> </w:t>
      </w:r>
      <w:r w:rsidRPr="00C215E1">
        <w:rPr>
          <w:lang w:bidi="ar-EG"/>
        </w:rPr>
        <w:t>30</w:t>
      </w:r>
      <w:r w:rsidRPr="002523CB">
        <w:rPr>
          <w:rFonts w:hint="cs"/>
          <w:rtl/>
        </w:rPr>
        <w:t xml:space="preserve"> و</w:t>
      </w:r>
      <w:r w:rsidRPr="00C215E1">
        <w:t>30A</w:t>
      </w:r>
      <w:r w:rsidRPr="002523CB">
        <w:rPr>
          <w:rFonts w:hint="cs"/>
          <w:b/>
          <w:bCs/>
          <w:rtl/>
        </w:rPr>
        <w:t xml:space="preserve"> </w:t>
      </w:r>
      <w:r w:rsidRPr="002523CB">
        <w:rPr>
          <w:rFonts w:hint="cs"/>
          <w:rtl/>
        </w:rPr>
        <w:t xml:space="preserve">للوائح الراديو التي اعتُمدت حتى الآن لم تحل مشكلة انخفاض </w:t>
      </w:r>
      <w:r w:rsidRPr="002523CB">
        <w:rPr>
          <w:rtl/>
          <w:lang w:bidi="ar-EG"/>
        </w:rPr>
        <w:t>هامش الحماية المكافئ</w:t>
      </w:r>
      <w:r w:rsidRPr="002523CB">
        <w:rPr>
          <w:rFonts w:hint="cs"/>
          <w:rtl/>
          <w:lang w:bidi="ar-EG"/>
        </w:rPr>
        <w:t xml:space="preserve"> </w:t>
      </w:r>
      <w:r w:rsidR="003D3396">
        <w:rPr>
          <w:lang w:bidi="ar-EG"/>
        </w:rPr>
        <w:t>(</w:t>
      </w:r>
      <w:r w:rsidRPr="002523CB">
        <w:t>EPM</w:t>
      </w:r>
      <w:r w:rsidR="003D3396">
        <w:t>)</w:t>
      </w:r>
      <w:r w:rsidRPr="002523CB">
        <w:rPr>
          <w:rFonts w:hint="cs"/>
          <w:rtl/>
          <w:lang w:bidi="ar-EG"/>
        </w:rPr>
        <w:t xml:space="preserve">. ونتيجة لذلك، يوجد عدد من التخصيصات التي لها </w:t>
      </w:r>
      <w:r w:rsidRPr="002523CB">
        <w:rPr>
          <w:rtl/>
          <w:lang w:bidi="ar-EG"/>
        </w:rPr>
        <w:t>ه</w:t>
      </w:r>
      <w:r w:rsidRPr="002523CB">
        <w:rPr>
          <w:rFonts w:hint="cs"/>
          <w:rtl/>
          <w:lang w:bidi="ar-EG"/>
        </w:rPr>
        <w:t>وا</w:t>
      </w:r>
      <w:r w:rsidRPr="002523CB">
        <w:rPr>
          <w:rtl/>
          <w:lang w:bidi="ar-EG"/>
        </w:rPr>
        <w:t>مش حماية مكافئ</w:t>
      </w:r>
      <w:r w:rsidRPr="002523CB">
        <w:rPr>
          <w:rFonts w:hint="cs"/>
          <w:rtl/>
          <w:lang w:bidi="ar-EG"/>
        </w:rPr>
        <w:t>ة سلبية واسعة نتيجة عدم الرد على طلب التنسيق في</w:t>
      </w:r>
      <w:r w:rsidRPr="002523CB">
        <w:rPr>
          <w:rFonts w:hint="eastAsia"/>
          <w:rtl/>
          <w:lang w:bidi="ar-EG"/>
        </w:rPr>
        <w:t> </w:t>
      </w:r>
      <w:r w:rsidRPr="002523CB">
        <w:rPr>
          <w:rFonts w:hint="cs"/>
          <w:rtl/>
          <w:lang w:bidi="ar-EG"/>
        </w:rPr>
        <w:t>خطة التذييلين</w:t>
      </w:r>
      <w:r w:rsidRPr="002523CB">
        <w:rPr>
          <w:rFonts w:hint="eastAsia"/>
          <w:rtl/>
          <w:lang w:bidi="ar-EG"/>
        </w:rPr>
        <w:t> </w:t>
      </w:r>
      <w:r w:rsidRPr="00C215E1">
        <w:rPr>
          <w:lang w:bidi="ar-EG"/>
        </w:rPr>
        <w:t>30</w:t>
      </w:r>
      <w:r w:rsidRPr="002523CB">
        <w:rPr>
          <w:rFonts w:hint="cs"/>
          <w:rtl/>
        </w:rPr>
        <w:t xml:space="preserve"> و</w:t>
      </w:r>
      <w:r w:rsidRPr="00C215E1">
        <w:t>30A</w:t>
      </w:r>
      <w:r w:rsidRPr="002523CB">
        <w:rPr>
          <w:rFonts w:hint="cs"/>
          <w:rtl/>
        </w:rPr>
        <w:t xml:space="preserve"> للإقليمين</w:t>
      </w:r>
      <w:r w:rsidRPr="002523CB">
        <w:rPr>
          <w:rFonts w:hint="eastAsia"/>
          <w:rtl/>
        </w:rPr>
        <w:t> </w:t>
      </w:r>
      <w:r w:rsidRPr="002523CB">
        <w:t>1</w:t>
      </w:r>
      <w:r w:rsidRPr="002523CB">
        <w:rPr>
          <w:rFonts w:hint="cs"/>
          <w:rtl/>
        </w:rPr>
        <w:t xml:space="preserve"> و</w:t>
      </w:r>
      <w:r w:rsidRPr="002523CB">
        <w:t>3</w:t>
      </w:r>
      <w:r w:rsidRPr="002523CB">
        <w:rPr>
          <w:rFonts w:hint="cs"/>
          <w:rtl/>
        </w:rPr>
        <w:t>.</w:t>
      </w:r>
    </w:p>
    <w:p w:rsidR="00371711" w:rsidRDefault="001A2432" w:rsidP="001A2432">
      <w:pPr>
        <w:pStyle w:val="Headingb"/>
        <w:rPr>
          <w:rFonts w:eastAsia="SimSun"/>
        </w:rPr>
      </w:pPr>
      <w:r>
        <w:rPr>
          <w:rFonts w:eastAsia="SimSun" w:hint="cs"/>
          <w:rtl/>
        </w:rPr>
        <w:lastRenderedPageBreak/>
        <w:t>المقترح</w:t>
      </w:r>
    </w:p>
    <w:p w:rsidR="00950344" w:rsidRDefault="00C215E1">
      <w:pPr>
        <w:pStyle w:val="Proposal"/>
      </w:pPr>
      <w:r>
        <w:rPr>
          <w:rtl/>
        </w:rPr>
        <w:tab/>
      </w:r>
      <w:r w:rsidR="00AE69CF">
        <w:t>CTI/68A13/1</w:t>
      </w:r>
    </w:p>
    <w:p w:rsidR="00950344" w:rsidRPr="00344AF6" w:rsidRDefault="00344AF6" w:rsidP="00B103E6">
      <w:pPr>
        <w:rPr>
          <w:rtl/>
          <w:lang w:bidi="ar-EG"/>
        </w:rPr>
      </w:pPr>
      <w:r>
        <w:rPr>
          <w:rFonts w:hint="cs"/>
          <w:rtl/>
        </w:rPr>
        <w:t xml:space="preserve">تؤيد كوت ديفوار الأسلوب </w:t>
      </w:r>
      <w:r>
        <w:t>L3</w:t>
      </w:r>
      <w:r w:rsidR="00A305FA">
        <w:rPr>
          <w:rFonts w:hint="cs"/>
          <w:rtl/>
        </w:rPr>
        <w:t>،</w:t>
      </w:r>
      <w:r>
        <w:rPr>
          <w:rFonts w:hint="cs"/>
          <w:rtl/>
          <w:lang w:bidi="ar-EG"/>
        </w:rPr>
        <w:t xml:space="preserve"> المتمثل في عدم إدخال أي تعديل على التذييلين </w:t>
      </w:r>
      <w:r w:rsidRPr="00BB3C78">
        <w:rPr>
          <w:lang w:bidi="ar-EG"/>
        </w:rPr>
        <w:t>30</w:t>
      </w:r>
      <w:r w:rsidRPr="002523CB">
        <w:rPr>
          <w:rFonts w:hint="cs"/>
          <w:rtl/>
        </w:rPr>
        <w:t xml:space="preserve"> و</w:t>
      </w:r>
      <w:r w:rsidRPr="00BB3C78">
        <w:t>30A</w:t>
      </w:r>
      <w:r>
        <w:rPr>
          <w:rFonts w:hint="cs"/>
          <w:rtl/>
          <w:lang w:bidi="ar-EG"/>
        </w:rPr>
        <w:t xml:space="preserve"> للوائح الراديو.</w:t>
      </w:r>
    </w:p>
    <w:p w:rsidR="00950344" w:rsidRDefault="00AE69CF" w:rsidP="001A2432">
      <w:pPr>
        <w:pStyle w:val="Reasons"/>
        <w:rPr>
          <w:b w:val="0"/>
          <w:bCs w:val="0"/>
          <w:rtl/>
          <w:lang w:bidi="ar-EG"/>
        </w:rPr>
      </w:pPr>
      <w:r>
        <w:rPr>
          <w:rtl/>
        </w:rPr>
        <w:t>الأسباب:</w:t>
      </w:r>
      <w:r>
        <w:tab/>
      </w:r>
      <w:r w:rsidR="001A2432" w:rsidRPr="001A2432">
        <w:rPr>
          <w:rFonts w:hint="cs"/>
          <w:b w:val="0"/>
          <w:bCs w:val="0"/>
          <w:rtl/>
          <w:lang w:bidi="ar-EG"/>
        </w:rPr>
        <w:t>ميزة الموافقة الضمنية أنها تحد من العبء الإداري الواقع على الإدارات</w:t>
      </w:r>
      <w:r w:rsidR="001A2432">
        <w:rPr>
          <w:rFonts w:hint="cs"/>
          <w:b w:val="0"/>
          <w:bCs w:val="0"/>
          <w:rtl/>
          <w:lang w:bidi="ar-EG"/>
        </w:rPr>
        <w:t>.</w:t>
      </w:r>
    </w:p>
    <w:p w:rsidR="001A2432" w:rsidRDefault="00344AF6" w:rsidP="005250D0">
      <w:pPr>
        <w:rPr>
          <w:rtl/>
          <w:lang w:bidi="ar-EG"/>
        </w:rPr>
      </w:pPr>
      <w:r>
        <w:rPr>
          <w:rFonts w:hint="cs"/>
          <w:rtl/>
          <w:lang w:bidi="ar-EG"/>
        </w:rPr>
        <w:t xml:space="preserve">وإلى جانب إمكانية الاعتراض على الموافقة الضمنية، فإن لوائح الراديو تقدم العديد من الحلول التي يمكن من خلالها للإدارات التي يُطلب منها الرد على طلب للتنسيق أن ترد على الطلب في غضون فترة معقولة (انظر الفقرات </w:t>
      </w:r>
      <w:r w:rsidR="00B103E6">
        <w:rPr>
          <w:lang w:bidi="ar-EG"/>
        </w:rPr>
        <w:t>10.4</w:t>
      </w:r>
      <w:r>
        <w:rPr>
          <w:rFonts w:hint="cs"/>
          <w:rtl/>
          <w:lang w:bidi="ar-EG"/>
        </w:rPr>
        <w:t xml:space="preserve"> و</w:t>
      </w:r>
      <w:r w:rsidR="00B103E6">
        <w:rPr>
          <w:lang w:bidi="ar-EG"/>
        </w:rPr>
        <w:t>10.1.4</w:t>
      </w:r>
      <w:r w:rsidR="00B103E6" w:rsidRPr="00BB3C78">
        <w:rPr>
          <w:rFonts w:hint="cs"/>
          <w:i/>
          <w:iCs/>
          <w:rtl/>
          <w:lang w:bidi="ar-EG"/>
        </w:rPr>
        <w:t>مكرراً</w:t>
      </w:r>
      <w:r w:rsidRPr="00BB3C78">
        <w:rPr>
          <w:rFonts w:hint="cs"/>
          <w:i/>
          <w:iCs/>
          <w:rtl/>
          <w:lang w:bidi="ar-EG"/>
        </w:rPr>
        <w:t xml:space="preserve"> </w:t>
      </w:r>
      <w:r>
        <w:rPr>
          <w:rFonts w:hint="cs"/>
          <w:rtl/>
          <w:lang w:bidi="ar-EG"/>
        </w:rPr>
        <w:t>و</w:t>
      </w:r>
      <w:r w:rsidR="00B103E6">
        <w:rPr>
          <w:lang w:bidi="ar-EG"/>
        </w:rPr>
        <w:t>10.1.4</w:t>
      </w:r>
      <w:r>
        <w:rPr>
          <w:rFonts w:hint="cs"/>
          <w:rtl/>
          <w:lang w:bidi="ar-EG"/>
        </w:rPr>
        <w:t xml:space="preserve"> من التذييلين</w:t>
      </w:r>
      <w:r w:rsidR="005250D0">
        <w:rPr>
          <w:rFonts w:hint="eastAsia"/>
          <w:rtl/>
          <w:lang w:bidi="ar-EG"/>
        </w:rPr>
        <w:t> </w:t>
      </w:r>
      <w:r>
        <w:rPr>
          <w:lang w:bidi="ar-EG"/>
        </w:rPr>
        <w:t>30</w:t>
      </w:r>
      <w:r>
        <w:rPr>
          <w:rFonts w:hint="cs"/>
          <w:rtl/>
          <w:lang w:bidi="ar-EG"/>
        </w:rPr>
        <w:t xml:space="preserve"> و</w:t>
      </w:r>
      <w:r>
        <w:rPr>
          <w:lang w:bidi="ar-EG"/>
        </w:rPr>
        <w:t>30A</w:t>
      </w:r>
      <w:r>
        <w:rPr>
          <w:rFonts w:hint="cs"/>
          <w:rtl/>
          <w:lang w:bidi="ar-EG"/>
        </w:rPr>
        <w:t xml:space="preserve">). وإضافةً إلى ذلك، من شأن الأسلوب </w:t>
      </w:r>
      <w:r>
        <w:t>L2</w:t>
      </w:r>
      <w:r>
        <w:rPr>
          <w:rFonts w:hint="cs"/>
          <w:rtl/>
          <w:lang w:bidi="ar-EG"/>
        </w:rPr>
        <w:t xml:space="preserve"> أن يطيل إجراء التنسيق.</w:t>
      </w:r>
    </w:p>
    <w:p w:rsidR="001A2432" w:rsidRPr="00BB3C78" w:rsidRDefault="001A2432" w:rsidP="001A2432">
      <w:pPr>
        <w:pStyle w:val="Reasons"/>
        <w:rPr>
          <w:b w:val="0"/>
          <w:bCs w:val="0"/>
          <w:lang w:bidi="ar-EG"/>
        </w:rPr>
      </w:pPr>
    </w:p>
    <w:p w:rsidR="001A2432" w:rsidRPr="001A2432" w:rsidRDefault="001A2432" w:rsidP="001A2432">
      <w:pPr>
        <w:spacing w:before="600"/>
        <w:jc w:val="center"/>
        <w:rPr>
          <w:rtl/>
          <w:lang w:bidi="ar-EG"/>
        </w:rPr>
      </w:pPr>
      <w:r>
        <w:rPr>
          <w:rFonts w:hint="cs"/>
          <w:rtl/>
          <w:lang w:bidi="ar-EG"/>
        </w:rPr>
        <w:t>___________</w:t>
      </w:r>
    </w:p>
    <w:sectPr w:rsidR="001A2432" w:rsidRPr="001A2432" w:rsidSect="004D4AE6">
      <w:headerReference w:type="even" r:id="rId13"/>
      <w:headerReference w:type="default" r:id="rId14"/>
      <w:footerReference w:type="default" r:id="rId15"/>
      <w:footerReference w:type="first" r:id="rId16"/>
      <w:pgSz w:w="11907" w:h="16834" w:code="9"/>
      <w:pgMar w:top="1418" w:right="1134" w:bottom="1134" w:left="1134" w:header="567" w:footer="567"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10A" w:rsidRDefault="00BA610A" w:rsidP="002919E1">
      <w:r>
        <w:separator/>
      </w:r>
    </w:p>
    <w:p w:rsidR="00BA610A" w:rsidRDefault="00BA610A" w:rsidP="002919E1"/>
    <w:p w:rsidR="00BA610A" w:rsidRDefault="00BA610A" w:rsidP="002919E1"/>
    <w:p w:rsidR="00BA610A" w:rsidRDefault="00BA610A"/>
  </w:endnote>
  <w:endnote w:type="continuationSeparator" w:id="0">
    <w:p w:rsidR="00BA610A" w:rsidRDefault="00BA610A" w:rsidP="002919E1">
      <w:r>
        <w:continuationSeparator/>
      </w:r>
    </w:p>
    <w:p w:rsidR="00BA610A" w:rsidRDefault="00BA610A" w:rsidP="002919E1"/>
    <w:p w:rsidR="00BA610A" w:rsidRDefault="00BA610A" w:rsidP="002919E1"/>
    <w:p w:rsidR="00BA610A" w:rsidRDefault="00BA6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CB4300" w:rsidRDefault="00281F5F" w:rsidP="001A2432">
    <w:pPr>
      <w:pStyle w:val="Footer"/>
      <w:tabs>
        <w:tab w:val="clear" w:pos="5812"/>
        <w:tab w:val="left" w:pos="6379"/>
      </w:tabs>
      <w:rPr>
        <w:lang w:val="es-ES"/>
      </w:rPr>
    </w:pPr>
    <w:r w:rsidRPr="00CB4300">
      <w:fldChar w:fldCharType="begin"/>
    </w:r>
    <w:r w:rsidRPr="00CB4300">
      <w:rPr>
        <w:lang w:val="es-ES"/>
      </w:rPr>
      <w:instrText xml:space="preserve"> FILENAME \p \* MERGEFORMAT </w:instrText>
    </w:r>
    <w:r w:rsidRPr="00CB4300">
      <w:fldChar w:fldCharType="separate"/>
    </w:r>
    <w:r w:rsidR="00C215E1">
      <w:rPr>
        <w:noProof/>
        <w:lang w:val="es-ES"/>
      </w:rPr>
      <w:t>P:\ARA\ITU-R\CONF-R\CMR15\000\068ADD13A.docx</w:t>
    </w:r>
    <w:r w:rsidRPr="00CB4300">
      <w:fldChar w:fldCharType="end"/>
    </w:r>
    <w:r w:rsidRPr="00CB4300">
      <w:rPr>
        <w:lang w:val="es-ES"/>
      </w:rPr>
      <w:t xml:space="preserve">  (</w:t>
    </w:r>
    <w:r w:rsidR="001A2432">
      <w:rPr>
        <w:lang w:val="es-ES"/>
      </w:rPr>
      <w:t>388435</w:t>
    </w:r>
    <w:r w:rsidRPr="00CB4300">
      <w:rPr>
        <w:lang w:val="es-ES"/>
      </w:rPr>
      <w:t>)</w:t>
    </w:r>
    <w:r w:rsidRPr="00CB4300">
      <w:rPr>
        <w:lang w:val="es-ES"/>
      </w:rPr>
      <w:tab/>
    </w:r>
    <w:r w:rsidRPr="00CB4300">
      <w:fldChar w:fldCharType="begin"/>
    </w:r>
    <w:r w:rsidRPr="00CB4300">
      <w:instrText xml:space="preserve"> savedate \@ dd.MM.yy </w:instrText>
    </w:r>
    <w:r w:rsidRPr="00CB4300">
      <w:fldChar w:fldCharType="separate"/>
    </w:r>
    <w:r w:rsidR="00AD5408">
      <w:rPr>
        <w:noProof/>
      </w:rPr>
      <w:t>01.11.15</w:t>
    </w:r>
    <w:r w:rsidRPr="00CB4300">
      <w:fldChar w:fldCharType="end"/>
    </w:r>
    <w:r w:rsidRPr="00CB4300">
      <w:rPr>
        <w:lang w:val="es-ES"/>
      </w:rPr>
      <w:tab/>
    </w:r>
    <w:r w:rsidRPr="00CB4300">
      <w:fldChar w:fldCharType="begin"/>
    </w:r>
    <w:r w:rsidRPr="00CB4300">
      <w:instrText xml:space="preserve"> printdate \@ dd.MM.yy </w:instrText>
    </w:r>
    <w:r w:rsidRPr="00CB4300">
      <w:fldChar w:fldCharType="separate"/>
    </w:r>
    <w:r w:rsidR="008657CB">
      <w:rPr>
        <w:noProof/>
      </w:rPr>
      <w:t>07.11.11</w:t>
    </w:r>
    <w:r w:rsidRPr="00CB430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CB4300" w:rsidRDefault="00281F5F" w:rsidP="001A2432">
    <w:pPr>
      <w:pStyle w:val="Footer"/>
      <w:tabs>
        <w:tab w:val="clear" w:pos="5812"/>
        <w:tab w:val="left" w:pos="6379"/>
      </w:tabs>
      <w:rPr>
        <w:lang w:val="es-ES"/>
      </w:rPr>
    </w:pPr>
    <w:r>
      <w:fldChar w:fldCharType="begin"/>
    </w:r>
    <w:r w:rsidRPr="00CB4300">
      <w:rPr>
        <w:lang w:val="es-ES"/>
      </w:rPr>
      <w:instrText xml:space="preserve"> FILENAME \p \* MERGEFORMAT </w:instrText>
    </w:r>
    <w:r>
      <w:fldChar w:fldCharType="separate"/>
    </w:r>
    <w:r w:rsidR="00C215E1">
      <w:rPr>
        <w:noProof/>
        <w:lang w:val="es-ES"/>
      </w:rPr>
      <w:t>P:\ARA\ITU-R\CONF-R\CMR15\000\068ADD13A.docx</w:t>
    </w:r>
    <w:r>
      <w:fldChar w:fldCharType="end"/>
    </w:r>
    <w:r w:rsidRPr="00CB4300">
      <w:rPr>
        <w:lang w:val="es-ES"/>
      </w:rPr>
      <w:t xml:space="preserve">   (</w:t>
    </w:r>
    <w:r w:rsidR="001A2432">
      <w:rPr>
        <w:lang w:val="es-ES"/>
      </w:rPr>
      <w:t>388435</w:t>
    </w:r>
    <w:r w:rsidRPr="00CB4300">
      <w:rPr>
        <w:lang w:val="es-ES"/>
      </w:rPr>
      <w:t>)</w:t>
    </w:r>
    <w:r w:rsidRPr="00CB4300">
      <w:rPr>
        <w:lang w:val="es-ES"/>
      </w:rPr>
      <w:tab/>
    </w:r>
    <w:r w:rsidRPr="00B12661">
      <w:fldChar w:fldCharType="begin"/>
    </w:r>
    <w:r w:rsidRPr="00B12661">
      <w:instrText xml:space="preserve"> savedate \@ dd.MM.yy </w:instrText>
    </w:r>
    <w:r w:rsidRPr="00B12661">
      <w:fldChar w:fldCharType="separate"/>
    </w:r>
    <w:r w:rsidR="00AD5408">
      <w:rPr>
        <w:noProof/>
      </w:rPr>
      <w:t>01.11.15</w:t>
    </w:r>
    <w:r w:rsidRPr="00B12661">
      <w:fldChar w:fldCharType="end"/>
    </w:r>
    <w:r w:rsidRPr="00CB4300">
      <w:rPr>
        <w:lang w:val="es-ES"/>
      </w:rPr>
      <w:tab/>
    </w:r>
    <w:r w:rsidRPr="00B12661">
      <w:fldChar w:fldCharType="begin"/>
    </w:r>
    <w:r w:rsidRPr="00B12661">
      <w:instrText xml:space="preserve"> printdate \@ dd.MM.yy </w:instrText>
    </w:r>
    <w:r w:rsidRPr="00B12661">
      <w:fldChar w:fldCharType="separate"/>
    </w:r>
    <w:r w:rsidR="008657CB">
      <w:rPr>
        <w:noProof/>
      </w:rPr>
      <w:t>07.11.11</w:t>
    </w:r>
    <w:r w:rsidRPr="00B1266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10A" w:rsidRDefault="00BA610A" w:rsidP="002919E1">
      <w:r>
        <w:t>___________________</w:t>
      </w:r>
    </w:p>
  </w:footnote>
  <w:footnote w:type="continuationSeparator" w:id="0">
    <w:p w:rsidR="00BA610A" w:rsidRDefault="00BA610A" w:rsidP="002919E1">
      <w:r>
        <w:continuationSeparator/>
      </w:r>
    </w:p>
    <w:p w:rsidR="00BA610A" w:rsidRDefault="00BA610A" w:rsidP="002919E1"/>
    <w:p w:rsidR="00BA610A" w:rsidRDefault="00BA610A" w:rsidP="002919E1"/>
    <w:p w:rsidR="00BA610A" w:rsidRDefault="00BA61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Default="00281F5F" w:rsidP="002919E1"/>
  <w:p w:rsidR="00281F5F" w:rsidRDefault="00281F5F" w:rsidP="002919E1"/>
  <w:p w:rsidR="00281F5F" w:rsidRDefault="00281F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88384B" w:rsidRDefault="00281F5F" w:rsidP="00461F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AD5408">
      <w:rPr>
        <w:rStyle w:val="PageNumber"/>
        <w:noProof/>
      </w:rPr>
      <w:t>2</w:t>
    </w:r>
    <w:r w:rsidRPr="0088384B">
      <w:rPr>
        <w:rStyle w:val="PageNumber"/>
      </w:rPr>
      <w:fldChar w:fldCharType="end"/>
    </w:r>
    <w:r>
      <w:rPr>
        <w:rStyle w:val="PageNumber"/>
        <w:rtl/>
      </w:rPr>
      <w:br/>
    </w:r>
    <w:r w:rsidRPr="0088384B">
      <w:rPr>
        <w:rStyle w:val="PageNumber"/>
      </w:rPr>
      <w:t>CMR1</w:t>
    </w:r>
    <w:r w:rsidR="00461FA7">
      <w:rPr>
        <w:rStyle w:val="PageNumber"/>
      </w:rPr>
      <w:t>5</w:t>
    </w:r>
    <w:r w:rsidRPr="0088384B">
      <w:rPr>
        <w:rStyle w:val="PageNumber"/>
      </w:rPr>
      <w:t>/</w:t>
    </w:r>
    <w:r w:rsidR="00554AE7">
      <w:rPr>
        <w:rStyle w:val="PageNumber"/>
      </w:rPr>
      <w:t>68(Add.13)-</w:t>
    </w:r>
    <w:r w:rsidR="00613492" w:rsidRPr="00613492">
      <w:rPr>
        <w:rStyle w:val="PageNumber"/>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C0F5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A4D3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807E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4A1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D8B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4C"/>
    <w:rsid w:val="00011021"/>
    <w:rsid w:val="000114EC"/>
    <w:rsid w:val="00011F8C"/>
    <w:rsid w:val="00040C94"/>
    <w:rsid w:val="000425FC"/>
    <w:rsid w:val="00044D43"/>
    <w:rsid w:val="00051907"/>
    <w:rsid w:val="00075A3F"/>
    <w:rsid w:val="000A1B16"/>
    <w:rsid w:val="000B5404"/>
    <w:rsid w:val="000D1708"/>
    <w:rsid w:val="000E2AFC"/>
    <w:rsid w:val="000E6D30"/>
    <w:rsid w:val="000F05F5"/>
    <w:rsid w:val="000F28EA"/>
    <w:rsid w:val="000F518F"/>
    <w:rsid w:val="0010081C"/>
    <w:rsid w:val="001013E3"/>
    <w:rsid w:val="0010363F"/>
    <w:rsid w:val="00115F59"/>
    <w:rsid w:val="001464F2"/>
    <w:rsid w:val="001629EC"/>
    <w:rsid w:val="00167364"/>
    <w:rsid w:val="001903B2"/>
    <w:rsid w:val="001A2432"/>
    <w:rsid w:val="001E190C"/>
    <w:rsid w:val="001E54F6"/>
    <w:rsid w:val="001E5A8C"/>
    <w:rsid w:val="00201A0A"/>
    <w:rsid w:val="002075D4"/>
    <w:rsid w:val="00211B2A"/>
    <w:rsid w:val="002333A0"/>
    <w:rsid w:val="002543CF"/>
    <w:rsid w:val="00255868"/>
    <w:rsid w:val="0026062E"/>
    <w:rsid w:val="00260F50"/>
    <w:rsid w:val="00261EF7"/>
    <w:rsid w:val="0027069F"/>
    <w:rsid w:val="00277869"/>
    <w:rsid w:val="00280E04"/>
    <w:rsid w:val="00281F5F"/>
    <w:rsid w:val="002843E4"/>
    <w:rsid w:val="002919E1"/>
    <w:rsid w:val="00295917"/>
    <w:rsid w:val="00296071"/>
    <w:rsid w:val="002A4572"/>
    <w:rsid w:val="002A7E2E"/>
    <w:rsid w:val="002B16D8"/>
    <w:rsid w:val="002D5F64"/>
    <w:rsid w:val="002D6FBF"/>
    <w:rsid w:val="002E48BF"/>
    <w:rsid w:val="002E61C2"/>
    <w:rsid w:val="0033737F"/>
    <w:rsid w:val="00344AF6"/>
    <w:rsid w:val="00353652"/>
    <w:rsid w:val="003569E1"/>
    <w:rsid w:val="00371711"/>
    <w:rsid w:val="003815E2"/>
    <w:rsid w:val="00381FAD"/>
    <w:rsid w:val="00382A66"/>
    <w:rsid w:val="003923B1"/>
    <w:rsid w:val="003965FE"/>
    <w:rsid w:val="003A6AB4"/>
    <w:rsid w:val="003B27AD"/>
    <w:rsid w:val="003B4F23"/>
    <w:rsid w:val="003C12F6"/>
    <w:rsid w:val="003C3A13"/>
    <w:rsid w:val="003D3396"/>
    <w:rsid w:val="003E02EF"/>
    <w:rsid w:val="003E1608"/>
    <w:rsid w:val="003E1D90"/>
    <w:rsid w:val="00400CD4"/>
    <w:rsid w:val="004147B9"/>
    <w:rsid w:val="00422C04"/>
    <w:rsid w:val="00426144"/>
    <w:rsid w:val="00461FA7"/>
    <w:rsid w:val="00470CBD"/>
    <w:rsid w:val="0047407D"/>
    <w:rsid w:val="004909DD"/>
    <w:rsid w:val="004A05E6"/>
    <w:rsid w:val="004A6C66"/>
    <w:rsid w:val="004A7AA0"/>
    <w:rsid w:val="004C11BC"/>
    <w:rsid w:val="004D4AE6"/>
    <w:rsid w:val="004E34FA"/>
    <w:rsid w:val="00505FCA"/>
    <w:rsid w:val="00510C2D"/>
    <w:rsid w:val="005169F4"/>
    <w:rsid w:val="005210D1"/>
    <w:rsid w:val="00523146"/>
    <w:rsid w:val="00523275"/>
    <w:rsid w:val="005250D0"/>
    <w:rsid w:val="00531DC7"/>
    <w:rsid w:val="005350B0"/>
    <w:rsid w:val="00546A99"/>
    <w:rsid w:val="00553411"/>
    <w:rsid w:val="00554AE7"/>
    <w:rsid w:val="00564746"/>
    <w:rsid w:val="0056512C"/>
    <w:rsid w:val="00576D0A"/>
    <w:rsid w:val="00576FCC"/>
    <w:rsid w:val="00584333"/>
    <w:rsid w:val="005930D8"/>
    <w:rsid w:val="005953EC"/>
    <w:rsid w:val="005B00A1"/>
    <w:rsid w:val="005C29C8"/>
    <w:rsid w:val="005C5D25"/>
    <w:rsid w:val="005D6D48"/>
    <w:rsid w:val="005D72A4"/>
    <w:rsid w:val="005F05CC"/>
    <w:rsid w:val="005F65DE"/>
    <w:rsid w:val="00613492"/>
    <w:rsid w:val="006315B5"/>
    <w:rsid w:val="00651343"/>
    <w:rsid w:val="0065562F"/>
    <w:rsid w:val="00680A66"/>
    <w:rsid w:val="00681391"/>
    <w:rsid w:val="006A12AC"/>
    <w:rsid w:val="006A2162"/>
    <w:rsid w:val="006B0D94"/>
    <w:rsid w:val="006B4B90"/>
    <w:rsid w:val="006B658C"/>
    <w:rsid w:val="006D2674"/>
    <w:rsid w:val="006E38D0"/>
    <w:rsid w:val="006E465B"/>
    <w:rsid w:val="006F70BF"/>
    <w:rsid w:val="00716B1D"/>
    <w:rsid w:val="007248EC"/>
    <w:rsid w:val="00731150"/>
    <w:rsid w:val="00736DCC"/>
    <w:rsid w:val="00741855"/>
    <w:rsid w:val="00742B73"/>
    <w:rsid w:val="00751251"/>
    <w:rsid w:val="007610E7"/>
    <w:rsid w:val="00764079"/>
    <w:rsid w:val="00770AA0"/>
    <w:rsid w:val="00771F7E"/>
    <w:rsid w:val="00773E9C"/>
    <w:rsid w:val="00776F6B"/>
    <w:rsid w:val="00777694"/>
    <w:rsid w:val="00786A7E"/>
    <w:rsid w:val="007A0802"/>
    <w:rsid w:val="007B1FCA"/>
    <w:rsid w:val="007C28CA"/>
    <w:rsid w:val="007C2C12"/>
    <w:rsid w:val="007C3CFA"/>
    <w:rsid w:val="007E0E8B"/>
    <w:rsid w:val="007F08CA"/>
    <w:rsid w:val="007F7FC3"/>
    <w:rsid w:val="00810482"/>
    <w:rsid w:val="00817568"/>
    <w:rsid w:val="008204AC"/>
    <w:rsid w:val="008261C2"/>
    <w:rsid w:val="00830D96"/>
    <w:rsid w:val="008455BE"/>
    <w:rsid w:val="0085569D"/>
    <w:rsid w:val="00855B59"/>
    <w:rsid w:val="0085774F"/>
    <w:rsid w:val="008657CB"/>
    <w:rsid w:val="00866A15"/>
    <w:rsid w:val="0088384B"/>
    <w:rsid w:val="008911EC"/>
    <w:rsid w:val="00893E53"/>
    <w:rsid w:val="008A1137"/>
    <w:rsid w:val="008A1788"/>
    <w:rsid w:val="008A4185"/>
    <w:rsid w:val="008A6552"/>
    <w:rsid w:val="008B4E93"/>
    <w:rsid w:val="008D4F14"/>
    <w:rsid w:val="008D6ACC"/>
    <w:rsid w:val="008D7AF0"/>
    <w:rsid w:val="008E32DD"/>
    <w:rsid w:val="008F4626"/>
    <w:rsid w:val="009004DF"/>
    <w:rsid w:val="00904AA5"/>
    <w:rsid w:val="00905D21"/>
    <w:rsid w:val="00950344"/>
    <w:rsid w:val="00951718"/>
    <w:rsid w:val="00954CCB"/>
    <w:rsid w:val="00960962"/>
    <w:rsid w:val="00972CE0"/>
    <w:rsid w:val="009A3D30"/>
    <w:rsid w:val="009B0BD8"/>
    <w:rsid w:val="009D6348"/>
    <w:rsid w:val="009E613F"/>
    <w:rsid w:val="009F042B"/>
    <w:rsid w:val="009F7BA0"/>
    <w:rsid w:val="00A03FD6"/>
    <w:rsid w:val="00A116A8"/>
    <w:rsid w:val="00A22AE9"/>
    <w:rsid w:val="00A26758"/>
    <w:rsid w:val="00A26D0E"/>
    <w:rsid w:val="00A278E9"/>
    <w:rsid w:val="00A305FA"/>
    <w:rsid w:val="00A3451F"/>
    <w:rsid w:val="00A36268"/>
    <w:rsid w:val="00A40B2C"/>
    <w:rsid w:val="00A66D2B"/>
    <w:rsid w:val="00A83981"/>
    <w:rsid w:val="00A870AD"/>
    <w:rsid w:val="00A90843"/>
    <w:rsid w:val="00A9645C"/>
    <w:rsid w:val="00AB2A33"/>
    <w:rsid w:val="00AC1275"/>
    <w:rsid w:val="00AC7395"/>
    <w:rsid w:val="00AD5408"/>
    <w:rsid w:val="00AD690F"/>
    <w:rsid w:val="00AD69DD"/>
    <w:rsid w:val="00AD706D"/>
    <w:rsid w:val="00AE69CF"/>
    <w:rsid w:val="00AF41D1"/>
    <w:rsid w:val="00B01623"/>
    <w:rsid w:val="00B033DF"/>
    <w:rsid w:val="00B07CEE"/>
    <w:rsid w:val="00B103E6"/>
    <w:rsid w:val="00B12661"/>
    <w:rsid w:val="00B1714C"/>
    <w:rsid w:val="00B357E9"/>
    <w:rsid w:val="00B4164D"/>
    <w:rsid w:val="00B425C1"/>
    <w:rsid w:val="00B528DF"/>
    <w:rsid w:val="00B606BA"/>
    <w:rsid w:val="00B66817"/>
    <w:rsid w:val="00B71E3B"/>
    <w:rsid w:val="00B721D5"/>
    <w:rsid w:val="00B81CB5"/>
    <w:rsid w:val="00B8351F"/>
    <w:rsid w:val="00B86C44"/>
    <w:rsid w:val="00B9727C"/>
    <w:rsid w:val="00BA610A"/>
    <w:rsid w:val="00BA7D44"/>
    <w:rsid w:val="00BB3C78"/>
    <w:rsid w:val="00BD6EF3"/>
    <w:rsid w:val="00BE69C3"/>
    <w:rsid w:val="00C1165E"/>
    <w:rsid w:val="00C215E1"/>
    <w:rsid w:val="00C22074"/>
    <w:rsid w:val="00C2377B"/>
    <w:rsid w:val="00C3693C"/>
    <w:rsid w:val="00C53F6F"/>
    <w:rsid w:val="00C5489D"/>
    <w:rsid w:val="00C71759"/>
    <w:rsid w:val="00C8199C"/>
    <w:rsid w:val="00C84112"/>
    <w:rsid w:val="00C841EB"/>
    <w:rsid w:val="00C8665F"/>
    <w:rsid w:val="00C917B5"/>
    <w:rsid w:val="00C94DFA"/>
    <w:rsid w:val="00CA298C"/>
    <w:rsid w:val="00CB2BF9"/>
    <w:rsid w:val="00CB4300"/>
    <w:rsid w:val="00CB454E"/>
    <w:rsid w:val="00CC030E"/>
    <w:rsid w:val="00CC57D0"/>
    <w:rsid w:val="00CC68C4"/>
    <w:rsid w:val="00CC79A4"/>
    <w:rsid w:val="00CD0FDE"/>
    <w:rsid w:val="00CE0E68"/>
    <w:rsid w:val="00CE5BA4"/>
    <w:rsid w:val="00D25120"/>
    <w:rsid w:val="00D419CB"/>
    <w:rsid w:val="00D44350"/>
    <w:rsid w:val="00D44E3F"/>
    <w:rsid w:val="00D525F5"/>
    <w:rsid w:val="00D535D0"/>
    <w:rsid w:val="00D62C78"/>
    <w:rsid w:val="00D81703"/>
    <w:rsid w:val="00D82929"/>
    <w:rsid w:val="00D84214"/>
    <w:rsid w:val="00D943E5"/>
    <w:rsid w:val="00DA1AE0"/>
    <w:rsid w:val="00DC29DD"/>
    <w:rsid w:val="00DC7C0E"/>
    <w:rsid w:val="00DF2A6A"/>
    <w:rsid w:val="00DF3B72"/>
    <w:rsid w:val="00E10821"/>
    <w:rsid w:val="00E165ED"/>
    <w:rsid w:val="00E2489D"/>
    <w:rsid w:val="00E25C06"/>
    <w:rsid w:val="00E26520"/>
    <w:rsid w:val="00E343A3"/>
    <w:rsid w:val="00E51BFA"/>
    <w:rsid w:val="00E621A3"/>
    <w:rsid w:val="00E77D29"/>
    <w:rsid w:val="00E833BC"/>
    <w:rsid w:val="00E8580E"/>
    <w:rsid w:val="00EA1B76"/>
    <w:rsid w:val="00EA77D7"/>
    <w:rsid w:val="00EC09B9"/>
    <w:rsid w:val="00ED048C"/>
    <w:rsid w:val="00ED4B29"/>
    <w:rsid w:val="00EF38AF"/>
    <w:rsid w:val="00F055F8"/>
    <w:rsid w:val="00F10CB4"/>
    <w:rsid w:val="00F11B3D"/>
    <w:rsid w:val="00F14763"/>
    <w:rsid w:val="00F16212"/>
    <w:rsid w:val="00F16602"/>
    <w:rsid w:val="00F25B80"/>
    <w:rsid w:val="00F2685F"/>
    <w:rsid w:val="00F350C8"/>
    <w:rsid w:val="00F453B3"/>
    <w:rsid w:val="00F8654D"/>
    <w:rsid w:val="00F900C9"/>
    <w:rsid w:val="00F92C96"/>
    <w:rsid w:val="00FA0D4E"/>
    <w:rsid w:val="00FB0753"/>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C895AEA1-3BE1-4E04-B36D-379FE81C4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2DD"/>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422C04"/>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basedOn w:val="DefaultParagraphFont"/>
    <w:rsid w:val="001464F2"/>
    <w:rPr>
      <w:rFonts w:cs="Times New Roman"/>
      <w:position w:val="6"/>
      <w:sz w:val="18"/>
      <w:szCs w:val="18"/>
    </w:rPr>
  </w:style>
  <w:style w:type="paragraph" w:styleId="FootnoteText">
    <w:name w:val="footnote text"/>
    <w:basedOn w:val="Normal"/>
    <w:link w:val="FootnoteTextChar"/>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basedOn w:val="DefaultParagraphFont"/>
    <w:link w:val="FootnoteText"/>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6F70BF"/>
    <w:rPr>
      <w:rFonts w:ascii="Times New Roman" w:hAnsi="Times New Roman"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DF2A6A"/>
    <w:pPr>
      <w:spacing w:before="80"/>
      <w:ind w:left="1134" w:hanging="1134"/>
    </w:pPr>
  </w:style>
  <w:style w:type="character" w:customStyle="1" w:styleId="enumlev1Char">
    <w:name w:val="enumlev1 Char"/>
    <w:basedOn w:val="DefaultParagraphFont"/>
    <w:link w:val="enumlev1"/>
    <w:rsid w:val="00DF2A6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DF2A6A"/>
    <w:pPr>
      <w:ind w:left="1814" w:hanging="680"/>
    </w:pPr>
  </w:style>
  <w:style w:type="character" w:customStyle="1" w:styleId="enumlev2Char">
    <w:name w:val="enumlev2 Char"/>
    <w:basedOn w:val="enumlev1Char"/>
    <w:link w:val="enumlev2"/>
    <w:rsid w:val="00DF2A6A"/>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DF2A6A"/>
    <w:pPr>
      <w:tabs>
        <w:tab w:val="clear" w:pos="1134"/>
        <w:tab w:val="left" w:pos="2500"/>
      </w:tabs>
      <w:ind w:left="2494"/>
    </w:pPr>
  </w:style>
  <w:style w:type="character" w:customStyle="1" w:styleId="enumlev3Char">
    <w:name w:val="enumlev3 Char"/>
    <w:basedOn w:val="enumlev2Char"/>
    <w:link w:val="enumlev3"/>
    <w:rsid w:val="00DF2A6A"/>
    <w:rPr>
      <w:rFonts w:ascii="Times New Roman" w:hAnsi="Times New Roman" w:cs="Traditional Arabic"/>
      <w:sz w:val="22"/>
      <w:szCs w:val="30"/>
      <w:lang w:eastAsia="en-US"/>
    </w:rPr>
  </w:style>
  <w:style w:type="paragraph" w:customStyle="1" w:styleId="Tablehead">
    <w:name w:val="Table_head"/>
    <w:basedOn w:val="Normal"/>
    <w:qFormat/>
    <w:rsid w:val="008A4185"/>
    <w:pPr>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8A4185"/>
    <w:rPr>
      <w:b/>
      <w:bCs/>
    </w:rPr>
  </w:style>
  <w:style w:type="paragraph" w:customStyle="1" w:styleId="Tabletitle">
    <w:name w:val="Table_title"/>
    <w:basedOn w:val="Normal"/>
    <w:next w:val="Normal"/>
    <w:rsid w:val="00741855"/>
    <w:pPr>
      <w:keepNext/>
      <w:tabs>
        <w:tab w:val="left" w:pos="2948"/>
        <w:tab w:val="left" w:pos="4082"/>
      </w:tabs>
      <w:spacing w:before="60" w:after="120"/>
      <w:jc w:val="center"/>
    </w:pPr>
    <w:rPr>
      <w:rFonts w:ascii="Times New Roman Bold" w:hAnsi="Times New Roman Bold"/>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7C2C12"/>
    <w:pPr>
      <w:spacing w:before="840"/>
      <w:jc w:val="center"/>
    </w:pPr>
    <w:rPr>
      <w:rFonts w:ascii="Times New Roman Bold" w:hAnsi="Times New Roman Bold"/>
      <w:b/>
      <w:bCs/>
      <w:snapToGrid w:val="0"/>
      <w:sz w:val="28"/>
      <w:szCs w:val="40"/>
      <w:lang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5D6D48"/>
    <w:pPr>
      <w:keepNext/>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0E2AFC"/>
    <w:rPr>
      <w:rFonts w:ascii="Times New Roman Bold" w:hAnsi="Times New Roman Bold"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qFormat/>
    <w:rsid w:val="00DF2A6A"/>
    <w:pPr>
      <w:keepNext/>
      <w:spacing w:before="240"/>
      <w:jc w:val="center"/>
    </w:p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BD6EF3"/>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nnexNo">
    <w:name w:val="Annex_No"/>
    <w:basedOn w:val="Normal"/>
    <w:qFormat/>
    <w:rsid w:val="00C3693C"/>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0E2AFC"/>
    <w:rPr>
      <w:rFonts w:ascii="Times New Roman Bold" w:hAnsi="Times New Roman Bold"/>
      <w:b/>
      <w:sz w:val="24"/>
      <w:szCs w:val="32"/>
      <w:lang w:bidi="ar-EG"/>
    </w:rPr>
  </w:style>
  <w:style w:type="paragraph" w:customStyle="1" w:styleId="DecisionNo">
    <w:name w:val="Decision_No"/>
    <w:basedOn w:val="Normal"/>
    <w:qFormat/>
    <w:rsid w:val="00A2675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5210D1"/>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qFormat/>
    <w:rsid w:val="00DF2A6A"/>
    <w:pPr>
      <w:keepNext/>
      <w:keepLines/>
      <w:bidi/>
      <w:jc w:val="center"/>
    </w:pPr>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2D6FBF"/>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C3693C"/>
    <w:pPr>
      <w:bidi/>
      <w:spacing w:before="48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F8654D"/>
    <w:pPr>
      <w:bidi/>
      <w:spacing w:before="240" w:line="192" w:lineRule="auto"/>
      <w:jc w:val="center"/>
    </w:pPr>
    <w:rPr>
      <w:rFonts w:ascii="Times New Roman" w:hAnsi="Times New Roman" w:cs="Traditional Arabic"/>
      <w:b/>
      <w:bCs/>
      <w:sz w:val="28"/>
      <w:szCs w:val="40"/>
      <w:lang w:eastAsia="en-US" w:bidi="ar-EG"/>
    </w:rPr>
  </w:style>
  <w:style w:type="paragraph" w:customStyle="1" w:styleId="Tablelegend">
    <w:name w:val="Table_legend"/>
    <w:basedOn w:val="Normal"/>
    <w:link w:val="TablelegendChar"/>
    <w:rsid w:val="00D44E3F"/>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
    <w:rsid w:val="00D44E3F"/>
    <w:rPr>
      <w:rFonts w:ascii="Times New Roman italic" w:hAnsi="Times New Roman italic" w:cs="Traditional Arabic"/>
      <w:i/>
      <w:iCs/>
      <w:sz w:val="22"/>
      <w:szCs w:val="30"/>
      <w:lang w:bidi="ar-EG"/>
    </w:rPr>
  </w:style>
  <w:style w:type="paragraph" w:customStyle="1" w:styleId="Section3">
    <w:name w:val="Section_3‎"/>
    <w:qFormat/>
    <w:rsid w:val="00281F5F"/>
    <w:rPr>
      <w:rFonts w:ascii="Times New Roman" w:hAnsi="Times New Roman"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EC09B9"/>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FB5CC8"/>
  </w:style>
  <w:style w:type="paragraph" w:customStyle="1" w:styleId="Volumetitle">
    <w:name w:val="Volume_title"/>
    <w:basedOn w:val="ArtNo"/>
    <w:qFormat/>
    <w:rsid w:val="00531DC7"/>
  </w:style>
  <w:style w:type="paragraph" w:customStyle="1" w:styleId="TabletextS5">
    <w:name w:val="Table_textS5"/>
    <w:basedOn w:val="Normal"/>
    <w:rsid w:val="004A7AA0"/>
    <w:pPr>
      <w:tabs>
        <w:tab w:val="clear" w:pos="1134"/>
        <w:tab w:val="left" w:pos="3016"/>
      </w:tabs>
      <w:overflowPunct w:val="0"/>
      <w:autoSpaceDE w:val="0"/>
      <w:autoSpaceDN w:val="0"/>
      <w:adjustRightInd w:val="0"/>
      <w:spacing w:before="0" w:line="300" w:lineRule="exact"/>
      <w:jc w:val="left"/>
      <w:textAlignment w:val="baseline"/>
    </w:pPr>
    <w:rPr>
      <w:sz w:val="20"/>
      <w:szCs w:val="26"/>
      <w:lang w:bidi="ar-EG"/>
    </w:rPr>
  </w:style>
  <w:style w:type="paragraph" w:customStyle="1" w:styleId="Part1">
    <w:name w:val="Part_1"/>
    <w:basedOn w:val="Parttitle"/>
    <w:qFormat/>
    <w:rsid w:val="004A7AA0"/>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
    <w:name w:val="Section_2"/>
    <w:basedOn w:val="Section1"/>
    <w:rsid w:val="00353652"/>
    <w:pPr>
      <w:keepNext w:val="0"/>
      <w:tabs>
        <w:tab w:val="clear" w:pos="567"/>
        <w:tab w:val="clear" w:pos="1134"/>
        <w:tab w:val="clear" w:pos="1701"/>
        <w:tab w:val="clear" w:pos="2268"/>
        <w:tab w:val="clear" w:pos="2835"/>
        <w:tab w:val="center" w:pos="4820"/>
      </w:tabs>
      <w:bidi w:val="0"/>
      <w:spacing w:before="360" w:line="240" w:lineRule="auto"/>
    </w:pPr>
    <w:rPr>
      <w:rFonts w:ascii="Times New Roman" w:hAnsi="Times New Roman" w:cs="Times New Roman"/>
      <w:b w:val="0"/>
      <w:bCs w:val="0"/>
      <w:i/>
      <w:szCs w:val="20"/>
      <w:lang w:val="en-GB" w:bidi="ar-SA"/>
    </w:rPr>
  </w:style>
  <w:style w:type="paragraph" w:customStyle="1" w:styleId="Committee">
    <w:name w:val="Committee"/>
    <w:basedOn w:val="Normal"/>
    <w:qFormat/>
    <w:rsid w:val="00770AA0"/>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R15-WRC15-C-0068!A13!MSW-A</DPM_x0020_File_x0020_name>
    <DPM_x0020_Author xmlns="32a1a8c5-2265-4ebc-b7a0-2071e2c5c9bb" xsi:nil="false">Documents Proposals Manager (DPM)</DPM_x0020_Author>
    <DPM_x0020_Version xmlns="32a1a8c5-2265-4ebc-b7a0-2071e2c5c9bb" xsi:nil="false">DPM_v5.2015.10.270_prod</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3.xml><?xml version="1.0" encoding="utf-8"?>
<ds:datastoreItem xmlns:ds="http://schemas.openxmlformats.org/officeDocument/2006/customXml" ds:itemID="{74915B20-5820-449B-910B-08BB5D69794F}">
  <ds:schemaRef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schemas.microsoft.com/office/2006/documentManagement/types"/>
    <ds:schemaRef ds:uri="http://purl.org/dc/terms/"/>
    <ds:schemaRef ds:uri="http://www.w3.org/XML/1998/namespace"/>
    <ds:schemaRef ds:uri="http://purl.org/dc/dcmitype/"/>
    <ds:schemaRef ds:uri="32a1a8c5-2265-4ebc-b7a0-2071e2c5c9bb"/>
    <ds:schemaRef ds:uri="996b2e75-67fd-4955-a3b0-5ab9934cb50b"/>
  </ds:schemaRefs>
</ds:datastoreItem>
</file>

<file path=customXml/itemProps4.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5.xml><?xml version="1.0" encoding="utf-8"?>
<ds:datastoreItem xmlns:ds="http://schemas.openxmlformats.org/officeDocument/2006/customXml" ds:itemID="{D04DBB86-63F2-46A7-8B14-B05FB0F4E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427</Words>
  <Characters>2250</Characters>
  <Application>Microsoft Office Word</Application>
  <DocSecurity>0</DocSecurity>
  <Lines>43</Lines>
  <Paragraphs>21</Paragraphs>
  <ScaleCrop>false</ScaleCrop>
  <HeadingPairs>
    <vt:vector size="2" baseType="variant">
      <vt:variant>
        <vt:lpstr>Title</vt:lpstr>
      </vt:variant>
      <vt:variant>
        <vt:i4>1</vt:i4>
      </vt:variant>
    </vt:vector>
  </HeadingPairs>
  <TitlesOfParts>
    <vt:vector size="1" baseType="lpstr">
      <vt:lpstr>R15-WRC15-C-0068!A13!MSW-A</vt:lpstr>
    </vt:vector>
  </TitlesOfParts>
  <Manager>General Secretariat - Pool</Manager>
  <Company>International Telecommunication Union (ITU)</Company>
  <LinksUpToDate>false</LinksUpToDate>
  <CharactersWithSpaces>2656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R15-WRC15-C-0068!A13!MSW-A</dc:title>
  <dc:creator>Documents Proposals Manager (DPM)</dc:creator>
  <cp:keywords>DPM_v5.2015.10.270_prod</cp:keywords>
  <cp:lastModifiedBy>Awad, Samy</cp:lastModifiedBy>
  <cp:revision>10</cp:revision>
  <cp:lastPrinted>2011-11-07T13:53:00Z</cp:lastPrinted>
  <dcterms:created xsi:type="dcterms:W3CDTF">2015-11-01T16:02:00Z</dcterms:created>
  <dcterms:modified xsi:type="dcterms:W3CDTF">2015-11-01T16:55:00Z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