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171F6" w:rsidTr="0050008E">
        <w:trPr>
          <w:cantSplit/>
        </w:trPr>
        <w:tc>
          <w:tcPr>
            <w:tcW w:w="6911" w:type="dxa"/>
          </w:tcPr>
          <w:p w:rsidR="0090121B" w:rsidRPr="006171F6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171F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171F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171F6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6171F6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171F6">
              <w:rPr>
                <w:noProof/>
                <w:lang w:val="en-GB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171F6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6171F6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6171F6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6171F6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171F6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6171F6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6171F6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171F6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6171F6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71F6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6171F6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171F6">
              <w:rPr>
                <w:rFonts w:ascii="Verdana" w:eastAsia="SimSun" w:hAnsi="Verdana" w:cs="Traditional Arabic"/>
                <w:b/>
                <w:sz w:val="20"/>
              </w:rPr>
              <w:t>Addéndum 12 al</w:t>
            </w:r>
            <w:r w:rsidRPr="006171F6">
              <w:rPr>
                <w:rFonts w:ascii="Verdana" w:eastAsia="SimSun" w:hAnsi="Verdana" w:cs="Traditional Arabic"/>
                <w:b/>
                <w:sz w:val="20"/>
              </w:rPr>
              <w:br/>
              <w:t>Documento 68</w:t>
            </w:r>
            <w:r w:rsidR="0090121B" w:rsidRPr="006171F6">
              <w:rPr>
                <w:rFonts w:ascii="Verdana" w:hAnsi="Verdana"/>
                <w:b/>
                <w:sz w:val="20"/>
              </w:rPr>
              <w:t>-</w:t>
            </w:r>
            <w:r w:rsidRPr="006171F6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171F6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6171F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6171F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71F6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6171F6" w:rsidTr="0090121B">
        <w:trPr>
          <w:cantSplit/>
        </w:trPr>
        <w:tc>
          <w:tcPr>
            <w:tcW w:w="6911" w:type="dxa"/>
          </w:tcPr>
          <w:p w:rsidR="000A5B9A" w:rsidRPr="006171F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6171F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171F6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6171F6" w:rsidTr="006744FC">
        <w:trPr>
          <w:cantSplit/>
        </w:trPr>
        <w:tc>
          <w:tcPr>
            <w:tcW w:w="10031" w:type="dxa"/>
            <w:gridSpan w:val="2"/>
          </w:tcPr>
          <w:p w:rsidR="000A5B9A" w:rsidRPr="006171F6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171F6" w:rsidTr="0050008E">
        <w:trPr>
          <w:cantSplit/>
        </w:trPr>
        <w:tc>
          <w:tcPr>
            <w:tcW w:w="10031" w:type="dxa"/>
            <w:gridSpan w:val="2"/>
          </w:tcPr>
          <w:p w:rsidR="000A5B9A" w:rsidRPr="006171F6" w:rsidRDefault="000A5B9A" w:rsidP="000A5B9A">
            <w:pPr>
              <w:pStyle w:val="Source"/>
            </w:pPr>
            <w:bookmarkStart w:id="2" w:name="dsource" w:colFirst="0" w:colLast="0"/>
            <w:r w:rsidRPr="006171F6">
              <w:t>Côte d'Ivoire (República de)</w:t>
            </w:r>
          </w:p>
        </w:tc>
      </w:tr>
      <w:tr w:rsidR="000A5B9A" w:rsidRPr="006171F6" w:rsidTr="0050008E">
        <w:trPr>
          <w:cantSplit/>
        </w:trPr>
        <w:tc>
          <w:tcPr>
            <w:tcW w:w="10031" w:type="dxa"/>
            <w:gridSpan w:val="2"/>
          </w:tcPr>
          <w:p w:rsidR="000A5B9A" w:rsidRPr="006171F6" w:rsidRDefault="00F62FF3" w:rsidP="000A5B9A">
            <w:pPr>
              <w:pStyle w:val="Title1"/>
            </w:pPr>
            <w:bookmarkStart w:id="3" w:name="dtitle1" w:colFirst="0" w:colLast="0"/>
            <w:bookmarkEnd w:id="2"/>
            <w:r w:rsidRPr="006171F6">
              <w:t>propuestas para los trabajos de la conferencia</w:t>
            </w:r>
          </w:p>
        </w:tc>
      </w:tr>
      <w:tr w:rsidR="000A5B9A" w:rsidRPr="006171F6" w:rsidTr="0050008E">
        <w:trPr>
          <w:cantSplit/>
        </w:trPr>
        <w:tc>
          <w:tcPr>
            <w:tcW w:w="10031" w:type="dxa"/>
            <w:gridSpan w:val="2"/>
          </w:tcPr>
          <w:p w:rsidR="000A5B9A" w:rsidRPr="006171F6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171F6" w:rsidTr="0050008E">
        <w:trPr>
          <w:cantSplit/>
        </w:trPr>
        <w:tc>
          <w:tcPr>
            <w:tcW w:w="10031" w:type="dxa"/>
            <w:gridSpan w:val="2"/>
          </w:tcPr>
          <w:p w:rsidR="000A5B9A" w:rsidRPr="006171F6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6171F6">
              <w:t>Punto 7(J) del orden del día</w:t>
            </w:r>
          </w:p>
        </w:tc>
      </w:tr>
    </w:tbl>
    <w:bookmarkEnd w:id="5"/>
    <w:p w:rsidR="001C0E40" w:rsidRPr="006171F6" w:rsidRDefault="005D1A99" w:rsidP="00512F4E">
      <w:r w:rsidRPr="006171F6">
        <w:t>7</w:t>
      </w:r>
      <w:r w:rsidRPr="006171F6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6171F6">
        <w:rPr>
          <w:b/>
          <w:bCs/>
        </w:rPr>
        <w:t>86 (Rev.CMR-07)</w:t>
      </w:r>
      <w:r w:rsidRPr="006171F6">
        <w:t>, para facilitar la utilización racional, eficaz y económica de las frecuencias radioeléctricas y toda órbita asociada, incluida la órbita de los satélites geoestacionarios;</w:t>
      </w:r>
    </w:p>
    <w:p w:rsidR="00CC2566" w:rsidRPr="006171F6" w:rsidRDefault="005D1A99" w:rsidP="00503F5F">
      <w:r w:rsidRPr="006171F6">
        <w:t xml:space="preserve">7(J) </w:t>
      </w:r>
      <w:r w:rsidRPr="006171F6">
        <w:tab/>
        <w:t>Tema J – Supresión del vínculo entre la fecha de recepción de la información de notificación y la fecha de puesta en servicio del número </w:t>
      </w:r>
      <w:r w:rsidRPr="006171F6">
        <w:rPr>
          <w:b/>
          <w:bCs/>
        </w:rPr>
        <w:t>11.44B</w:t>
      </w:r>
    </w:p>
    <w:p w:rsidR="00F62FF3" w:rsidRPr="006171F6" w:rsidRDefault="00F62FF3" w:rsidP="00F62FF3"/>
    <w:p w:rsidR="00363A65" w:rsidRPr="006171F6" w:rsidRDefault="00567F98" w:rsidP="00567F98">
      <w:pPr>
        <w:pStyle w:val="Headingb"/>
        <w:spacing w:line="480" w:lineRule="auto"/>
      </w:pPr>
      <w:r w:rsidRPr="005C1082">
        <w:t>Antecedentes</w:t>
      </w:r>
    </w:p>
    <w:p w:rsidR="005D1A99" w:rsidRPr="006171F6" w:rsidRDefault="00F62FF3" w:rsidP="005C1082">
      <w:r w:rsidRPr="006171F6">
        <w:t xml:space="preserve">En el número </w:t>
      </w:r>
      <w:r w:rsidRPr="006171F6">
        <w:rPr>
          <w:b/>
        </w:rPr>
        <w:t xml:space="preserve">11.44B </w:t>
      </w:r>
      <w:r w:rsidRPr="006171F6">
        <w:rPr>
          <w:bCs/>
        </w:rPr>
        <w:t>del RR</w:t>
      </w:r>
      <w:r w:rsidRPr="006171F6">
        <w:t>, la CMR-12 definió un periodo de 90 días para la puesta en servicio de una asignación de frecuencia a una estación espacial en la órbita de los satélites geoestacionarios (OSG), e introdujo el requisito de informar a la Oficina, durante los 30 días siguientes al final del periodo, de la finalización del mismo</w:t>
      </w:r>
      <w:r w:rsidRPr="006171F6">
        <w:rPr>
          <w:rFonts w:eastAsia="Calibri"/>
          <w:szCs w:val="24"/>
        </w:rPr>
        <w:t xml:space="preserve">. </w:t>
      </w:r>
      <w:r w:rsidRPr="006171F6">
        <w:t xml:space="preserve">Tras la entrada en vigor del número </w:t>
      </w:r>
      <w:r w:rsidRPr="006171F6">
        <w:rPr>
          <w:b/>
        </w:rPr>
        <w:t>11.44B</w:t>
      </w:r>
      <w:r w:rsidRPr="006171F6">
        <w:t xml:space="preserve"> del RR, la Oficina señaló que, para satisfacer las disposiciones del número </w:t>
      </w:r>
      <w:r w:rsidRPr="006171F6">
        <w:rPr>
          <w:b/>
          <w:bCs/>
        </w:rPr>
        <w:t>11.44B</w:t>
      </w:r>
      <w:r w:rsidRPr="006171F6">
        <w:t xml:space="preserve"> relativas a la confirmación de la puesta en servicio, la fecha de inicio de ese periodo de 90 días no puede ser anterior a 120 días antes de la fecha de recepción de la notificación con arreglo al número </w:t>
      </w:r>
      <w:r w:rsidRPr="006171F6">
        <w:rPr>
          <w:b/>
          <w:bCs/>
          <w:lang w:eastAsia="zh-CN"/>
        </w:rPr>
        <w:t>11.15</w:t>
      </w:r>
      <w:r w:rsidRPr="006171F6">
        <w:rPr>
          <w:lang w:eastAsia="zh-CN"/>
        </w:rPr>
        <w:t>,</w:t>
      </w:r>
      <w:r w:rsidRPr="006171F6">
        <w:rPr>
          <w:b/>
          <w:bCs/>
          <w:lang w:eastAsia="zh-CN"/>
        </w:rPr>
        <w:t xml:space="preserve"> </w:t>
      </w:r>
      <w:r w:rsidRPr="006171F6">
        <w:rPr>
          <w:lang w:eastAsia="zh-CN"/>
        </w:rPr>
        <w:t>el</w:t>
      </w:r>
      <w:r w:rsidRPr="006171F6">
        <w:rPr>
          <w:b/>
          <w:bCs/>
          <w:lang w:eastAsia="zh-CN"/>
        </w:rPr>
        <w:t xml:space="preserve"> </w:t>
      </w:r>
      <w:r w:rsidRPr="006171F6">
        <w:rPr>
          <w:lang w:eastAsia="zh-CN"/>
        </w:rPr>
        <w:t xml:space="preserve">§ 5.1.3 del Apéndice </w:t>
      </w:r>
      <w:r w:rsidRPr="006171F6">
        <w:rPr>
          <w:b/>
          <w:bCs/>
          <w:lang w:eastAsia="zh-CN"/>
        </w:rPr>
        <w:t>30</w:t>
      </w:r>
      <w:r w:rsidRPr="006171F6">
        <w:rPr>
          <w:lang w:eastAsia="zh-CN"/>
        </w:rPr>
        <w:t>,</w:t>
      </w:r>
      <w:r w:rsidRPr="006171F6">
        <w:rPr>
          <w:b/>
          <w:bCs/>
          <w:lang w:eastAsia="zh-CN"/>
        </w:rPr>
        <w:t xml:space="preserve"> </w:t>
      </w:r>
      <w:r w:rsidRPr="006171F6">
        <w:rPr>
          <w:lang w:eastAsia="zh-CN"/>
        </w:rPr>
        <w:t xml:space="preserve">el § 5.1.7 del Apéndice </w:t>
      </w:r>
      <w:r w:rsidRPr="006171F6">
        <w:rPr>
          <w:b/>
          <w:bCs/>
          <w:lang w:eastAsia="zh-CN"/>
        </w:rPr>
        <w:t xml:space="preserve">30A </w:t>
      </w:r>
      <w:r w:rsidRPr="006171F6">
        <w:rPr>
          <w:lang w:eastAsia="zh-CN"/>
        </w:rPr>
        <w:t xml:space="preserve">y el § 8.1 del Apéndice </w:t>
      </w:r>
      <w:r w:rsidRPr="006171F6">
        <w:rPr>
          <w:b/>
          <w:bCs/>
          <w:lang w:eastAsia="zh-CN"/>
        </w:rPr>
        <w:t>30B</w:t>
      </w:r>
      <w:r w:rsidRPr="006171F6">
        <w:rPr>
          <w:lang w:eastAsia="zh-CN"/>
        </w:rPr>
        <w:t>.</w:t>
      </w:r>
      <w:r w:rsidRPr="006171F6">
        <w:t xml:space="preserve"> </w:t>
      </w:r>
      <w:r w:rsidR="00567F98" w:rsidRPr="008706B6">
        <w:t>La determinación del plazo para la presentación de la información de notificación está vinculada a la fecha de puesta en servicio</w:t>
      </w:r>
      <w:r w:rsidRPr="008706B6">
        <w:t xml:space="preserve">, </w:t>
      </w:r>
      <w:r w:rsidR="00567F98" w:rsidRPr="008706B6">
        <w:t>de modo que una administración no puede poner en servicio una red de satélites ni tres años antes de la fecha notificada de puesta en servicio</w:t>
      </w:r>
      <w:r w:rsidRPr="008706B6">
        <w:t xml:space="preserve"> (</w:t>
      </w:r>
      <w:r w:rsidR="00567F98" w:rsidRPr="008706B6">
        <w:t xml:space="preserve">véase el número </w:t>
      </w:r>
      <w:r w:rsidRPr="008706B6">
        <w:t>11.25</w:t>
      </w:r>
      <w:r w:rsidR="00567F98" w:rsidRPr="008706B6">
        <w:t xml:space="preserve"> del RR</w:t>
      </w:r>
      <w:r w:rsidRPr="008706B6">
        <w:t xml:space="preserve">) </w:t>
      </w:r>
      <w:r w:rsidR="00567F98" w:rsidRPr="008706B6">
        <w:t xml:space="preserve">ni más de </w:t>
      </w:r>
      <w:r w:rsidRPr="008706B6">
        <w:t>120 d</w:t>
      </w:r>
      <w:r w:rsidR="00567F98" w:rsidRPr="008706B6">
        <w:t>ías después</w:t>
      </w:r>
      <w:r w:rsidRPr="008706B6">
        <w:t xml:space="preserve"> (</w:t>
      </w:r>
      <w:r w:rsidR="00567F98" w:rsidRPr="008706B6">
        <w:t xml:space="preserve">véase el número </w:t>
      </w:r>
      <w:r w:rsidRPr="008706B6">
        <w:t>11.44B</w:t>
      </w:r>
      <w:r w:rsidR="00567F98" w:rsidRPr="008706B6">
        <w:t xml:space="preserve"> del RR), aun cuando el plazo reglamentario no haya </w:t>
      </w:r>
      <w:r w:rsidR="006171F6" w:rsidRPr="008706B6">
        <w:t>vencido</w:t>
      </w:r>
      <w:r w:rsidR="00567F98" w:rsidRPr="008706B6">
        <w:t xml:space="preserve"> todavía</w:t>
      </w:r>
      <w:r w:rsidRPr="008706B6">
        <w:t xml:space="preserve">. Esto crea un vínculo entre el periodo de la puesta en servicio y el plazo para la notificación, y las administraciones están generalmente de acuerdo en que la CMR-12 no decidió explícitamente introducir tal vínculo. </w:t>
      </w:r>
      <w:r w:rsidR="00D36641" w:rsidRPr="008706B6">
        <w:t>Por lo tanto, se necesita flexibilidad</w:t>
      </w:r>
      <w:r w:rsidRPr="008706B6">
        <w:t>.</w:t>
      </w:r>
    </w:p>
    <w:p w:rsidR="008750A8" w:rsidRPr="006171F6" w:rsidRDefault="008750A8" w:rsidP="008706B6">
      <w:r w:rsidRPr="006171F6">
        <w:br w:type="page"/>
      </w:r>
      <w:r w:rsidR="005D1A99" w:rsidRPr="005C1082">
        <w:lastRenderedPageBreak/>
        <w:t>Prop</w:t>
      </w:r>
      <w:r w:rsidR="00D36641" w:rsidRPr="005C1082">
        <w:t>uesta</w:t>
      </w:r>
    </w:p>
    <w:p w:rsidR="00401A76" w:rsidRPr="006171F6" w:rsidRDefault="005D1A99">
      <w:pPr>
        <w:pStyle w:val="Proposal"/>
      </w:pPr>
      <w:r w:rsidRPr="006171F6">
        <w:tab/>
        <w:t>CTI/68A12/1</w:t>
      </w:r>
    </w:p>
    <w:p w:rsidR="00401A76" w:rsidRPr="005C1082" w:rsidRDefault="00F62FF3" w:rsidP="005C1082">
      <w:r w:rsidRPr="005C1082">
        <w:t>Côte d'Ivoire propo</w:t>
      </w:r>
      <w:r w:rsidR="00634C6B" w:rsidRPr="005C1082">
        <w:t>ne no modificar el Reglamento de Radiocomunicaciones y adoptar el Método</w:t>
      </w:r>
      <w:r w:rsidRPr="005C1082">
        <w:t xml:space="preserve"> J2.</w:t>
      </w:r>
    </w:p>
    <w:p w:rsidR="00401A76" w:rsidRPr="006171F6" w:rsidRDefault="005D1A99" w:rsidP="00F34D25">
      <w:pPr>
        <w:pStyle w:val="Reasons"/>
      </w:pPr>
      <w:r w:rsidRPr="005C1082">
        <w:rPr>
          <w:b/>
        </w:rPr>
        <w:t>Motivos:</w:t>
      </w:r>
      <w:r w:rsidRPr="005C1082">
        <w:tab/>
      </w:r>
      <w:r w:rsidR="00D36641" w:rsidRPr="005C1082">
        <w:t>El Método</w:t>
      </w:r>
      <w:r w:rsidR="00F62FF3" w:rsidRPr="005C1082">
        <w:t xml:space="preserve"> J1 </w:t>
      </w:r>
      <w:r w:rsidR="00D36641" w:rsidRPr="005C1082">
        <w:t xml:space="preserve">no </w:t>
      </w:r>
      <w:r w:rsidR="00D36641" w:rsidRPr="00F34D25">
        <w:t>contem</w:t>
      </w:r>
      <w:bookmarkStart w:id="6" w:name="_GoBack"/>
      <w:bookmarkEnd w:id="6"/>
      <w:r w:rsidR="00D36641" w:rsidRPr="00F34D25">
        <w:t>pla</w:t>
      </w:r>
      <w:r w:rsidR="00D36641" w:rsidRPr="005C1082">
        <w:t xml:space="preserve"> la </w:t>
      </w:r>
      <w:r w:rsidR="00634C6B" w:rsidRPr="005C1082">
        <w:t>posibilidad</w:t>
      </w:r>
      <w:r w:rsidR="00D36641" w:rsidRPr="005C1082">
        <w:t xml:space="preserve"> de fijar un plazo reglamentario</w:t>
      </w:r>
      <w:r w:rsidR="00F62FF3" w:rsidRPr="005C1082">
        <w:t>.</w:t>
      </w:r>
    </w:p>
    <w:p w:rsidR="00F62FF3" w:rsidRPr="006171F6" w:rsidRDefault="00F62FF3" w:rsidP="0032202E">
      <w:pPr>
        <w:pStyle w:val="Reasons"/>
      </w:pPr>
    </w:p>
    <w:p w:rsidR="00F62FF3" w:rsidRPr="006171F6" w:rsidRDefault="00F62FF3">
      <w:pPr>
        <w:jc w:val="center"/>
      </w:pPr>
      <w:r w:rsidRPr="006171F6">
        <w:t>______________</w:t>
      </w:r>
    </w:p>
    <w:p w:rsidR="00F62FF3" w:rsidRPr="006171F6" w:rsidRDefault="00F62FF3" w:rsidP="00F62FF3">
      <w:pPr>
        <w:pStyle w:val="Reasons"/>
        <w:spacing w:line="480" w:lineRule="auto"/>
      </w:pPr>
    </w:p>
    <w:sectPr w:rsidR="00F62FF3" w:rsidRPr="006171F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4D25">
      <w:rPr>
        <w:noProof/>
      </w:rPr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97" w:rsidRDefault="0077084A" w:rsidP="008706B6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F3C3D">
      <w:rPr>
        <w:lang w:val="en-US"/>
      </w:rPr>
      <w:t>P:\ESP\ITU-R\CONF-R\CMR15\000\068ADD12S.docx</w:t>
    </w:r>
    <w:r>
      <w:fldChar w:fldCharType="end"/>
    </w:r>
    <w:r w:rsidR="00D64697" w:rsidRPr="00D64697">
      <w:rPr>
        <w:lang w:val="en-US"/>
      </w:rPr>
      <w:t xml:space="preserve"> (</w:t>
    </w:r>
    <w:r w:rsidR="00D64697">
      <w:rPr>
        <w:lang w:val="en-US"/>
      </w:rPr>
      <w:t>388434</w:t>
    </w:r>
    <w:r w:rsidR="00D64697" w:rsidRPr="00D64697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4D25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3C3D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D64697" w:rsidRDefault="00D64697" w:rsidP="008706B6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F3C3D">
      <w:rPr>
        <w:lang w:val="en-US"/>
      </w:rPr>
      <w:t>P:\ESP\ITU-R\CONF-R\CMR15\000\068ADD12S.docx</w:t>
    </w:r>
    <w:r>
      <w:fldChar w:fldCharType="end"/>
    </w:r>
    <w:r w:rsidRPr="00D64697">
      <w:rPr>
        <w:lang w:val="en-US"/>
      </w:rPr>
      <w:t xml:space="preserve"> (</w:t>
    </w:r>
    <w:r>
      <w:rPr>
        <w:lang w:val="en-US"/>
      </w:rPr>
      <w:t>388434</w:t>
    </w:r>
    <w:r w:rsidRPr="00D64697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4D25">
      <w:t>29.10.15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752BD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4D2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B1473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F3C3D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01A76"/>
    <w:rsid w:val="00440B3A"/>
    <w:rsid w:val="0045384C"/>
    <w:rsid w:val="00454553"/>
    <w:rsid w:val="004B124A"/>
    <w:rsid w:val="005133B5"/>
    <w:rsid w:val="00532097"/>
    <w:rsid w:val="00567F98"/>
    <w:rsid w:val="0058350F"/>
    <w:rsid w:val="00583C7E"/>
    <w:rsid w:val="005C1082"/>
    <w:rsid w:val="005D1A99"/>
    <w:rsid w:val="005D46FB"/>
    <w:rsid w:val="005F2605"/>
    <w:rsid w:val="005F3B0E"/>
    <w:rsid w:val="005F559C"/>
    <w:rsid w:val="006171F6"/>
    <w:rsid w:val="00634C6B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42D59"/>
    <w:rsid w:val="00866AE6"/>
    <w:rsid w:val="008706B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25545"/>
    <w:rsid w:val="00A4450C"/>
    <w:rsid w:val="00A752BD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36641"/>
    <w:rsid w:val="00D64697"/>
    <w:rsid w:val="00D72A5D"/>
    <w:rsid w:val="00DC629B"/>
    <w:rsid w:val="00E05BFF"/>
    <w:rsid w:val="00E262F1"/>
    <w:rsid w:val="00E3176A"/>
    <w:rsid w:val="00E54754"/>
    <w:rsid w:val="00E56BD3"/>
    <w:rsid w:val="00E71D14"/>
    <w:rsid w:val="00F34D25"/>
    <w:rsid w:val="00F62FF3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9E3D244F-977C-46A6-B097-FAA6057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fn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">
    <w:name w:val="Heading?"/>
    <w:basedOn w:val="Normal"/>
    <w:rsid w:val="00F62FF3"/>
    <w:rPr>
      <w:lang w:val="en-US"/>
    </w:rPr>
  </w:style>
  <w:style w:type="paragraph" w:customStyle="1" w:styleId="Headingb0">
    <w:name w:val="Heading?b"/>
    <w:basedOn w:val="Heading"/>
    <w:rsid w:val="00F62FF3"/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F62FF3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R15-WRC15-C-0068!A12!MSW-S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FD67-FC61-40B0-8D47-B0C8932A1B0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2a1a8c5-2265-4ebc-b7a0-2071e2c5c9bb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FDCD58-8322-413D-9C17-2ED68EB8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R15-WRC15-C-0068!A12!MSW-S</vt:lpstr>
    </vt:vector>
  </TitlesOfParts>
  <Manager>Secretaría General - Pool</Manager>
  <Company>Unión Internacional de Telecomunicaciones (UIT)</Company>
  <LinksUpToDate>false</LinksUpToDate>
  <CharactersWithSpaces>2684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R15-WRC15-C-0068!A12!MSW-S</dc:title>
  <dc:subject>Conferencia Mundial de Radiocomunicaciones - 2015</dc:subject>
  <dc:creator>Documents Proposals Manager (DPM)</dc:creator>
  <cp:keywords>DPM_v5.2015.10.270_prod</cp:keywords>
  <dc:description/>
  <cp:lastModifiedBy>Jones, Jacqueline</cp:lastModifiedBy>
  <cp:revision>5</cp:revision>
  <cp:lastPrinted>2003-02-19T20:20:00Z</cp:lastPrinted>
  <dcterms:created xsi:type="dcterms:W3CDTF">2015-10-29T16:07:00Z</dcterms:created>
  <dcterms:modified xsi:type="dcterms:W3CDTF">2015-10-30T13:16:00Z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