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085430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" w:hAnsi="Verdana" w:cs="Traditional Arabic"/>
                <w:sz w:val="30"/>
                <w:szCs w:val="30"/>
                <w:rtl/>
              </w:rPr>
            </w:pPr>
            <w:r w:rsidRPr="00085430">
              <w:rPr>
                <w:rFonts w:ascii="Verdana" w:hAnsi="Verdana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085430" w:rsidRDefault="003E1608" w:rsidP="003E1608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085430">
              <w:rPr>
                <w:rFonts w:ascii="Verdana" w:hAnsi="Verdana"/>
                <w:rtl/>
              </w:rPr>
              <w:t xml:space="preserve">الإضافة </w:t>
            </w:r>
            <w:r w:rsidRPr="00085430">
              <w:rPr>
                <w:rFonts w:ascii="Verdana" w:hAnsi="Verdana"/>
              </w:rPr>
              <w:t>12</w:t>
            </w:r>
            <w:r w:rsidRPr="00085430">
              <w:rPr>
                <w:rFonts w:ascii="Verdana" w:hAnsi="Verdana"/>
              </w:rPr>
              <w:br/>
            </w:r>
            <w:r w:rsidRPr="00085430">
              <w:rPr>
                <w:rFonts w:ascii="Verdana" w:hAnsi="Verdana"/>
                <w:rtl/>
              </w:rPr>
              <w:t xml:space="preserve">للوثيقة </w:t>
            </w:r>
            <w:r w:rsidRPr="00085430">
              <w:rPr>
                <w:rFonts w:ascii="Verdana" w:hAnsi="Verdana"/>
              </w:rPr>
              <w:t>68-</w:t>
            </w:r>
            <w:r w:rsidR="00085430">
              <w:rPr>
                <w:rFonts w:ascii="Verdana" w:hAnsi="Verdana"/>
              </w:rPr>
              <w:t>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085430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085430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085430">
              <w:rPr>
                <w:rFonts w:ascii="Verdana" w:eastAsia="SimSun" w:hAnsi="Verdana"/>
              </w:rPr>
              <w:t>16</w:t>
            </w:r>
            <w:r w:rsidRPr="00085430">
              <w:rPr>
                <w:rFonts w:ascii="Verdana" w:eastAsia="SimSun" w:hAnsi="Verdana"/>
                <w:rtl/>
              </w:rPr>
              <w:t xml:space="preserve"> أكتوبر </w:t>
            </w:r>
            <w:r w:rsidRPr="00085430">
              <w:rPr>
                <w:rFonts w:ascii="Verdana" w:eastAsia="SimSun" w:hAnsi="Verdana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085430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085430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085430">
              <w:rPr>
                <w:rFonts w:ascii="Verdana" w:eastAsia="SimSun" w:hAnsi="Verdana"/>
                <w:rtl/>
              </w:rPr>
              <w:t>الأصل: بالفرنسية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085430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جمهورية كوت ديفوار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085430" w:rsidP="0008543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الـمؤتـمر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085430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085430">
              <w:t>(J)7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1D597A" w:rsidRPr="00431196" w:rsidRDefault="00085430" w:rsidP="00747076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7</w:t>
      </w:r>
      <w:r w:rsidRPr="00431196">
        <w:rPr>
          <w:rFonts w:eastAsia="SimSun" w:hint="cs"/>
          <w:rtl/>
        </w:rPr>
        <w:tab/>
        <w:t xml:space="preserve">النظر في أي تغييرات قد يلزم إجراؤها، وفي خيارات أخرى، تطبيقاً للقرار </w:t>
      </w:r>
      <w:r w:rsidRPr="00431196">
        <w:rPr>
          <w:rFonts w:eastAsia="SimSun"/>
        </w:rPr>
        <w:t>86</w:t>
      </w:r>
      <w:r w:rsidRPr="00431196">
        <w:rPr>
          <w:rFonts w:eastAsia="SimSun" w:hint="cs"/>
          <w:rtl/>
        </w:rPr>
        <w:t xml:space="preserve"> (المراج</w:t>
      </w:r>
      <w:r w:rsidR="00085726">
        <w:rPr>
          <w:rFonts w:eastAsia="SimSun" w:hint="cs"/>
          <w:rtl/>
        </w:rPr>
        <w:t>َ</w:t>
      </w:r>
      <w:r w:rsidRPr="00431196">
        <w:rPr>
          <w:rFonts w:eastAsia="SimSun" w:hint="cs"/>
          <w:rtl/>
        </w:rPr>
        <w:t xml:space="preserve">ع في مراكش، </w:t>
      </w:r>
      <w:r w:rsidRPr="00431196">
        <w:rPr>
          <w:rFonts w:eastAsia="SimSun"/>
        </w:rPr>
        <w:t>(2002</w:t>
      </w:r>
      <w:r w:rsidRPr="00431196">
        <w:rPr>
          <w:rFonts w:eastAsia="SimSun" w:hint="cs"/>
          <w:rtl/>
        </w:rPr>
        <w:t xml:space="preserve"> لمؤتمر المندوبين المفوضين، بشأن "إجراءات النشر المسبق والتنسيق </w:t>
      </w:r>
      <w:r w:rsidRPr="00431196">
        <w:rPr>
          <w:rFonts w:eastAsia="SimSun" w:hint="cs"/>
          <w:spacing w:val="6"/>
          <w:rtl/>
          <w:lang w:bidi="ar-SY"/>
        </w:rPr>
        <w:t>والتبليغ</w:t>
      </w:r>
      <w:r w:rsidRPr="00431196">
        <w:rPr>
          <w:rFonts w:eastAsia="SimSun" w:hint="cs"/>
          <w:rtl/>
        </w:rPr>
        <w:t xml:space="preserve"> والتسجيل لتخصيصات التردد للشبكات الساتلية"، وفقاً للقرار</w:t>
      </w:r>
      <w:r w:rsidR="00085726">
        <w:rPr>
          <w:rFonts w:eastAsia="SimSun" w:hint="eastAsia"/>
          <w:rtl/>
        </w:rPr>
        <w:t> </w:t>
      </w:r>
      <w:r w:rsidRPr="00431196">
        <w:rPr>
          <w:rFonts w:eastAsia="SimSun"/>
          <w:b/>
          <w:bCs/>
        </w:rPr>
        <w:t>86 (Rev.WRC</w:t>
      </w:r>
      <w:r w:rsidRPr="00431196">
        <w:rPr>
          <w:rFonts w:eastAsia="SimSun"/>
          <w:b/>
          <w:bCs/>
        </w:rPr>
        <w:noBreakHyphen/>
        <w:t>07)</w:t>
      </w:r>
      <w:r w:rsidRPr="00431196">
        <w:rPr>
          <w:rFonts w:eastAsia="SimSun" w:hint="cs"/>
          <w:rtl/>
        </w:rPr>
        <w:t xml:space="preserve"> تيسيراً للاستخدام الرشيد والفع</w:t>
      </w:r>
      <w:r w:rsidR="00085726">
        <w:rPr>
          <w:rFonts w:eastAsia="SimSun" w:hint="cs"/>
          <w:rtl/>
        </w:rPr>
        <w:t>ّ</w:t>
      </w:r>
      <w:r w:rsidRPr="00431196">
        <w:rPr>
          <w:rFonts w:eastAsia="SimSun" w:hint="cs"/>
          <w:rtl/>
        </w:rPr>
        <w:t>ال والاقتصادي للترددات الراديوية وأي مدارات مرتبطة بها، بما</w:t>
      </w:r>
      <w:r w:rsidR="00747076">
        <w:rPr>
          <w:rFonts w:eastAsia="SimSun" w:hint="eastAsia"/>
          <w:rtl/>
        </w:rPr>
        <w:t> </w:t>
      </w:r>
      <w:bookmarkStart w:id="1" w:name="_GoBack"/>
      <w:bookmarkEnd w:id="1"/>
      <w:r w:rsidRPr="00431196">
        <w:rPr>
          <w:rFonts w:eastAsia="SimSun" w:hint="cs"/>
          <w:rtl/>
        </w:rPr>
        <w:t>فيها مدار السواتل المستقرة بالنسبة إلى الأرض؛</w:t>
      </w:r>
    </w:p>
    <w:p w:rsidR="001D597A" w:rsidRPr="00654D7D" w:rsidRDefault="00085430" w:rsidP="00C2775E">
      <w:pPr>
        <w:rPr>
          <w:rFonts w:eastAsia="SimSun"/>
          <w:spacing w:val="-4"/>
          <w:lang w:bidi="ar-EG"/>
        </w:rPr>
      </w:pPr>
      <w:r w:rsidRPr="00654D7D">
        <w:rPr>
          <w:rFonts w:eastAsia="SimSun"/>
          <w:spacing w:val="-4"/>
        </w:rPr>
        <w:t>(J)7</w:t>
      </w:r>
      <w:r w:rsidRPr="00654D7D">
        <w:rPr>
          <w:rFonts w:eastAsia="SimSun"/>
          <w:spacing w:val="-4"/>
        </w:rPr>
        <w:tab/>
      </w:r>
      <w:r w:rsidRPr="00654D7D">
        <w:rPr>
          <w:rFonts w:eastAsia="SimSun" w:hint="cs"/>
          <w:spacing w:val="-4"/>
          <w:rtl/>
          <w:lang w:bidi="ar-EG"/>
        </w:rPr>
        <w:t>المسألة</w:t>
      </w:r>
      <w:r w:rsidRPr="00654D7D">
        <w:rPr>
          <w:rFonts w:eastAsia="SimSun"/>
          <w:spacing w:val="-4"/>
          <w:rtl/>
          <w:lang w:bidi="ar-EG"/>
        </w:rPr>
        <w:t xml:space="preserve"> </w:t>
      </w:r>
      <w:r w:rsidRPr="00654D7D">
        <w:rPr>
          <w:rFonts w:eastAsia="SimSun"/>
          <w:spacing w:val="-4"/>
          <w:lang w:bidi="ar-SY"/>
        </w:rPr>
        <w:t>J</w:t>
      </w:r>
      <w:r w:rsidRPr="00654D7D">
        <w:rPr>
          <w:rFonts w:eastAsia="SimSun"/>
          <w:spacing w:val="-4"/>
          <w:rtl/>
          <w:lang w:bidi="ar-EG"/>
        </w:rPr>
        <w:t xml:space="preserve"> </w:t>
      </w:r>
      <w:r w:rsidRPr="00654D7D">
        <w:rPr>
          <w:rFonts w:eastAsia="SimSun" w:hint="cs"/>
          <w:spacing w:val="-4"/>
          <w:rtl/>
          <w:lang w:bidi="ar-EG"/>
        </w:rPr>
        <w:t>-</w:t>
      </w:r>
      <w:r w:rsidRPr="00654D7D">
        <w:rPr>
          <w:rFonts w:eastAsia="SimSun"/>
          <w:spacing w:val="-4"/>
          <w:rtl/>
          <w:lang w:bidi="ar-EG"/>
        </w:rPr>
        <w:t xml:space="preserve"> </w:t>
      </w:r>
      <w:r w:rsidRPr="00654D7D">
        <w:rPr>
          <w:rFonts w:eastAsia="SimSun" w:hint="cs"/>
          <w:spacing w:val="-4"/>
          <w:rtl/>
        </w:rPr>
        <w:t>إلغاء</w:t>
      </w:r>
      <w:r w:rsidRPr="00654D7D">
        <w:rPr>
          <w:rFonts w:eastAsia="SimSun"/>
          <w:spacing w:val="-4"/>
          <w:rtl/>
          <w:lang w:bidi="ar-EG"/>
        </w:rPr>
        <w:t xml:space="preserve"> </w:t>
      </w:r>
      <w:r w:rsidRPr="00654D7D">
        <w:rPr>
          <w:rFonts w:eastAsia="SimSun" w:hint="cs"/>
          <w:spacing w:val="-4"/>
          <w:rtl/>
          <w:lang w:bidi="ar-EG"/>
        </w:rPr>
        <w:t>العلاقة</w:t>
      </w:r>
      <w:r w:rsidRPr="00654D7D">
        <w:rPr>
          <w:rFonts w:eastAsia="SimSun"/>
          <w:spacing w:val="-4"/>
          <w:rtl/>
          <w:lang w:bidi="ar-EG"/>
        </w:rPr>
        <w:t xml:space="preserve"> </w:t>
      </w:r>
      <w:r w:rsidRPr="00654D7D">
        <w:rPr>
          <w:rFonts w:eastAsia="SimSun" w:hint="cs"/>
          <w:spacing w:val="-4"/>
          <w:rtl/>
          <w:lang w:bidi="ar-EG"/>
        </w:rPr>
        <w:t>بين</w:t>
      </w:r>
      <w:r w:rsidRPr="00654D7D">
        <w:rPr>
          <w:rFonts w:eastAsia="SimSun"/>
          <w:spacing w:val="-4"/>
          <w:rtl/>
          <w:lang w:bidi="ar-EG"/>
        </w:rPr>
        <w:t xml:space="preserve"> </w:t>
      </w:r>
      <w:r w:rsidRPr="00654D7D">
        <w:rPr>
          <w:rFonts w:eastAsia="SimSun" w:hint="cs"/>
          <w:spacing w:val="-4"/>
          <w:rtl/>
          <w:lang w:bidi="ar-EG"/>
        </w:rPr>
        <w:t>تاريخ</w:t>
      </w:r>
      <w:r w:rsidRPr="00654D7D">
        <w:rPr>
          <w:rFonts w:eastAsia="SimSun"/>
          <w:spacing w:val="-4"/>
          <w:rtl/>
          <w:lang w:bidi="ar-EG"/>
        </w:rPr>
        <w:t xml:space="preserve"> </w:t>
      </w:r>
      <w:r w:rsidRPr="00654D7D">
        <w:rPr>
          <w:rFonts w:eastAsia="SimSun" w:hint="cs"/>
          <w:spacing w:val="-4"/>
          <w:rtl/>
          <w:lang w:bidi="ar-EG"/>
        </w:rPr>
        <w:t>استلام</w:t>
      </w:r>
      <w:r w:rsidRPr="00654D7D">
        <w:rPr>
          <w:rFonts w:eastAsia="SimSun"/>
          <w:spacing w:val="-4"/>
          <w:rtl/>
          <w:lang w:bidi="ar-EG"/>
        </w:rPr>
        <w:t xml:space="preserve"> </w:t>
      </w:r>
      <w:r w:rsidRPr="00654D7D">
        <w:rPr>
          <w:rFonts w:eastAsia="SimSun" w:hint="cs"/>
          <w:spacing w:val="-4"/>
          <w:rtl/>
          <w:lang w:bidi="ar-EG"/>
        </w:rPr>
        <w:t>معلومات</w:t>
      </w:r>
      <w:r w:rsidRPr="00654D7D">
        <w:rPr>
          <w:rFonts w:eastAsia="SimSun"/>
          <w:spacing w:val="-4"/>
          <w:rtl/>
          <w:lang w:bidi="ar-EG"/>
        </w:rPr>
        <w:t xml:space="preserve"> </w:t>
      </w:r>
      <w:r w:rsidRPr="00654D7D">
        <w:rPr>
          <w:rFonts w:eastAsia="SimSun" w:hint="cs"/>
          <w:spacing w:val="-4"/>
          <w:rtl/>
          <w:lang w:bidi="ar-EG"/>
        </w:rPr>
        <w:t>التبليغ</w:t>
      </w:r>
      <w:r w:rsidRPr="00654D7D">
        <w:rPr>
          <w:rFonts w:eastAsia="SimSun"/>
          <w:spacing w:val="-4"/>
          <w:rtl/>
          <w:lang w:bidi="ar-EG"/>
        </w:rPr>
        <w:t xml:space="preserve"> </w:t>
      </w:r>
      <w:r w:rsidRPr="00654D7D">
        <w:rPr>
          <w:rFonts w:eastAsia="SimSun" w:hint="cs"/>
          <w:spacing w:val="-4"/>
          <w:rtl/>
          <w:lang w:bidi="ar-EG"/>
        </w:rPr>
        <w:t>وتاريخ</w:t>
      </w:r>
      <w:r w:rsidRPr="00654D7D">
        <w:rPr>
          <w:rFonts w:eastAsia="SimSun"/>
          <w:spacing w:val="-4"/>
          <w:rtl/>
          <w:lang w:bidi="ar-EG"/>
        </w:rPr>
        <w:t xml:space="preserve"> </w:t>
      </w:r>
      <w:r w:rsidRPr="00654D7D">
        <w:rPr>
          <w:rFonts w:eastAsia="SimSun" w:hint="cs"/>
          <w:spacing w:val="-4"/>
          <w:rtl/>
        </w:rPr>
        <w:t>الوضع</w:t>
      </w:r>
      <w:r w:rsidRPr="00654D7D">
        <w:rPr>
          <w:rFonts w:eastAsia="SimSun"/>
          <w:spacing w:val="-4"/>
          <w:rtl/>
          <w:lang w:bidi="ar-EG"/>
        </w:rPr>
        <w:t xml:space="preserve"> </w:t>
      </w:r>
      <w:r w:rsidRPr="00654D7D">
        <w:rPr>
          <w:rFonts w:eastAsia="SimSun" w:hint="cs"/>
          <w:spacing w:val="-4"/>
          <w:rtl/>
          <w:lang w:bidi="ar-EG"/>
        </w:rPr>
        <w:t>في</w:t>
      </w:r>
      <w:r w:rsidRPr="00654D7D">
        <w:rPr>
          <w:rFonts w:eastAsia="SimSun" w:hint="eastAsia"/>
          <w:spacing w:val="-4"/>
          <w:rtl/>
          <w:lang w:bidi="ar-EG"/>
        </w:rPr>
        <w:t> </w:t>
      </w:r>
      <w:r w:rsidRPr="00654D7D">
        <w:rPr>
          <w:rFonts w:eastAsia="SimSun" w:hint="cs"/>
          <w:spacing w:val="-4"/>
          <w:rtl/>
          <w:lang w:bidi="ar-EG"/>
        </w:rPr>
        <w:t>الخدمة</w:t>
      </w:r>
      <w:r w:rsidRPr="00654D7D">
        <w:rPr>
          <w:rFonts w:eastAsia="SimSun"/>
          <w:spacing w:val="-4"/>
          <w:rtl/>
          <w:lang w:bidi="ar-EG"/>
        </w:rPr>
        <w:t xml:space="preserve"> </w:t>
      </w:r>
      <w:r w:rsidRPr="00654D7D">
        <w:rPr>
          <w:rFonts w:eastAsia="SimSun" w:hint="cs"/>
          <w:spacing w:val="-4"/>
          <w:rtl/>
          <w:lang w:bidi="ar-EG"/>
        </w:rPr>
        <w:t>في</w:t>
      </w:r>
      <w:r w:rsidRPr="00654D7D">
        <w:rPr>
          <w:rFonts w:eastAsia="SimSun" w:hint="eastAsia"/>
          <w:spacing w:val="-4"/>
          <w:rtl/>
          <w:lang w:bidi="ar-EG"/>
        </w:rPr>
        <w:t> </w:t>
      </w:r>
      <w:r w:rsidRPr="00654D7D">
        <w:rPr>
          <w:rFonts w:eastAsia="SimSun" w:hint="cs"/>
          <w:spacing w:val="-4"/>
          <w:rtl/>
          <w:lang w:bidi="ar-EG"/>
        </w:rPr>
        <w:t>الرقم</w:t>
      </w:r>
      <w:r w:rsidRPr="00654D7D">
        <w:rPr>
          <w:rFonts w:eastAsia="SimSun"/>
          <w:spacing w:val="-4"/>
          <w:rtl/>
          <w:lang w:bidi="ar-EG"/>
        </w:rPr>
        <w:t xml:space="preserve"> </w:t>
      </w:r>
      <w:r w:rsidRPr="00654D7D">
        <w:rPr>
          <w:rFonts w:eastAsia="SimSun"/>
          <w:b/>
          <w:bCs/>
          <w:spacing w:val="-4"/>
          <w:lang w:bidi="ar-SY"/>
        </w:rPr>
        <w:t>44B.11</w:t>
      </w:r>
      <w:r w:rsidRPr="00654D7D">
        <w:rPr>
          <w:rFonts w:eastAsia="SimSun" w:hint="cs"/>
          <w:spacing w:val="-4"/>
          <w:rtl/>
          <w:lang w:bidi="ar-EG"/>
        </w:rPr>
        <w:t xml:space="preserve"> من لوائح الراديو</w:t>
      </w:r>
    </w:p>
    <w:p w:rsidR="00F16602" w:rsidRDefault="00085430" w:rsidP="00085430">
      <w:pPr>
        <w:pStyle w:val="Headingb"/>
      </w:pPr>
      <w:r>
        <w:rPr>
          <w:rFonts w:hint="cs"/>
          <w:rtl/>
        </w:rPr>
        <w:t>معلومات أساسية</w:t>
      </w:r>
    </w:p>
    <w:p w:rsidR="00085430" w:rsidRPr="00085430" w:rsidRDefault="00085430" w:rsidP="003F78B3">
      <w:pPr>
        <w:rPr>
          <w:rtl/>
        </w:rPr>
      </w:pPr>
      <w:r w:rsidRPr="006C0713">
        <w:rPr>
          <w:rFonts w:hint="cs"/>
          <w:rtl/>
          <w:lang w:bidi="ar-EG"/>
        </w:rPr>
        <w:t xml:space="preserve">حدد المؤتمر </w:t>
      </w:r>
      <w:r w:rsidRPr="006C0713">
        <w:rPr>
          <w:lang w:bidi="ar-EG"/>
        </w:rPr>
        <w:t>WRC-12</w:t>
      </w:r>
      <w:r w:rsidRPr="006C0713">
        <w:rPr>
          <w:rFonts w:hint="cs"/>
          <w:rtl/>
          <w:lang w:bidi="ar-EG"/>
        </w:rPr>
        <w:t xml:space="preserve"> في الرقم </w:t>
      </w:r>
      <w:r w:rsidRPr="006C0713">
        <w:rPr>
          <w:lang w:bidi="ar-EG"/>
        </w:rPr>
        <w:t>44B.11</w:t>
      </w:r>
      <w:r w:rsidRPr="006C0713">
        <w:rPr>
          <w:rFonts w:hint="cs"/>
          <w:rtl/>
          <w:lang w:bidi="ar-EG"/>
        </w:rPr>
        <w:t xml:space="preserve"> من لوائح الراديو فترة تسعين يوماً للوضع في الخدمة لأي تخصيص تردد لمحطة فضائية في</w:t>
      </w:r>
      <w:r w:rsidRPr="006C0713">
        <w:rPr>
          <w:rFonts w:hint="eastAsia"/>
          <w:rtl/>
          <w:lang w:bidi="ar-EG"/>
        </w:rPr>
        <w:t> </w:t>
      </w:r>
      <w:r w:rsidRPr="006C0713">
        <w:rPr>
          <w:rFonts w:hint="cs"/>
          <w:rtl/>
          <w:lang w:bidi="ar-EG"/>
        </w:rPr>
        <w:t xml:space="preserve">المدار الساتلي المستقر بالنسبة إلى الأرض </w:t>
      </w:r>
      <w:r w:rsidRPr="006C0713">
        <w:rPr>
          <w:lang w:bidi="ar-EG"/>
        </w:rPr>
        <w:t>(GSO)</w:t>
      </w:r>
      <w:r w:rsidRPr="006C0713">
        <w:rPr>
          <w:rFonts w:hint="cs"/>
          <w:rtl/>
        </w:rPr>
        <w:t xml:space="preserve">، وفرض شرطاً بإبلاغ المكتب بانتهاء هذه الفترة في غضون </w:t>
      </w:r>
      <w:r w:rsidRPr="006C0713">
        <w:t>30</w:t>
      </w:r>
      <w:r w:rsidRPr="006C0713">
        <w:rPr>
          <w:rFonts w:hint="eastAsia"/>
          <w:rtl/>
          <w:lang w:bidi="ar-EG"/>
        </w:rPr>
        <w:t> </w:t>
      </w:r>
      <w:r w:rsidRPr="006C0713">
        <w:rPr>
          <w:rFonts w:hint="cs"/>
          <w:rtl/>
          <w:lang w:bidi="ar-EG"/>
        </w:rPr>
        <w:t xml:space="preserve">يوماً من نهايتها. وبعد دخول الرقم </w:t>
      </w:r>
      <w:r w:rsidRPr="006C0713">
        <w:rPr>
          <w:lang w:bidi="ar-EG"/>
        </w:rPr>
        <w:t>44B.11</w:t>
      </w:r>
      <w:r w:rsidRPr="006C0713">
        <w:rPr>
          <w:rFonts w:hint="cs"/>
          <w:rtl/>
          <w:lang w:bidi="ar-EG"/>
        </w:rPr>
        <w:t xml:space="preserve"> من لوائح الراديو حيز النفاذ، أشار المكتب إلى أنه من أجل الامتثال لأحكام الرقم</w:t>
      </w:r>
      <w:r w:rsidRPr="006C0713">
        <w:rPr>
          <w:rFonts w:hint="eastAsia"/>
          <w:rtl/>
          <w:lang w:bidi="ar-EG"/>
        </w:rPr>
        <w:t> </w:t>
      </w:r>
      <w:r w:rsidRPr="006C0713">
        <w:rPr>
          <w:lang w:bidi="ar-EG"/>
        </w:rPr>
        <w:t>44B.11</w:t>
      </w:r>
      <w:r w:rsidRPr="006C0713">
        <w:rPr>
          <w:rFonts w:hint="cs"/>
          <w:rtl/>
        </w:rPr>
        <w:t xml:space="preserve"> من لوا</w:t>
      </w:r>
      <w:r w:rsidR="004348A6" w:rsidRPr="006C0713">
        <w:rPr>
          <w:rFonts w:hint="cs"/>
          <w:rtl/>
        </w:rPr>
        <w:t>ئ</w:t>
      </w:r>
      <w:r w:rsidRPr="006C0713">
        <w:rPr>
          <w:rFonts w:hint="cs"/>
          <w:rtl/>
        </w:rPr>
        <w:t>ح الراديو فيما يتعلق بتأكيد الوضع في الخدمة، فإن تاريخ بدء فترة التسعين يوماً لا يمكن أن يكون قبل تاريخ استلام التبليغ بموجب الرقم</w:t>
      </w:r>
      <w:r w:rsidRPr="006C0713">
        <w:rPr>
          <w:rFonts w:hint="eastAsia"/>
          <w:rtl/>
        </w:rPr>
        <w:t> </w:t>
      </w:r>
      <w:r w:rsidRPr="006C0713">
        <w:rPr>
          <w:lang w:bidi="ar-EG"/>
        </w:rPr>
        <w:t>15.11</w:t>
      </w:r>
      <w:r w:rsidRPr="006C0713">
        <w:rPr>
          <w:rFonts w:hint="cs"/>
          <w:rtl/>
        </w:rPr>
        <w:t xml:space="preserve"> من لوائح الراديو، والفقرة </w:t>
      </w:r>
      <w:r w:rsidRPr="006C0713">
        <w:t>3.1.5</w:t>
      </w:r>
      <w:r w:rsidRPr="006C0713">
        <w:rPr>
          <w:rFonts w:hint="cs"/>
          <w:rtl/>
        </w:rPr>
        <w:t xml:space="preserve"> من التذييل </w:t>
      </w:r>
      <w:r w:rsidRPr="006C0713">
        <w:t>30</w:t>
      </w:r>
      <w:r w:rsidRPr="006C0713">
        <w:rPr>
          <w:rFonts w:hint="cs"/>
          <w:rtl/>
          <w:lang w:bidi="ar-EG"/>
        </w:rPr>
        <w:t xml:space="preserve"> للوائح الراديو والفقرة </w:t>
      </w:r>
      <w:r w:rsidRPr="006C0713">
        <w:rPr>
          <w:lang w:bidi="ar-EG"/>
        </w:rPr>
        <w:t>7.1.5</w:t>
      </w:r>
      <w:r w:rsidRPr="006C0713">
        <w:rPr>
          <w:rFonts w:hint="cs"/>
          <w:rtl/>
          <w:lang w:bidi="ar-EG"/>
        </w:rPr>
        <w:t xml:space="preserve"> من التذييل </w:t>
      </w:r>
      <w:r w:rsidRPr="006C0713">
        <w:rPr>
          <w:lang w:bidi="ar-EG"/>
        </w:rPr>
        <w:t>30A</w:t>
      </w:r>
      <w:r w:rsidRPr="006C0713">
        <w:rPr>
          <w:rFonts w:hint="cs"/>
          <w:rtl/>
        </w:rPr>
        <w:t xml:space="preserve"> للوائح الراديو والفقرة</w:t>
      </w:r>
      <w:r w:rsidRPr="006C0713">
        <w:rPr>
          <w:rFonts w:hint="eastAsia"/>
          <w:rtl/>
        </w:rPr>
        <w:t> </w:t>
      </w:r>
      <w:r w:rsidRPr="006C0713">
        <w:t>1.8</w:t>
      </w:r>
      <w:r w:rsidRPr="006C0713">
        <w:rPr>
          <w:rFonts w:hint="cs"/>
          <w:rtl/>
          <w:lang w:bidi="ar-EG"/>
        </w:rPr>
        <w:t xml:space="preserve"> من التذييل</w:t>
      </w:r>
      <w:r w:rsidRPr="006C0713">
        <w:rPr>
          <w:rFonts w:hint="eastAsia"/>
          <w:rtl/>
          <w:lang w:bidi="ar-EG"/>
        </w:rPr>
        <w:t> </w:t>
      </w:r>
      <w:r w:rsidRPr="006C0713">
        <w:rPr>
          <w:lang w:bidi="ar-EG"/>
        </w:rPr>
        <w:t>30B</w:t>
      </w:r>
      <w:r w:rsidRPr="006C0713">
        <w:rPr>
          <w:rFonts w:hint="cs"/>
          <w:rtl/>
        </w:rPr>
        <w:t xml:space="preserve"> للوائح الراديو، بأكثر من </w:t>
      </w:r>
      <w:r w:rsidRPr="006C0713">
        <w:t>120</w:t>
      </w:r>
      <w:r w:rsidRPr="006C0713">
        <w:rPr>
          <w:rFonts w:hint="eastAsia"/>
          <w:rtl/>
          <w:lang w:bidi="ar-EG"/>
        </w:rPr>
        <w:t> </w:t>
      </w:r>
      <w:r w:rsidRPr="006C0713">
        <w:rPr>
          <w:rFonts w:hint="cs"/>
          <w:rtl/>
          <w:lang w:bidi="ar-EG"/>
        </w:rPr>
        <w:t xml:space="preserve">يوماً. </w:t>
      </w:r>
      <w:r w:rsidR="000C635D" w:rsidRPr="006C0713">
        <w:rPr>
          <w:rFonts w:hint="cs"/>
          <w:rtl/>
          <w:lang w:bidi="ar-EG"/>
        </w:rPr>
        <w:t>وتحدي</w:t>
      </w:r>
      <w:r w:rsidR="004348A6" w:rsidRPr="006C0713">
        <w:rPr>
          <w:rFonts w:hint="cs"/>
          <w:rtl/>
          <w:lang w:bidi="ar-EG"/>
        </w:rPr>
        <w:t>د</w:t>
      </w:r>
      <w:r w:rsidR="000C635D" w:rsidRPr="006C0713">
        <w:rPr>
          <w:rFonts w:hint="cs"/>
          <w:rtl/>
          <w:lang w:bidi="ar-EG"/>
        </w:rPr>
        <w:t xml:space="preserve"> الموعد النهائي لتقديم معلومات بطاقات التبليغ مرتبط بتاريخ </w:t>
      </w:r>
      <w:r w:rsidR="004348A6" w:rsidRPr="006C0713">
        <w:rPr>
          <w:rFonts w:hint="cs"/>
          <w:rtl/>
          <w:lang w:bidi="ar-EG"/>
        </w:rPr>
        <w:t>الوضع في الخدمة</w:t>
      </w:r>
      <w:r w:rsidR="000C635D" w:rsidRPr="006C0713">
        <w:rPr>
          <w:rFonts w:hint="cs"/>
          <w:rtl/>
          <w:lang w:bidi="ar-EG"/>
        </w:rPr>
        <w:t>، بحيث أن الإدارة المعنية لا تستطيع تشغيل شبكة ساتلية</w:t>
      </w:r>
      <w:r w:rsidR="004348A6" w:rsidRPr="006C0713">
        <w:rPr>
          <w:rFonts w:hint="cs"/>
          <w:rtl/>
          <w:lang w:bidi="ar-EG"/>
        </w:rPr>
        <w:t xml:space="preserve"> سواء بثلاثة أعوام قبل تاريخ التبليغ بالوضع في</w:t>
      </w:r>
      <w:r w:rsidR="00126650">
        <w:rPr>
          <w:rFonts w:hint="eastAsia"/>
          <w:rtl/>
          <w:lang w:bidi="ar-EG"/>
        </w:rPr>
        <w:t> </w:t>
      </w:r>
      <w:r w:rsidR="004348A6" w:rsidRPr="006C0713">
        <w:rPr>
          <w:rFonts w:hint="cs"/>
          <w:rtl/>
          <w:lang w:bidi="ar-EG"/>
        </w:rPr>
        <w:t>الخدمة</w:t>
      </w:r>
      <w:r w:rsidR="000C635D" w:rsidRPr="006C0713">
        <w:rPr>
          <w:rFonts w:hint="cs"/>
          <w:rtl/>
          <w:lang w:bidi="ar-EG"/>
        </w:rPr>
        <w:t xml:space="preserve"> </w:t>
      </w:r>
      <w:r w:rsidR="004348A6" w:rsidRPr="006C0713">
        <w:rPr>
          <w:rFonts w:hint="cs"/>
          <w:rtl/>
          <w:lang w:bidi="ar-EG"/>
        </w:rPr>
        <w:t xml:space="preserve">(راجع الرقم </w:t>
      </w:r>
      <w:r w:rsidR="004348A6" w:rsidRPr="006C0713">
        <w:rPr>
          <w:lang w:bidi="ar-EG"/>
        </w:rPr>
        <w:t>25.11</w:t>
      </w:r>
      <w:r w:rsidR="004348A6" w:rsidRPr="006C0713">
        <w:rPr>
          <w:rFonts w:hint="cs"/>
          <w:rtl/>
          <w:lang w:bidi="ar-EG"/>
        </w:rPr>
        <w:t xml:space="preserve"> من لوائح الراديو)</w:t>
      </w:r>
      <w:r w:rsidR="004348A6" w:rsidRPr="006C0713">
        <w:rPr>
          <w:rFonts w:hint="cs"/>
          <w:rtl/>
        </w:rPr>
        <w:t xml:space="preserve"> أو أكثر من </w:t>
      </w:r>
      <w:r w:rsidR="004348A6" w:rsidRPr="006C0713">
        <w:t>120</w:t>
      </w:r>
      <w:r w:rsidR="004348A6" w:rsidRPr="006C0713">
        <w:rPr>
          <w:rFonts w:hint="cs"/>
          <w:rtl/>
        </w:rPr>
        <w:t xml:space="preserve"> يوم بعد ذلك (راجع الرقم </w:t>
      </w:r>
      <w:r w:rsidR="004348A6" w:rsidRPr="006C0713">
        <w:t>44</w:t>
      </w:r>
      <w:r w:rsidR="003F78B3">
        <w:t>B</w:t>
      </w:r>
      <w:r w:rsidR="004348A6" w:rsidRPr="006C0713">
        <w:t>.11</w:t>
      </w:r>
      <w:r w:rsidR="004348A6" w:rsidRPr="006C0713">
        <w:rPr>
          <w:rFonts w:hint="cs"/>
          <w:rtl/>
        </w:rPr>
        <w:t xml:space="preserve"> </w:t>
      </w:r>
      <w:r w:rsidR="004348A6" w:rsidRPr="006C0713">
        <w:rPr>
          <w:rFonts w:hint="cs"/>
          <w:rtl/>
          <w:lang w:bidi="ar-EG"/>
        </w:rPr>
        <w:t>من لوائح الراديو</w:t>
      </w:r>
      <w:r w:rsidR="004348A6" w:rsidRPr="006C0713">
        <w:rPr>
          <w:rFonts w:hint="cs"/>
          <w:rtl/>
        </w:rPr>
        <w:t>) حتى وإن</w:t>
      </w:r>
      <w:r w:rsidR="00126650">
        <w:rPr>
          <w:rFonts w:hint="eastAsia"/>
          <w:rtl/>
        </w:rPr>
        <w:t> </w:t>
      </w:r>
      <w:r w:rsidR="004348A6" w:rsidRPr="006C0713">
        <w:rPr>
          <w:rFonts w:hint="cs"/>
          <w:rtl/>
        </w:rPr>
        <w:t xml:space="preserve">كان الموعد النهائي </w:t>
      </w:r>
      <w:r w:rsidR="006C0713" w:rsidRPr="006C0713">
        <w:rPr>
          <w:rFonts w:hint="cs"/>
          <w:rtl/>
        </w:rPr>
        <w:t>التنظيمي</w:t>
      </w:r>
      <w:r w:rsidR="004348A6">
        <w:rPr>
          <w:rFonts w:hint="cs"/>
          <w:rtl/>
        </w:rPr>
        <w:t xml:space="preserve"> لم ينته بعد.</w:t>
      </w:r>
      <w:r w:rsidR="004348A6">
        <w:rPr>
          <w:rFonts w:hint="cs"/>
          <w:rtl/>
          <w:lang w:bidi="ar-EG"/>
        </w:rPr>
        <w:t xml:space="preserve"> </w:t>
      </w:r>
      <w:r w:rsidRPr="00085430">
        <w:rPr>
          <w:rFonts w:hint="cs"/>
          <w:rtl/>
          <w:lang w:bidi="ar-EG"/>
        </w:rPr>
        <w:t xml:space="preserve">وينتج عن ذلك فيما بعد علاقة بين توقيت فترة الوضع في الخدمة </w:t>
      </w:r>
      <w:r w:rsidRPr="00085430">
        <w:rPr>
          <w:rFonts w:hint="cs"/>
          <w:rtl/>
        </w:rPr>
        <w:t xml:space="preserve">والتبليغ </w:t>
      </w:r>
      <w:r w:rsidRPr="00085430">
        <w:rPr>
          <w:rtl/>
        </w:rPr>
        <w:t xml:space="preserve">وتتفق الإدارات عموماً على أن المؤتمر </w:t>
      </w:r>
      <w:r w:rsidRPr="00085430">
        <w:t>WRC-12</w:t>
      </w:r>
      <w:r w:rsidRPr="00085430">
        <w:rPr>
          <w:rtl/>
        </w:rPr>
        <w:t xml:space="preserve"> لم</w:t>
      </w:r>
      <w:r w:rsidRPr="00085430">
        <w:rPr>
          <w:rFonts w:hint="cs"/>
          <w:rtl/>
        </w:rPr>
        <w:t> </w:t>
      </w:r>
      <w:r w:rsidRPr="00085430">
        <w:rPr>
          <w:rtl/>
        </w:rPr>
        <w:t>يقرر صراحة</w:t>
      </w:r>
      <w:r w:rsidRPr="00085430">
        <w:rPr>
          <w:rFonts w:hint="cs"/>
          <w:rtl/>
        </w:rPr>
        <w:t>ً</w:t>
      </w:r>
      <w:r w:rsidRPr="00085430">
        <w:rPr>
          <w:rtl/>
        </w:rPr>
        <w:t xml:space="preserve"> إدخال هذه العلاقة.</w:t>
      </w:r>
      <w:r w:rsidR="006C0713">
        <w:rPr>
          <w:rFonts w:hint="cs"/>
          <w:rtl/>
        </w:rPr>
        <w:t xml:space="preserve"> ولذا تنشأ الحاجة للمرونة.</w:t>
      </w:r>
    </w:p>
    <w:p w:rsidR="002919E1" w:rsidRPr="002919E1" w:rsidRDefault="00085430" w:rsidP="00085430">
      <w:pPr>
        <w:pStyle w:val="Headingb"/>
        <w:rPr>
          <w:noProof/>
          <w:rtl/>
        </w:rPr>
      </w:pPr>
      <w:r>
        <w:rPr>
          <w:rFonts w:hint="cs"/>
          <w:rtl/>
        </w:rPr>
        <w:lastRenderedPageBreak/>
        <w:t>المقترح</w:t>
      </w:r>
    </w:p>
    <w:p w:rsidR="00EF3967" w:rsidRDefault="00085430">
      <w:pPr>
        <w:pStyle w:val="Proposal"/>
      </w:pPr>
      <w:r>
        <w:tab/>
        <w:t>CTI/68A12/1</w:t>
      </w:r>
    </w:p>
    <w:p w:rsidR="00EF3967" w:rsidRDefault="006C0713" w:rsidP="0097624F">
      <w:pPr>
        <w:rPr>
          <w:rtl/>
        </w:rPr>
      </w:pPr>
      <w:r>
        <w:rPr>
          <w:rFonts w:hint="cs"/>
          <w:rtl/>
        </w:rPr>
        <w:t xml:space="preserve">تقترح كوت ديفوار ألا تعد لوائح الراديو، باعتماد الطريقة </w:t>
      </w:r>
      <w:r w:rsidR="0097624F">
        <w:t>J2</w:t>
      </w:r>
      <w:r>
        <w:rPr>
          <w:rFonts w:hint="cs"/>
          <w:rtl/>
        </w:rPr>
        <w:t>.</w:t>
      </w:r>
    </w:p>
    <w:p w:rsidR="00EF3967" w:rsidRDefault="00085430" w:rsidP="0097624F">
      <w:pPr>
        <w:pStyle w:val="Reasons"/>
        <w:rPr>
          <w:rtl/>
        </w:rPr>
      </w:pPr>
      <w:r>
        <w:rPr>
          <w:rtl/>
        </w:rPr>
        <w:t>الأسباب:</w:t>
      </w:r>
      <w:r>
        <w:tab/>
      </w:r>
      <w:r w:rsidR="006C0713" w:rsidRPr="006C0713">
        <w:rPr>
          <w:rFonts w:hint="cs"/>
          <w:b w:val="0"/>
          <w:bCs w:val="0"/>
          <w:rtl/>
        </w:rPr>
        <w:t xml:space="preserve">الطريقة </w:t>
      </w:r>
      <w:r w:rsidR="0097624F">
        <w:rPr>
          <w:b w:val="0"/>
          <w:bCs w:val="0"/>
        </w:rPr>
        <w:t>J1</w:t>
      </w:r>
      <w:r w:rsidR="006C0713" w:rsidRPr="006C0713">
        <w:rPr>
          <w:rFonts w:hint="cs"/>
          <w:b w:val="0"/>
          <w:bCs w:val="0"/>
          <w:rtl/>
        </w:rPr>
        <w:t xml:space="preserve"> لا تسمح بموعد نهائي تنظيمي.</w:t>
      </w:r>
    </w:p>
    <w:p w:rsidR="00085430" w:rsidRPr="00085430" w:rsidRDefault="00085430" w:rsidP="00085430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085430" w:rsidRPr="00085430" w:rsidSect="004D4AE6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085430">
    <w:pPr>
      <w:pStyle w:val="Footer"/>
      <w:tabs>
        <w:tab w:val="clear" w:pos="5812"/>
        <w:tab w:val="left" w:pos="6379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126650">
      <w:rPr>
        <w:noProof/>
        <w:lang w:val="es-ES"/>
      </w:rPr>
      <w:t>P:\ARA\ITU-R\CONF-R\CMR15\000\068ADD12A.docx</w:t>
    </w:r>
    <w:r w:rsidRPr="00CB4300">
      <w:fldChar w:fldCharType="end"/>
    </w:r>
    <w:r w:rsidRPr="00CB4300">
      <w:rPr>
        <w:lang w:val="es-ES"/>
      </w:rPr>
      <w:t xml:space="preserve">  (</w:t>
    </w:r>
    <w:r w:rsidR="00085430">
      <w:rPr>
        <w:lang w:val="es-ES"/>
      </w:rPr>
      <w:t>388434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085726">
      <w:rPr>
        <w:noProof/>
      </w:rPr>
      <w:t>31.10.15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8657CB">
      <w:rPr>
        <w:noProof/>
      </w:rPr>
      <w:t>07.11.11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085430">
    <w:pPr>
      <w:pStyle w:val="Footer"/>
      <w:tabs>
        <w:tab w:val="clear" w:pos="5812"/>
        <w:tab w:val="left" w:pos="6379"/>
      </w:tabs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126650">
      <w:rPr>
        <w:noProof/>
        <w:lang w:val="es-ES"/>
      </w:rPr>
      <w:t>P:\ARA\ITU-R\CONF-R\CMR15\000\068ADD12A.docx</w:t>
    </w:r>
    <w:r>
      <w:fldChar w:fldCharType="end"/>
    </w:r>
    <w:r w:rsidRPr="00CB4300">
      <w:rPr>
        <w:lang w:val="es-ES"/>
      </w:rPr>
      <w:t xml:space="preserve">   (</w:t>
    </w:r>
    <w:r w:rsidR="00085430">
      <w:rPr>
        <w:lang w:val="es-ES"/>
      </w:rPr>
      <w:t>388434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085726">
      <w:rPr>
        <w:noProof/>
      </w:rPr>
      <w:t>31.10.15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8657CB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747076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68(Add.12)-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85430"/>
    <w:rsid w:val="00085726"/>
    <w:rsid w:val="000A1B16"/>
    <w:rsid w:val="000B5404"/>
    <w:rsid w:val="000C635D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26650"/>
    <w:rsid w:val="001464F2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3F78B3"/>
    <w:rsid w:val="00400CD4"/>
    <w:rsid w:val="004147B9"/>
    <w:rsid w:val="00422C04"/>
    <w:rsid w:val="00426144"/>
    <w:rsid w:val="004348A6"/>
    <w:rsid w:val="00461FA7"/>
    <w:rsid w:val="00470CBD"/>
    <w:rsid w:val="0047407D"/>
    <w:rsid w:val="004909DD"/>
    <w:rsid w:val="004A05E6"/>
    <w:rsid w:val="004A6C66"/>
    <w:rsid w:val="004A7AA0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438CF"/>
    <w:rsid w:val="00651343"/>
    <w:rsid w:val="00654D7D"/>
    <w:rsid w:val="0065562F"/>
    <w:rsid w:val="00680A66"/>
    <w:rsid w:val="00681391"/>
    <w:rsid w:val="006A12AC"/>
    <w:rsid w:val="006A2162"/>
    <w:rsid w:val="006B0D94"/>
    <w:rsid w:val="006B4B90"/>
    <w:rsid w:val="006B658C"/>
    <w:rsid w:val="006C0713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47076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33D2B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51718"/>
    <w:rsid w:val="00954CCB"/>
    <w:rsid w:val="00960962"/>
    <w:rsid w:val="00972CE0"/>
    <w:rsid w:val="0097624F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EF3967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C6A21679-82C0-4705-85E2-491B6FEF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basedOn w:val="DefaultParagraphFont"/>
    <w:qFormat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Footnotetexte">
    <w:name w:val="Footnote texte"/>
    <w:basedOn w:val="Normal"/>
    <w:qFormat/>
    <w:rsid w:val="00085430"/>
    <w:pPr>
      <w:tabs>
        <w:tab w:val="clear" w:pos="1134"/>
        <w:tab w:val="left" w:pos="397"/>
        <w:tab w:val="left" w:pos="567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60" w:line="168" w:lineRule="auto"/>
    </w:pPr>
    <w:rPr>
      <w:rFonts w:eastAsiaTheme="minorEastAsia"/>
      <w:sz w:val="20"/>
      <w:szCs w:val="26"/>
      <w:lang w:eastAsia="zh-CN" w:bidi="a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R15-WRC15-C-0068!A12!MSW-A</DPM_x0020_File_x0020_name>
    <DPM_x0020_Author xmlns="32a1a8c5-2265-4ebc-b7a0-2071e2c5c9bb" xsi:nil="false">Documents Proposals Manager (DPM)</DPM_x0020_Author>
    <DPM_x0020_Version xmlns="32a1a8c5-2265-4ebc-b7a0-2071e2c5c9bb" xsi:nil="false">DPM_v5.2015.10.271_prod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84774F-A03B-4DE1-BD27-C2989E235D99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FDC5CE7-D710-4FF8-AA62-8373EB402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347</Words>
  <Characters>1748</Characters>
  <Application>Microsoft Office Word</Application>
  <DocSecurity>0</DocSecurity>
  <Lines>49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R15-WRC15-C-0068!A12!MSW-A</vt:lpstr>
    </vt:vector>
  </TitlesOfParts>
  <Manager>General Secretariat - Pool</Manager>
  <Company>International Telecommunication Union (ITU)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R15-WRC15-C-0068!A12!MSW-A</dc:title>
  <dc:creator>Documents Proposals Manager (DPM)</dc:creator>
  <cp:keywords>DPM_v5.2015.10.271_prod</cp:keywords>
  <cp:lastModifiedBy>Awad, Samy</cp:lastModifiedBy>
  <cp:revision>8</cp:revision>
  <cp:lastPrinted>2011-11-07T13:53:00Z</cp:lastPrinted>
  <dcterms:created xsi:type="dcterms:W3CDTF">2015-10-31T19:45:00Z</dcterms:created>
  <dcterms:modified xsi:type="dcterms:W3CDTF">2015-10-31T21:32:00Z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