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:rsidTr="0050008E">
        <w:trPr>
          <w:cantSplit/>
        </w:trPr>
        <w:tc>
          <w:tcPr>
            <w:tcW w:w="6911" w:type="dxa"/>
          </w:tcPr>
          <w:p w:rsidR="0090121B" w:rsidRPr="00F11BA2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120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02785D" w:rsidRDefault="00AE658F" w:rsidP="0045384C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Addéndum 11 al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Documento 68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1"/>
      <w:tr w:rsidR="000A5B9A" w:rsidRPr="0002785D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16 de octubre de 2015</w:t>
            </w:r>
          </w:p>
        </w:tc>
      </w:tr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francés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02785D">
              <w:rPr>
                <w:lang w:val="en-US"/>
              </w:rPr>
              <w:t>Côte d'Ivoire (República de)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F11BA2" w:rsidRDefault="00F11BA2" w:rsidP="000A5B9A">
            <w:pPr>
              <w:pStyle w:val="Title1"/>
            </w:pPr>
            <w:bookmarkStart w:id="3" w:name="dtitle1" w:colFirst="0" w:colLast="0"/>
            <w:bookmarkEnd w:id="2"/>
            <w:r w:rsidRPr="00F11BA2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F11BA2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7(I) del orden del día</w:t>
            </w:r>
          </w:p>
        </w:tc>
      </w:tr>
    </w:tbl>
    <w:bookmarkEnd w:id="5"/>
    <w:p w:rsidR="001C0E40" w:rsidRPr="009424B4" w:rsidRDefault="0088532F" w:rsidP="00512F4E">
      <w:r w:rsidRPr="00211854">
        <w:t>7</w:t>
      </w:r>
      <w:r w:rsidRPr="00211854">
        <w:tab/>
        <w:t>considerar posibles modificaciones y otras opciones como consecuencia de la Resolución</w:t>
      </w:r>
      <w:r>
        <w:t> </w:t>
      </w:r>
      <w:r w:rsidRPr="00211854">
        <w:t xml:space="preserve">86 (Rev. Marrakech, 2002) de la Conferencia de Plenipotenciarios: «Procedimientos de publicación anticipada, de coordinación, de notificación y de inscripción de asignaciones de frecuencias de redes de satélite», de conformidad con la Resolución </w:t>
      </w:r>
      <w:r w:rsidRPr="00211854">
        <w:rPr>
          <w:b/>
          <w:bCs/>
        </w:rPr>
        <w:t>86 (Rev.CM</w:t>
      </w:r>
      <w:r w:rsidRPr="00211854">
        <w:rPr>
          <w:b/>
          <w:bCs/>
        </w:rPr>
        <w:t>R-07)</w:t>
      </w:r>
      <w:r w:rsidRPr="00211854">
        <w:t>, para facilitar la utilización racional, eficaz y económica de las frecuencias radioeléctricas y toda órbita asociada, incluida la órbita de los satélites geoestacionarios;</w:t>
      </w:r>
    </w:p>
    <w:p w:rsidR="001C0E40" w:rsidRDefault="0088532F" w:rsidP="002478DC">
      <w:r>
        <w:t xml:space="preserve">7(I) </w:t>
      </w:r>
      <w:r>
        <w:tab/>
      </w:r>
      <w:r w:rsidRPr="004C3D94">
        <w:t>Tema I</w:t>
      </w:r>
      <w:r w:rsidRPr="00646F4E">
        <w:rPr>
          <w:lang w:val="es-ES"/>
        </w:rPr>
        <w:t xml:space="preserve"> – </w:t>
      </w:r>
      <w:r w:rsidRPr="004C3D94">
        <w:t>Posible método para resolver el problema de la notificación ex</w:t>
      </w:r>
      <w:r w:rsidRPr="004C3D94">
        <w:t>cesiva de redes de satélite</w:t>
      </w:r>
    </w:p>
    <w:p w:rsidR="00F11BA2" w:rsidRPr="004C3D94" w:rsidRDefault="00F11BA2" w:rsidP="002478DC"/>
    <w:p w:rsidR="00F11BA2" w:rsidRPr="009E72A1" w:rsidRDefault="00F11BA2" w:rsidP="00F11BA2">
      <w:pPr>
        <w:pStyle w:val="Headingb"/>
        <w:rPr>
          <w:lang w:val="es-ES"/>
        </w:rPr>
      </w:pPr>
      <w:r w:rsidRPr="009E72A1">
        <w:rPr>
          <w:lang w:val="es-ES"/>
        </w:rPr>
        <w:t>Antecedentes</w:t>
      </w:r>
    </w:p>
    <w:p w:rsidR="00F11BA2" w:rsidRPr="009E72A1" w:rsidRDefault="00F11BA2" w:rsidP="00F11BA2">
      <w:pPr>
        <w:rPr>
          <w:lang w:val="es-ES"/>
        </w:rPr>
      </w:pPr>
      <w:r w:rsidRPr="009E72A1">
        <w:rPr>
          <w:lang w:val="es-ES"/>
        </w:rPr>
        <w:t xml:space="preserve">En la Resolución </w:t>
      </w:r>
      <w:r w:rsidRPr="00A40517">
        <w:rPr>
          <w:lang w:val="es-ES"/>
        </w:rPr>
        <w:t>86 (Rev.CMR-07)</w:t>
      </w:r>
      <w:r w:rsidRPr="009E72A1">
        <w:rPr>
          <w:lang w:val="es-ES"/>
        </w:rPr>
        <w:t xml:space="preserve"> se resuelve considerar posibles modificaciones y otras opciones de los procedimientos de publicación anticipada, coordinación, notificación e inscripción de asignaciones de frecuencias de redes de satélite a fin de facilitar la utilización racional, eficaz y económica de las frecuencias radioeléctricas y toda órbita asociada, incluida la órbita de los satélites geoestacionarios. Se planteó la cuestión de las dificultades que entraña la coordinación para las nuevas redes, debido a las numerosas solicitudes de coordinación y publicación anticipada presentadas a la BR, que quizá exceda lo realmente necesario y viable en la práctica, dado que muchas de estas redes se suelen suprimir una vez expirado el plazo reglamentario de siete años, por no haberse puesto en servicio o notificado a la BR. </w:t>
      </w:r>
      <w:r w:rsidR="00A40517">
        <w:rPr>
          <w:lang w:val="es-ES"/>
        </w:rPr>
        <w:t xml:space="preserve">La BR suprime cerca del 70 por ciento de las redes notificadas cuando se cumple el plazo reglamentario. </w:t>
      </w:r>
      <w:r w:rsidRPr="009E72A1">
        <w:rPr>
          <w:lang w:val="es-ES"/>
        </w:rPr>
        <w:t>Ahora bien, durante dicho plazo reglamentario, esas redes se han de tomar en consideración en las redes que se notifiquen ulteriormente, lo que complica el proceso de coordinación e incluso impide a las redes notificadas ulteriormente tener acceso oportuno a los recursos de órbita/espectro. Esta situación puede dar lugar a una utilización indebida o irracional de las asignaciones de frecuencias y los recursos orbitales correspondientes.</w:t>
      </w:r>
    </w:p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  <w:bookmarkStart w:id="6" w:name="_GoBack"/>
      <w:bookmarkEnd w:id="6"/>
    </w:p>
    <w:p w:rsidR="002E00C9" w:rsidRPr="009E72A1" w:rsidRDefault="002E00C9" w:rsidP="002E00C9">
      <w:pPr>
        <w:pStyle w:val="Headingb"/>
        <w:rPr>
          <w:lang w:val="es-ES"/>
        </w:rPr>
      </w:pPr>
      <w:r w:rsidRPr="009E72A1">
        <w:rPr>
          <w:lang w:val="es-ES"/>
        </w:rPr>
        <w:lastRenderedPageBreak/>
        <w:t>Propuesta</w:t>
      </w:r>
    </w:p>
    <w:p w:rsidR="005250AF" w:rsidRPr="00F11BA2" w:rsidRDefault="0088532F">
      <w:pPr>
        <w:pStyle w:val="Proposal"/>
        <w:rPr>
          <w:lang w:val="en-US"/>
        </w:rPr>
      </w:pPr>
      <w:r>
        <w:tab/>
      </w:r>
      <w:r w:rsidRPr="00F11BA2">
        <w:rPr>
          <w:lang w:val="en-US"/>
        </w:rPr>
        <w:t>CTI/68A11/1</w:t>
      </w:r>
    </w:p>
    <w:p w:rsidR="00F11BA2" w:rsidRPr="002E00C9" w:rsidRDefault="00F11BA2" w:rsidP="00DB5CD5">
      <w:pPr>
        <w:rPr>
          <w:u w:val="single"/>
        </w:rPr>
      </w:pPr>
      <w:r w:rsidRPr="002E00C9">
        <w:rPr>
          <w:u w:val="single"/>
        </w:rPr>
        <w:t>Método para abordar el problema de la notificación excesiva de redes de satélite</w:t>
      </w:r>
      <w:r w:rsidR="00DB5CD5">
        <w:rPr>
          <w:u w:val="single"/>
        </w:rPr>
        <w:t>:</w:t>
      </w:r>
    </w:p>
    <w:p w:rsidR="00F11BA2" w:rsidRPr="00F11BA2" w:rsidRDefault="00F11BA2" w:rsidP="00F11BA2">
      <w:r w:rsidRPr="00F11BA2">
        <w:t>Se elige el Método I1.2: elaborar una Nuevo Proyecto de Resolución que exija a la administración notificante informar a la Oficina sobre la situación de la red de satélite antes de que venza el plazo reglamentario.</w:t>
      </w:r>
    </w:p>
    <w:p w:rsidR="005250AF" w:rsidRPr="00F11BA2" w:rsidRDefault="00F11BA2" w:rsidP="00F11BA2">
      <w:r w:rsidRPr="00F11BA2">
        <w:t>El Método I2.2 para resolver este aspecto del Tema I mediante la supresión del mecanismo de API.</w:t>
      </w:r>
    </w:p>
    <w:p w:rsidR="00F11BA2" w:rsidRPr="00F11BA2" w:rsidRDefault="0088532F" w:rsidP="00F11BA2">
      <w:pPr>
        <w:pStyle w:val="Reasons"/>
      </w:pPr>
      <w:r w:rsidRPr="00F11BA2">
        <w:rPr>
          <w:b/>
        </w:rPr>
        <w:t>Motivos:</w:t>
      </w:r>
      <w:r w:rsidRPr="00F11BA2">
        <w:tab/>
      </w:r>
      <w:r w:rsidR="00F11BA2" w:rsidRPr="00F11BA2">
        <w:t>El Método I1.2 es más restrictivo e incluye una supervisión destinada a suprimir las redes notificadas que no se pongan en servicio en el plazo reglamentario.</w:t>
      </w:r>
    </w:p>
    <w:p w:rsidR="005250AF" w:rsidRDefault="00F11BA2" w:rsidP="00F11BA2">
      <w:pPr>
        <w:pStyle w:val="Reasons"/>
      </w:pPr>
      <w:r w:rsidRPr="00F11BA2">
        <w:t>El Método I2.2 está en línea con el Método C2, opción B, elegido para el Tema C, que se basa en la supresión del mecanismo de API.</w:t>
      </w:r>
    </w:p>
    <w:p w:rsidR="00F11BA2" w:rsidRDefault="00F11BA2" w:rsidP="0032202E">
      <w:pPr>
        <w:pStyle w:val="Reasons"/>
      </w:pPr>
    </w:p>
    <w:p w:rsidR="00F11BA2" w:rsidRDefault="00F11BA2">
      <w:pPr>
        <w:jc w:val="center"/>
      </w:pPr>
      <w:r>
        <w:t>______________</w:t>
      </w:r>
    </w:p>
    <w:sectPr w:rsidR="00F11BA2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A40517" w:rsidRDefault="0077084A">
    <w:pPr>
      <w:ind w:right="360"/>
    </w:pPr>
    <w:r>
      <w:fldChar w:fldCharType="begin"/>
    </w:r>
    <w:r w:rsidRPr="00A40517">
      <w:instrText xml:space="preserve"> FILENAME \p  \* MERGEFORMAT </w:instrText>
    </w:r>
    <w:r>
      <w:fldChar w:fldCharType="separate"/>
    </w:r>
    <w:r w:rsidR="00A40517">
      <w:rPr>
        <w:noProof/>
      </w:rPr>
      <w:t>P:\ESP\ITU-R\CONF-R\CMR15\000\068ADD11S.docx</w:t>
    </w:r>
    <w:r>
      <w:fldChar w:fldCharType="end"/>
    </w:r>
    <w:r w:rsidRPr="00A40517">
      <w:tab/>
    </w:r>
    <w:r>
      <w:fldChar w:fldCharType="begin"/>
    </w:r>
    <w:r>
      <w:instrText xml:space="preserve"> SAVEDATE \@ DD.MM.YY </w:instrText>
    </w:r>
    <w:r>
      <w:fldChar w:fldCharType="separate"/>
    </w:r>
    <w:r w:rsidR="00A40517">
      <w:rPr>
        <w:noProof/>
      </w:rPr>
      <w:t>29.10.15</w:t>
    </w:r>
    <w:r>
      <w:fldChar w:fldCharType="end"/>
    </w:r>
    <w:r w:rsidRPr="00A40517">
      <w:tab/>
    </w:r>
    <w:r>
      <w:fldChar w:fldCharType="begin"/>
    </w:r>
    <w:r>
      <w:instrText xml:space="preserve"> PRINTDATE \@ DD.MM.YY </w:instrText>
    </w:r>
    <w:r>
      <w:fldChar w:fldCharType="separate"/>
    </w:r>
    <w:r w:rsidR="00A40517">
      <w:rPr>
        <w:noProof/>
      </w:rPr>
      <w:t>29.10.15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2E00C9" w:rsidRDefault="002E00C9" w:rsidP="002E00C9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A40517">
      <w:t>P:\ESP\ITU-R\CONF-R\CMR15\000\068ADD11S.docx</w:t>
    </w:r>
    <w:r>
      <w:fldChar w:fldCharType="end"/>
    </w:r>
    <w:r>
      <w:t xml:space="preserve"> (388433)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A40517">
      <w:t>29.10.15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A40517">
      <w:t>29.10.15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2E00C9" w:rsidRDefault="002E00C9" w:rsidP="002E00C9">
    <w:pPr>
      <w:pStyle w:val="Footer"/>
    </w:pPr>
    <w:fldSimple w:instr=" FILENAME \p  \* MERGEFORMAT ">
      <w:r w:rsidR="00A40517">
        <w:t>P:\ESP\ITU-R\CONF-R\CMR15\000\068ADD11S.docx</w:t>
      </w:r>
    </w:fldSimple>
    <w:r>
      <w:t xml:space="preserve"> (388433)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A40517">
      <w:t>29.10.15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A40517">
      <w:t>29.10.15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8532F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68(Add.11)-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00C9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B124A"/>
    <w:rsid w:val="005133B5"/>
    <w:rsid w:val="005250AF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8532F"/>
    <w:rsid w:val="008E5AF2"/>
    <w:rsid w:val="0090121B"/>
    <w:rsid w:val="009144C9"/>
    <w:rsid w:val="0094091F"/>
    <w:rsid w:val="00973754"/>
    <w:rsid w:val="009C0BED"/>
    <w:rsid w:val="009E11EC"/>
    <w:rsid w:val="00A118DB"/>
    <w:rsid w:val="00A40517"/>
    <w:rsid w:val="00A4450C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72A5D"/>
    <w:rsid w:val="00DB5CD5"/>
    <w:rsid w:val="00DC629B"/>
    <w:rsid w:val="00E05BFF"/>
    <w:rsid w:val="00E262F1"/>
    <w:rsid w:val="00E3176A"/>
    <w:rsid w:val="00E54754"/>
    <w:rsid w:val="00E56BD3"/>
    <w:rsid w:val="00E71D14"/>
    <w:rsid w:val="00F11BA2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62F6F96-2602-4D0B-A7BD-A87C0AC2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R15-WRC15-C-0068!A11!MSW-S</DPM_x0020_File_x0020_name>
    <DPM_x0020_Author xmlns="32a1a8c5-2265-4ebc-b7a0-2071e2c5c9bb" xsi:nil="false">Documents Proposals Manager (DPM)</DPM_x0020_Author>
    <DPM_x0020_Version xmlns="32a1a8c5-2265-4ebc-b7a0-2071e2c5c9bb" xsi:nil="false">DPM_v5.2015.10.280_prod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DDE0F1-CFAE-40CC-936A-9B75810108D0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996b2e75-67fd-4955-a3b0-5ab9934cb50b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2a1a8c5-2265-4ebc-b7a0-2071e2c5c9b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B1EF37-1E19-403F-A36C-EFA34E497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465</Words>
  <Characters>2629</Characters>
  <Application>Microsoft Office Word</Application>
  <DocSecurity>0</DocSecurity>
  <Lines>175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R15-WRC15-C-0068!A11!MSW-S</vt:lpstr>
    </vt:vector>
  </TitlesOfParts>
  <Manager>Secretaría General - Pool</Manager>
  <Company>Unión Internacional de Telecomunicaciones (UIT)</Company>
  <LinksUpToDate>false</LinksUpToDate>
  <CharactersWithSpaces>2976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R15-WRC15-C-0068!A11!MSW-S</dc:title>
  <dc:subject>Conferencia Mundial de Radiocomunicaciones - 2015</dc:subject>
  <dc:creator>Documents Proposals Manager (DPM)</dc:creator>
  <cp:keywords>DPM_v5.2015.10.280_prod</cp:keywords>
  <dc:description/>
  <cp:lastModifiedBy>Spanish</cp:lastModifiedBy>
  <cp:revision>4</cp:revision>
  <cp:lastPrinted>2015-10-29T07:40:00Z</cp:lastPrinted>
  <dcterms:created xsi:type="dcterms:W3CDTF">2015-10-29T07:31:00Z</dcterms:created>
  <dcterms:modified xsi:type="dcterms:W3CDTF">2015-10-29T08:11:00Z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