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771758"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771758" w:rsidRDefault="003E1608" w:rsidP="00771758">
            <w:pPr>
              <w:pStyle w:val="Adress"/>
              <w:framePr w:hSpace="0" w:wrap="auto" w:xAlign="left" w:yAlign="inline"/>
              <w:rPr>
                <w:rtl/>
              </w:rPr>
            </w:pPr>
            <w:r w:rsidRPr="00771758">
              <w:rPr>
                <w:rtl/>
              </w:rPr>
              <w:t xml:space="preserve">الإضافة </w:t>
            </w:r>
            <w:r w:rsidRPr="00771758">
              <w:t>11</w:t>
            </w:r>
            <w:r w:rsidRPr="00771758">
              <w:br/>
            </w:r>
            <w:r w:rsidRPr="00771758">
              <w:rPr>
                <w:rtl/>
              </w:rPr>
              <w:t xml:space="preserve">للوثيقة </w:t>
            </w:r>
            <w:r w:rsidR="00771758" w:rsidRPr="00771758">
              <w:t>68-A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771758" w:rsidRDefault="00764079" w:rsidP="00D44350">
            <w:pPr>
              <w:pStyle w:val="Adress"/>
              <w:framePr w:hSpace="0" w:wrap="auto" w:xAlign="left" w:yAlign="inline"/>
              <w:rPr>
                <w:rtl/>
              </w:rPr>
            </w:pPr>
            <w:r w:rsidRPr="00771758">
              <w:rPr>
                <w:rFonts w:eastAsia="SimSun"/>
              </w:rPr>
              <w:t>16</w:t>
            </w:r>
            <w:r w:rsidRPr="00771758">
              <w:rPr>
                <w:rFonts w:eastAsia="SimSun"/>
                <w:rtl/>
              </w:rPr>
              <w:t xml:space="preserve"> أكتوبر </w:t>
            </w:r>
            <w:r w:rsidRPr="00771758">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771758" w:rsidRDefault="00764079" w:rsidP="00D44350">
            <w:pPr>
              <w:pStyle w:val="Adress"/>
              <w:framePr w:hSpace="0" w:wrap="auto" w:xAlign="left" w:yAlign="inline"/>
              <w:rPr>
                <w:rFonts w:eastAsia="SimSun" w:hint="eastAsia"/>
              </w:rPr>
            </w:pPr>
            <w:r w:rsidRPr="00771758">
              <w:rPr>
                <w:rFonts w:eastAsia="SimSun"/>
                <w:rtl/>
              </w:rPr>
              <w:t>الأصل: بالفرنسية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كوت ديفوار</w:t>
            </w:r>
          </w:p>
        </w:tc>
      </w:tr>
      <w:tr w:rsidR="00764079" w:rsidTr="003E1608">
        <w:trPr>
          <w:cantSplit/>
        </w:trPr>
        <w:tc>
          <w:tcPr>
            <w:tcW w:w="9672" w:type="dxa"/>
            <w:gridSpan w:val="2"/>
          </w:tcPr>
          <w:p w:rsidR="00764079" w:rsidRPr="00BD6EF3" w:rsidRDefault="00771758" w:rsidP="00D44350">
            <w:pPr>
              <w:pStyle w:val="Title1"/>
              <w:spacing w:before="240"/>
              <w:rPr>
                <w:rtl/>
              </w:rPr>
            </w:pPr>
            <w:r>
              <w:rPr>
                <w:rtl/>
              </w:rPr>
              <w:t xml:space="preserve">مقترحات بشأن أعمال </w:t>
            </w:r>
            <w:proofErr w:type="spellStart"/>
            <w:r>
              <w:rPr>
                <w:rtl/>
              </w:rPr>
              <w:t>ال‍مؤت‍مر</w:t>
            </w:r>
            <w:proofErr w:type="spellEnd"/>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771758">
            <w:pPr>
              <w:pStyle w:val="Agendaitem"/>
              <w:spacing w:before="240" w:line="192" w:lineRule="auto"/>
            </w:pPr>
            <w:r w:rsidRPr="008204AC">
              <w:rPr>
                <w:rtl/>
              </w:rPr>
              <w:t xml:space="preserve">البنـد </w:t>
            </w:r>
            <w:r w:rsidR="00771758">
              <w:t>(I)7</w:t>
            </w:r>
            <w:r w:rsidRPr="008204AC">
              <w:rPr>
                <w:rtl/>
              </w:rPr>
              <w:t xml:space="preserve"> من جدول الأعمال</w:t>
            </w:r>
          </w:p>
        </w:tc>
      </w:tr>
    </w:tbl>
    <w:p w:rsidR="001D597A" w:rsidRPr="00431196" w:rsidRDefault="00AB201B" w:rsidP="009D4269">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w:t>
      </w:r>
      <w:bookmarkStart w:id="1" w:name="_GoBack"/>
      <w:bookmarkEnd w:id="1"/>
      <w:r w:rsidRPr="00431196">
        <w:rPr>
          <w:rFonts w:eastAsia="SimSun" w:hint="cs"/>
          <w:spacing w:val="6"/>
          <w:rtl/>
          <w:lang w:bidi="ar-SY"/>
        </w:rPr>
        <w:t>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والفعال والاقتصادي للترددات الراديوية وأي مدارات مرتبطة بها، بما فيها مدار </w:t>
      </w:r>
      <w:proofErr w:type="spellStart"/>
      <w:r w:rsidRPr="00431196">
        <w:rPr>
          <w:rFonts w:eastAsia="SimSun" w:hint="cs"/>
          <w:rtl/>
        </w:rPr>
        <w:t>السواتل</w:t>
      </w:r>
      <w:proofErr w:type="spellEnd"/>
      <w:r w:rsidRPr="00431196">
        <w:rPr>
          <w:rFonts w:eastAsia="SimSun" w:hint="cs"/>
          <w:rtl/>
        </w:rPr>
        <w:t xml:space="preserve"> المستقرة بالنسبة إلى الأرض؛</w:t>
      </w:r>
    </w:p>
    <w:p w:rsidR="001D597A" w:rsidRDefault="00AB201B" w:rsidP="00C2775E">
      <w:pPr>
        <w:rPr>
          <w:rFonts w:eastAsia="SimSun"/>
        </w:rPr>
      </w:pPr>
      <w:r w:rsidRPr="00431196">
        <w:rPr>
          <w:rFonts w:eastAsia="SimSun"/>
        </w:rPr>
        <w:t>(I)7</w:t>
      </w:r>
      <w:r w:rsidRPr="00431196">
        <w:rPr>
          <w:rFonts w:eastAsia="SimSun"/>
        </w:rPr>
        <w:tab/>
      </w:r>
      <w:r w:rsidRPr="00431196">
        <w:rPr>
          <w:rFonts w:eastAsia="SimSun" w:hint="cs"/>
          <w:rtl/>
        </w:rPr>
        <w:t xml:space="preserve">المسألة </w:t>
      </w:r>
      <w:r w:rsidRPr="00431196">
        <w:rPr>
          <w:rFonts w:eastAsia="SimSun"/>
        </w:rPr>
        <w:t>I</w:t>
      </w:r>
      <w:r w:rsidRPr="00431196">
        <w:rPr>
          <w:rFonts w:eastAsia="SimSun" w:hint="cs"/>
          <w:rtl/>
        </w:rPr>
        <w:t xml:space="preserve"> - أسلوب ممكن للتخفيف من وطأة مسألة العدد المفرط لبطاقات التبليغ عن الشبكات الساتلية</w:t>
      </w:r>
    </w:p>
    <w:p w:rsidR="00077005" w:rsidRDefault="00077005" w:rsidP="00C2775E">
      <w:pPr>
        <w:rPr>
          <w:rFonts w:eastAsia="SimSun"/>
        </w:rPr>
      </w:pPr>
    </w:p>
    <w:p w:rsidR="00077005" w:rsidRPr="00077005" w:rsidRDefault="00077005" w:rsidP="00E329AF">
      <w:pPr>
        <w:pStyle w:val="Headingb"/>
        <w:rPr>
          <w:rFonts w:eastAsia="SimSun"/>
          <w:rtl/>
        </w:rPr>
      </w:pPr>
      <w:r>
        <w:rPr>
          <w:rFonts w:eastAsia="SimSun" w:hint="cs"/>
          <w:rtl/>
        </w:rPr>
        <w:t>م</w:t>
      </w:r>
      <w:r w:rsidR="00E329AF">
        <w:rPr>
          <w:rFonts w:eastAsia="SimSun" w:hint="cs"/>
          <w:rtl/>
        </w:rPr>
        <w:t>ع</w:t>
      </w:r>
      <w:r>
        <w:rPr>
          <w:rFonts w:eastAsia="SimSun" w:hint="cs"/>
          <w:rtl/>
        </w:rPr>
        <w:t>لومات أساسي</w:t>
      </w:r>
      <w:r w:rsidR="00E329AF">
        <w:rPr>
          <w:rFonts w:eastAsia="SimSun" w:hint="cs"/>
          <w:rtl/>
        </w:rPr>
        <w:t>ة</w:t>
      </w:r>
    </w:p>
    <w:p w:rsidR="009D4269" w:rsidRPr="007A3C9C" w:rsidRDefault="009D4269" w:rsidP="001677D4">
      <w:pPr>
        <w:rPr>
          <w:spacing w:val="-4"/>
          <w:rtl/>
          <w:lang w:bidi="ar-EG"/>
        </w:rPr>
      </w:pPr>
      <w:r w:rsidRPr="007A3C9C">
        <w:rPr>
          <w:rFonts w:hint="cs"/>
          <w:spacing w:val="-4"/>
          <w:rtl/>
        </w:rPr>
        <w:t>ينص القرار</w:t>
      </w:r>
      <w:r w:rsidR="00077005" w:rsidRPr="007A3C9C">
        <w:rPr>
          <w:rFonts w:hint="cs"/>
          <w:spacing w:val="-4"/>
          <w:rtl/>
        </w:rPr>
        <w:t xml:space="preserve"> </w:t>
      </w:r>
      <w:r w:rsidR="00077005" w:rsidRPr="007A3C9C">
        <w:rPr>
          <w:spacing w:val="-4"/>
        </w:rPr>
        <w:t>86</w:t>
      </w:r>
      <w:r w:rsidR="00077005" w:rsidRPr="007A3C9C">
        <w:rPr>
          <w:rFonts w:hint="cs"/>
          <w:spacing w:val="-4"/>
          <w:rtl/>
        </w:rPr>
        <w:t xml:space="preserve"> </w:t>
      </w:r>
      <w:r w:rsidRPr="007A3C9C">
        <w:rPr>
          <w:spacing w:val="-4"/>
        </w:rPr>
        <w:t> (Rev.WTC-07)</w:t>
      </w:r>
      <w:r w:rsidRPr="007A3C9C">
        <w:rPr>
          <w:rFonts w:hint="cs"/>
          <w:spacing w:val="-4"/>
          <w:rtl/>
        </w:rPr>
        <w:t xml:space="preserve"> على النظر في أي تغييرات قد يلزم إجراؤها، وفي خيارات أخرى، بشأن إجراءات النشر المسبق والتنسيق والتبليغ والتسجيل لتخصيصات التردد للشبكات الساتلية، تيسيراً للاستخدام الرشيد والفعال والاقتصادي للترددات الراديوية وأي مدارات مرتبطة بها، بما فيها مدار </w:t>
      </w:r>
      <w:proofErr w:type="spellStart"/>
      <w:r w:rsidRPr="007A3C9C">
        <w:rPr>
          <w:rFonts w:hint="cs"/>
          <w:spacing w:val="-4"/>
          <w:rtl/>
        </w:rPr>
        <w:t>السواتل</w:t>
      </w:r>
      <w:proofErr w:type="spellEnd"/>
      <w:r w:rsidRPr="007A3C9C">
        <w:rPr>
          <w:rFonts w:hint="cs"/>
          <w:spacing w:val="-4"/>
          <w:rtl/>
        </w:rPr>
        <w:t xml:space="preserve"> المستقرة بالنسبة إلى الأرض. وأثيرت مسائل تتعلق بصعوبات التنسيق التي تنشأ بالنسبة لشبكات الوافدين الجدد نتيجة النشر المسبق المتعدد وطلبات التنسيق المتعددة المقدمة إلى المكتب والتي قد تكون زائدة عما هو مطلوب فعلياً وقابل للتنفيذ عملياً، وحيث يُلغى العديد من هذه الشبكات عادةً بعد انقضاء المهلة الزمنية التنظيمية البالغة سبع سنوات بسبب عدم الوضع في الخدمة أو عدم التبليغ عنها إلى المكتب. </w:t>
      </w:r>
      <w:r w:rsidR="001677D4" w:rsidRPr="007A3C9C">
        <w:rPr>
          <w:rFonts w:hint="cs"/>
          <w:spacing w:val="-4"/>
          <w:rtl/>
        </w:rPr>
        <w:t xml:space="preserve">ويلغي المكتب قرابة </w:t>
      </w:r>
      <w:r w:rsidR="001677D4" w:rsidRPr="007A3C9C">
        <w:rPr>
          <w:spacing w:val="-4"/>
        </w:rPr>
        <w:t>70</w:t>
      </w:r>
      <w:r w:rsidR="001677D4" w:rsidRPr="007A3C9C">
        <w:rPr>
          <w:rFonts w:hint="cs"/>
          <w:spacing w:val="-4"/>
          <w:rtl/>
          <w:lang w:bidi="ar-EG"/>
        </w:rPr>
        <w:t xml:space="preserve"> في المائة من الشبكات المبلغ عنها عندما ينتهي الموعد النهائي التنظيمي. </w:t>
      </w:r>
      <w:r w:rsidRPr="007A3C9C">
        <w:rPr>
          <w:rFonts w:hint="cs"/>
          <w:spacing w:val="-4"/>
          <w:rtl/>
        </w:rPr>
        <w:t>ومع ذلك، خلال هذه المهلة الزمنية التنظيمية، يجب أن تؤخذ هذه الشبكات في الاعتبار في إطار الشبكات المبلغ عنها لاحقاً مما يعقّد عملية التنسيق أو يمنع حتى نفاذ الشبكات المبلغ عنها إلى موارد الطيف/المدار في الوقت المناسب. وقد يؤدي ذلك إلى سوء استعمال تخصيصات التردد والموارد المدارية المرتبطة بها أو استعمالها على نحو غير رشيد.</w:t>
      </w:r>
    </w:p>
    <w:p w:rsidR="00581F88" w:rsidRDefault="00197AD4" w:rsidP="00197AD4">
      <w:pPr>
        <w:pStyle w:val="Headingb"/>
        <w:rPr>
          <w:rtl/>
        </w:rPr>
      </w:pPr>
      <w:r>
        <w:rPr>
          <w:rFonts w:hint="cs"/>
          <w:rtl/>
        </w:rPr>
        <w:lastRenderedPageBreak/>
        <w:t>المقترحات</w:t>
      </w:r>
    </w:p>
    <w:p w:rsidR="00077005" w:rsidRDefault="00197AD4" w:rsidP="00077005">
      <w:pPr>
        <w:rPr>
          <w:b/>
          <w:bCs/>
        </w:rPr>
      </w:pPr>
      <w:r>
        <w:rPr>
          <w:b/>
          <w:bCs/>
          <w:rtl/>
        </w:rPr>
        <w:tab/>
      </w:r>
      <w:r w:rsidR="00077005">
        <w:rPr>
          <w:b/>
          <w:bCs/>
        </w:rPr>
        <w:t>CTI/68A11/1</w:t>
      </w:r>
    </w:p>
    <w:p w:rsidR="00077005" w:rsidRDefault="00077005" w:rsidP="00077005">
      <w:pPr>
        <w:rPr>
          <w:u w:val="single"/>
          <w:rtl/>
          <w:lang w:bidi="ar-EG"/>
        </w:rPr>
      </w:pPr>
      <w:r>
        <w:rPr>
          <w:rFonts w:hint="cs"/>
          <w:u w:val="single"/>
          <w:rtl/>
          <w:lang w:bidi="ar-EG"/>
        </w:rPr>
        <w:t>أساليب تناول العدد المفرط من بطاقات التبليغ لطلب التنسيق:</w:t>
      </w:r>
    </w:p>
    <w:p w:rsidR="004B29DF" w:rsidRPr="004B29DF" w:rsidRDefault="00CB1234" w:rsidP="00077005">
      <w:pPr>
        <w:rPr>
          <w:rtl/>
          <w:lang w:bidi="ar-EG"/>
        </w:rPr>
      </w:pPr>
      <w:r>
        <w:rPr>
          <w:rFonts w:hint="cs"/>
          <w:rtl/>
          <w:lang w:bidi="ar-EG"/>
        </w:rPr>
        <w:t xml:space="preserve">اختيار الأسلوب </w:t>
      </w:r>
      <w:r>
        <w:rPr>
          <w:lang w:bidi="ar-EG"/>
        </w:rPr>
        <w:t>I1.2</w:t>
      </w:r>
      <w:r>
        <w:rPr>
          <w:rFonts w:hint="cs"/>
          <w:rtl/>
          <w:lang w:bidi="ar-EG"/>
        </w:rPr>
        <w:t xml:space="preserve">: </w:t>
      </w:r>
      <w:r w:rsidR="000B1950">
        <w:rPr>
          <w:rFonts w:hint="cs"/>
          <w:rtl/>
          <w:lang w:bidi="ar-EG"/>
        </w:rPr>
        <w:t>مشروع قرار جديد يقتضي</w:t>
      </w:r>
      <w:r>
        <w:rPr>
          <w:rFonts w:hint="cs"/>
          <w:rtl/>
          <w:lang w:bidi="ar-EG"/>
        </w:rPr>
        <w:t xml:space="preserve"> </w:t>
      </w:r>
      <w:r w:rsidR="000B1950">
        <w:rPr>
          <w:rFonts w:hint="cs"/>
          <w:rtl/>
          <w:lang w:bidi="ar-EG"/>
        </w:rPr>
        <w:t>قيام</w:t>
      </w:r>
      <w:r>
        <w:rPr>
          <w:rFonts w:hint="cs"/>
          <w:rtl/>
          <w:lang w:bidi="ar-EG"/>
        </w:rPr>
        <w:t xml:space="preserve"> الإدارة المبلغة </w:t>
      </w:r>
      <w:r w:rsidR="000B1950">
        <w:rPr>
          <w:rFonts w:hint="cs"/>
          <w:rtl/>
          <w:lang w:bidi="ar-EG"/>
        </w:rPr>
        <w:t>ب</w:t>
      </w:r>
      <w:r>
        <w:rPr>
          <w:rFonts w:hint="cs"/>
          <w:rtl/>
          <w:lang w:bidi="ar-EG"/>
        </w:rPr>
        <w:t xml:space="preserve">تقديم تقرير إلى مكتب الاتصالات الراديوية بشأن وضع </w:t>
      </w:r>
      <w:r w:rsidR="000B1950">
        <w:rPr>
          <w:rFonts w:hint="cs"/>
          <w:rtl/>
          <w:lang w:bidi="ar-EG"/>
        </w:rPr>
        <w:t xml:space="preserve">الشبكة الساتلية قبل </w:t>
      </w:r>
      <w:r w:rsidR="00DB5603">
        <w:rPr>
          <w:rFonts w:hint="cs"/>
          <w:rtl/>
          <w:lang w:bidi="ar-EG"/>
        </w:rPr>
        <w:t>انتهاء الموعد</w:t>
      </w:r>
      <w:r w:rsidR="000B1950">
        <w:rPr>
          <w:rFonts w:hint="cs"/>
          <w:rtl/>
          <w:lang w:bidi="ar-EG"/>
        </w:rPr>
        <w:t xml:space="preserve"> النهائي التنظيمي.</w:t>
      </w:r>
    </w:p>
    <w:p w:rsidR="00077005" w:rsidRDefault="00753B07" w:rsidP="00077005">
      <w:pPr>
        <w:rPr>
          <w:rtl/>
          <w:lang w:bidi="ar-EG"/>
        </w:rPr>
      </w:pPr>
      <w:r>
        <w:rPr>
          <w:rFonts w:hint="cs"/>
          <w:rtl/>
          <w:lang w:bidi="ar-EG"/>
        </w:rPr>
        <w:t xml:space="preserve">والأسلوب </w:t>
      </w:r>
      <w:r>
        <w:rPr>
          <w:lang w:bidi="ar-EG"/>
        </w:rPr>
        <w:t>I1.2</w:t>
      </w:r>
      <w:r>
        <w:rPr>
          <w:rFonts w:hint="cs"/>
          <w:rtl/>
          <w:lang w:bidi="ar-EG"/>
        </w:rPr>
        <w:t xml:space="preserve"> يحل هذا الجانب من المسألة </w:t>
      </w:r>
      <w:r>
        <w:rPr>
          <w:lang w:bidi="ar-EG"/>
        </w:rPr>
        <w:t>I</w:t>
      </w:r>
      <w:r>
        <w:rPr>
          <w:rFonts w:hint="cs"/>
          <w:rtl/>
          <w:lang w:bidi="ar-EG"/>
        </w:rPr>
        <w:t xml:space="preserve"> من خلال إلغاء آلية معلومات النشر المسبق.</w:t>
      </w:r>
    </w:p>
    <w:p w:rsidR="00753B07" w:rsidRPr="00197AD4" w:rsidRDefault="00753B07" w:rsidP="00197AD4">
      <w:pPr>
        <w:pStyle w:val="Reasons"/>
        <w:rPr>
          <w:b w:val="0"/>
          <w:bCs w:val="0"/>
          <w:rtl/>
          <w:lang w:bidi="ar-EG"/>
        </w:rPr>
      </w:pPr>
      <w:r>
        <w:rPr>
          <w:rFonts w:hint="cs"/>
          <w:rtl/>
          <w:lang w:bidi="ar-EG"/>
        </w:rPr>
        <w:t>الأسباب:</w:t>
      </w:r>
      <w:r>
        <w:rPr>
          <w:rFonts w:hint="cs"/>
          <w:rtl/>
          <w:lang w:bidi="ar-EG"/>
        </w:rPr>
        <w:tab/>
      </w:r>
      <w:r w:rsidR="00513568" w:rsidRPr="00197AD4">
        <w:rPr>
          <w:rFonts w:hint="cs"/>
          <w:b w:val="0"/>
          <w:bCs w:val="0"/>
          <w:rtl/>
          <w:lang w:bidi="ar-EG"/>
        </w:rPr>
        <w:t xml:space="preserve">الأسلوب </w:t>
      </w:r>
      <w:r w:rsidR="00513568" w:rsidRPr="00197AD4">
        <w:rPr>
          <w:b w:val="0"/>
          <w:bCs w:val="0"/>
          <w:lang w:bidi="ar-EG"/>
        </w:rPr>
        <w:t>I1.2</w:t>
      </w:r>
      <w:r w:rsidR="00513568" w:rsidRPr="00197AD4">
        <w:rPr>
          <w:rFonts w:hint="cs"/>
          <w:b w:val="0"/>
          <w:bCs w:val="0"/>
          <w:rtl/>
          <w:lang w:bidi="ar-EG"/>
        </w:rPr>
        <w:t xml:space="preserve"> أكثر تقييداً ويشمل عملية المراقبة بغية إلغاء حسب الاقتضاء الشبكات المبلغ عنها، والتي لن توضع موضع الاستخدام قبل الموعد النهائي التنظيمي.</w:t>
      </w:r>
    </w:p>
    <w:p w:rsidR="00513568" w:rsidRPr="00197AD4" w:rsidRDefault="00513568" w:rsidP="00197AD4">
      <w:pPr>
        <w:pStyle w:val="Reasons"/>
        <w:rPr>
          <w:b w:val="0"/>
          <w:bCs w:val="0"/>
          <w:spacing w:val="-2"/>
          <w:rtl/>
          <w:lang w:bidi="ar-EG"/>
        </w:rPr>
      </w:pPr>
      <w:r w:rsidRPr="00197AD4">
        <w:rPr>
          <w:rFonts w:hint="cs"/>
          <w:b w:val="0"/>
          <w:bCs w:val="0"/>
          <w:spacing w:val="-2"/>
          <w:rtl/>
          <w:lang w:bidi="ar-EG"/>
        </w:rPr>
        <w:t xml:space="preserve">ويتفق الأسلوب </w:t>
      </w:r>
      <w:r w:rsidRPr="00197AD4">
        <w:rPr>
          <w:b w:val="0"/>
          <w:bCs w:val="0"/>
          <w:spacing w:val="-2"/>
          <w:lang w:bidi="ar-EG"/>
        </w:rPr>
        <w:t>I1.2</w:t>
      </w:r>
      <w:r w:rsidRPr="00197AD4">
        <w:rPr>
          <w:rFonts w:hint="cs"/>
          <w:b w:val="0"/>
          <w:bCs w:val="0"/>
          <w:spacing w:val="-2"/>
          <w:rtl/>
          <w:lang w:bidi="ar-EG"/>
        </w:rPr>
        <w:t xml:space="preserve"> مع الخيار </w:t>
      </w:r>
      <w:r w:rsidRPr="00197AD4">
        <w:rPr>
          <w:b w:val="0"/>
          <w:bCs w:val="0"/>
          <w:spacing w:val="-2"/>
          <w:lang w:bidi="ar-EG"/>
        </w:rPr>
        <w:t>B</w:t>
      </w:r>
      <w:r w:rsidRPr="00197AD4">
        <w:rPr>
          <w:rFonts w:hint="cs"/>
          <w:b w:val="0"/>
          <w:bCs w:val="0"/>
          <w:spacing w:val="-2"/>
          <w:rtl/>
          <w:lang w:bidi="ar-EG"/>
        </w:rPr>
        <w:t xml:space="preserve"> من الأسلوب </w:t>
      </w:r>
      <w:r w:rsidRPr="00197AD4">
        <w:rPr>
          <w:b w:val="0"/>
          <w:bCs w:val="0"/>
          <w:spacing w:val="-2"/>
          <w:lang w:bidi="ar-EG"/>
        </w:rPr>
        <w:t>C2</w:t>
      </w:r>
      <w:r w:rsidRPr="00197AD4">
        <w:rPr>
          <w:rFonts w:hint="cs"/>
          <w:b w:val="0"/>
          <w:bCs w:val="0"/>
          <w:spacing w:val="-2"/>
          <w:rtl/>
          <w:lang w:bidi="ar-EG"/>
        </w:rPr>
        <w:t xml:space="preserve"> المحدد</w:t>
      </w:r>
      <w:r w:rsidR="008D4488" w:rsidRPr="00197AD4">
        <w:rPr>
          <w:rFonts w:hint="cs"/>
          <w:b w:val="0"/>
          <w:bCs w:val="0"/>
          <w:spacing w:val="-2"/>
          <w:rtl/>
          <w:lang w:bidi="ar-EG"/>
        </w:rPr>
        <w:t xml:space="preserve"> فيما يتعلق بال</w:t>
      </w:r>
      <w:r w:rsidRPr="00197AD4">
        <w:rPr>
          <w:rFonts w:hint="cs"/>
          <w:b w:val="0"/>
          <w:bCs w:val="0"/>
          <w:spacing w:val="-2"/>
          <w:rtl/>
          <w:lang w:bidi="ar-EG"/>
        </w:rPr>
        <w:t xml:space="preserve">مسألة </w:t>
      </w:r>
      <w:r w:rsidRPr="00197AD4">
        <w:rPr>
          <w:b w:val="0"/>
          <w:bCs w:val="0"/>
          <w:spacing w:val="-2"/>
          <w:lang w:bidi="ar-EG"/>
        </w:rPr>
        <w:t>C</w:t>
      </w:r>
      <w:r w:rsidRPr="00197AD4">
        <w:rPr>
          <w:rFonts w:hint="cs"/>
          <w:b w:val="0"/>
          <w:bCs w:val="0"/>
          <w:spacing w:val="-2"/>
          <w:rtl/>
          <w:lang w:bidi="ar-EG"/>
        </w:rPr>
        <w:t xml:space="preserve">، والذي </w:t>
      </w:r>
      <w:r w:rsidR="00E22732" w:rsidRPr="00197AD4">
        <w:rPr>
          <w:rFonts w:hint="cs"/>
          <w:b w:val="0"/>
          <w:bCs w:val="0"/>
          <w:spacing w:val="-2"/>
          <w:rtl/>
          <w:lang w:bidi="ar-EG"/>
        </w:rPr>
        <w:t>يقوم على إلغاء آل</w:t>
      </w:r>
      <w:r w:rsidRPr="00197AD4">
        <w:rPr>
          <w:rFonts w:hint="cs"/>
          <w:b w:val="0"/>
          <w:bCs w:val="0"/>
          <w:spacing w:val="-2"/>
          <w:rtl/>
          <w:lang w:bidi="ar-EG"/>
        </w:rPr>
        <w:t>ية معلومات النشر</w:t>
      </w:r>
      <w:r w:rsidR="00197AD4" w:rsidRPr="00197AD4">
        <w:rPr>
          <w:rFonts w:hint="eastAsia"/>
          <w:b w:val="0"/>
          <w:bCs w:val="0"/>
          <w:spacing w:val="-2"/>
          <w:rtl/>
          <w:lang w:bidi="ar-EG"/>
        </w:rPr>
        <w:t> </w:t>
      </w:r>
      <w:r w:rsidRPr="00197AD4">
        <w:rPr>
          <w:rFonts w:hint="cs"/>
          <w:b w:val="0"/>
          <w:bCs w:val="0"/>
          <w:spacing w:val="-2"/>
          <w:rtl/>
          <w:lang w:bidi="ar-EG"/>
        </w:rPr>
        <w:t>المسبق.</w:t>
      </w:r>
    </w:p>
    <w:p w:rsidR="00117532" w:rsidRPr="00117532" w:rsidRDefault="00AB201B" w:rsidP="00AB201B">
      <w:pPr>
        <w:spacing w:before="600"/>
        <w:jc w:val="center"/>
      </w:pPr>
      <w:r>
        <w:rPr>
          <w:rtl/>
        </w:rPr>
        <w:t>___________</w:t>
      </w:r>
    </w:p>
    <w:sectPr w:rsidR="00117532" w:rsidRPr="00117532"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1E6A2E" w:rsidRDefault="00281F5F" w:rsidP="001E6A2E">
    <w:pPr>
      <w:pStyle w:val="Footer"/>
      <w:tabs>
        <w:tab w:val="clear" w:pos="5812"/>
        <w:tab w:val="left" w:pos="5670"/>
      </w:tabs>
    </w:pPr>
    <w:r w:rsidRPr="00CB4300">
      <w:fldChar w:fldCharType="begin"/>
    </w:r>
    <w:r w:rsidRPr="001E6A2E">
      <w:instrText xml:space="preserve"> FILENAME \p \* MERGEFORMAT </w:instrText>
    </w:r>
    <w:r w:rsidRPr="00CB4300">
      <w:fldChar w:fldCharType="separate"/>
    </w:r>
    <w:r w:rsidR="00514484">
      <w:rPr>
        <w:noProof/>
      </w:rPr>
      <w:t>P:\ARA\ITU-R\CONF-R\CMR15\000\068ADD11A.docx</w:t>
    </w:r>
    <w:r w:rsidRPr="00CB4300">
      <w:fldChar w:fldCharType="end"/>
    </w:r>
    <w:r w:rsidRPr="001E6A2E">
      <w:t xml:space="preserve">  (</w:t>
    </w:r>
    <w:r w:rsidR="001E6A2E">
      <w:t>388433</w:t>
    </w:r>
    <w:r w:rsidRPr="001E6A2E">
      <w:t>)</w:t>
    </w:r>
    <w:r w:rsidRPr="001E6A2E">
      <w:tab/>
    </w:r>
    <w:r w:rsidRPr="00CB4300">
      <w:fldChar w:fldCharType="begin"/>
    </w:r>
    <w:r w:rsidRPr="00CB4300">
      <w:instrText xml:space="preserve"> savedate \@ dd.MM.yy </w:instrText>
    </w:r>
    <w:r w:rsidRPr="00CB4300">
      <w:fldChar w:fldCharType="separate"/>
    </w:r>
    <w:r w:rsidR="00E329AF">
      <w:rPr>
        <w:noProof/>
      </w:rPr>
      <w:t>31.10.15</w:t>
    </w:r>
    <w:r w:rsidRPr="00CB4300">
      <w:fldChar w:fldCharType="end"/>
    </w:r>
    <w:r w:rsidRPr="001E6A2E">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E6A2E">
    <w:pPr>
      <w:pStyle w:val="Footer"/>
      <w:rPr>
        <w:lang w:val="es-ES"/>
      </w:rPr>
    </w:pPr>
    <w:r>
      <w:fldChar w:fldCharType="begin"/>
    </w:r>
    <w:r w:rsidRPr="00CB4300">
      <w:rPr>
        <w:lang w:val="es-ES"/>
      </w:rPr>
      <w:instrText xml:space="preserve"> FILENAME \p \* MERGEFORMAT </w:instrText>
    </w:r>
    <w:r>
      <w:fldChar w:fldCharType="separate"/>
    </w:r>
    <w:r w:rsidR="00514484">
      <w:rPr>
        <w:noProof/>
        <w:lang w:val="es-ES"/>
      </w:rPr>
      <w:t>P:\ARA\ITU-R\CONF-R\CMR15\000\068ADD11A.docx</w:t>
    </w:r>
    <w:r>
      <w:fldChar w:fldCharType="end"/>
    </w:r>
    <w:r w:rsidRPr="00CB4300">
      <w:rPr>
        <w:lang w:val="es-ES"/>
      </w:rPr>
      <w:t xml:space="preserve">   (</w:t>
    </w:r>
    <w:r w:rsidR="001E6A2E">
      <w:rPr>
        <w:lang w:val="es-ES"/>
      </w:rPr>
      <w:t>388433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E329AF">
      <w:rPr>
        <w:noProof/>
      </w:rPr>
      <w:t>31.10.15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14484">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68(Add.11)-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77005"/>
    <w:rsid w:val="000A1B16"/>
    <w:rsid w:val="000B1950"/>
    <w:rsid w:val="000B5404"/>
    <w:rsid w:val="000D1708"/>
    <w:rsid w:val="000E2AFC"/>
    <w:rsid w:val="000E6D30"/>
    <w:rsid w:val="000F05F5"/>
    <w:rsid w:val="000F28EA"/>
    <w:rsid w:val="000F518F"/>
    <w:rsid w:val="0010081C"/>
    <w:rsid w:val="001013E3"/>
    <w:rsid w:val="0010363F"/>
    <w:rsid w:val="00117532"/>
    <w:rsid w:val="001464F2"/>
    <w:rsid w:val="001629EC"/>
    <w:rsid w:val="00167364"/>
    <w:rsid w:val="001677D4"/>
    <w:rsid w:val="001903B2"/>
    <w:rsid w:val="00197AD4"/>
    <w:rsid w:val="001E190C"/>
    <w:rsid w:val="001E54F6"/>
    <w:rsid w:val="001E5A8C"/>
    <w:rsid w:val="001E6A2E"/>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2F5A26"/>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B29DF"/>
    <w:rsid w:val="004C11BC"/>
    <w:rsid w:val="004D4AE6"/>
    <w:rsid w:val="004E34FA"/>
    <w:rsid w:val="00505FCA"/>
    <w:rsid w:val="00510C2D"/>
    <w:rsid w:val="00513568"/>
    <w:rsid w:val="00514484"/>
    <w:rsid w:val="005169F4"/>
    <w:rsid w:val="005210D1"/>
    <w:rsid w:val="00523146"/>
    <w:rsid w:val="00523275"/>
    <w:rsid w:val="00531DC7"/>
    <w:rsid w:val="005350B0"/>
    <w:rsid w:val="00546A99"/>
    <w:rsid w:val="00553411"/>
    <w:rsid w:val="00554AE7"/>
    <w:rsid w:val="00564746"/>
    <w:rsid w:val="0056512C"/>
    <w:rsid w:val="00576D0A"/>
    <w:rsid w:val="00576FCC"/>
    <w:rsid w:val="00581F88"/>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615A"/>
    <w:rsid w:val="006F70BF"/>
    <w:rsid w:val="00716B1D"/>
    <w:rsid w:val="007248EC"/>
    <w:rsid w:val="00731150"/>
    <w:rsid w:val="00736DCC"/>
    <w:rsid w:val="00741855"/>
    <w:rsid w:val="00742B73"/>
    <w:rsid w:val="00751251"/>
    <w:rsid w:val="00753B07"/>
    <w:rsid w:val="007610E7"/>
    <w:rsid w:val="00764079"/>
    <w:rsid w:val="00770AA0"/>
    <w:rsid w:val="00771758"/>
    <w:rsid w:val="00771F7E"/>
    <w:rsid w:val="00773E9C"/>
    <w:rsid w:val="00776F6B"/>
    <w:rsid w:val="00777694"/>
    <w:rsid w:val="00786A7E"/>
    <w:rsid w:val="007A0802"/>
    <w:rsid w:val="007A3C9C"/>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488"/>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4269"/>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A4773"/>
    <w:rsid w:val="00AB201B"/>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1234"/>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B5603"/>
    <w:rsid w:val="00DC29DD"/>
    <w:rsid w:val="00DC7C0E"/>
    <w:rsid w:val="00DF2A6A"/>
    <w:rsid w:val="00DF3B72"/>
    <w:rsid w:val="00E10821"/>
    <w:rsid w:val="00E165ED"/>
    <w:rsid w:val="00E22732"/>
    <w:rsid w:val="00E2489D"/>
    <w:rsid w:val="00E25C06"/>
    <w:rsid w:val="00E26520"/>
    <w:rsid w:val="00E329AF"/>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A1EFEC-AE6A-4CAE-B679-490CE852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R15-WRC15-C-0068!A11!MSW-A</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8CB6-B672-44C0-9030-C9525B864C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FA775F7D-53CF-441B-A084-0DDA52E0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R15-WRC15-C-0068!A11!MSW-A</vt:lpstr>
    </vt:vector>
  </TitlesOfParts>
  <Manager>General Secretariat - Pool</Manager>
  <Company>International Telecommunication Union (ITU)</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R15-WRC15-C-0068!A11!MSW-A</dc:title>
  <dc:creator>Documents Proposals Manager (DPM)</dc:creator>
  <cp:keywords>DPM_v5.2015.10.280_prod</cp:keywords>
  <cp:lastModifiedBy>Tahawi, Mohamad </cp:lastModifiedBy>
  <cp:revision>4</cp:revision>
  <cp:lastPrinted>2015-10-31T16:14:00Z</cp:lastPrinted>
  <dcterms:created xsi:type="dcterms:W3CDTF">2015-10-31T21:00:00Z</dcterms:created>
  <dcterms:modified xsi:type="dcterms:W3CDTF">2015-10-31T21:01:00Z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