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val="en-GB"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RPr="00DF4918" w:rsidTr="003E1608">
        <w:trPr>
          <w:cantSplit/>
        </w:trPr>
        <w:tc>
          <w:tcPr>
            <w:tcW w:w="6619" w:type="dxa"/>
            <w:shd w:val="clear" w:color="auto" w:fill="auto"/>
          </w:tcPr>
          <w:p w:rsidR="003E1608" w:rsidRPr="00DF4918"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DF4918">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DF4918" w:rsidRDefault="003E1608" w:rsidP="003E1608">
            <w:pPr>
              <w:pStyle w:val="Adress"/>
              <w:framePr w:hSpace="0" w:wrap="auto" w:xAlign="left" w:yAlign="inline"/>
              <w:rPr>
                <w:rFonts w:ascii="Verdana" w:hAnsi="Verdana"/>
                <w:rtl/>
              </w:rPr>
            </w:pPr>
            <w:r w:rsidRPr="00DF4918">
              <w:rPr>
                <w:rFonts w:ascii="Verdana" w:hAnsi="Verdana"/>
                <w:rtl/>
              </w:rPr>
              <w:t xml:space="preserve">الإضافة </w:t>
            </w:r>
            <w:r w:rsidRPr="00DF4918">
              <w:rPr>
                <w:rFonts w:ascii="Verdana" w:hAnsi="Verdana"/>
              </w:rPr>
              <w:t>1</w:t>
            </w:r>
            <w:r w:rsidRPr="00DF4918">
              <w:rPr>
                <w:rFonts w:ascii="Verdana" w:hAnsi="Verdana"/>
              </w:rPr>
              <w:br/>
            </w:r>
            <w:r w:rsidRPr="00DF4918">
              <w:rPr>
                <w:rFonts w:ascii="Verdana" w:hAnsi="Verdana"/>
                <w:rtl/>
              </w:rPr>
              <w:t xml:space="preserve">للوثيقة </w:t>
            </w:r>
            <w:r w:rsidRPr="00DF4918">
              <w:rPr>
                <w:rFonts w:ascii="Verdana" w:hAnsi="Verdana"/>
              </w:rPr>
              <w:t>68-</w:t>
            </w:r>
            <w:r w:rsidR="00DF4918">
              <w:rPr>
                <w:rFonts w:ascii="Verdana" w:hAnsi="Verdana"/>
              </w:rPr>
              <w:t>A</w:t>
            </w:r>
          </w:p>
        </w:tc>
      </w:tr>
      <w:tr w:rsidR="00764079" w:rsidRPr="00DF4918" w:rsidTr="003E1608">
        <w:trPr>
          <w:cantSplit/>
        </w:trPr>
        <w:tc>
          <w:tcPr>
            <w:tcW w:w="6619" w:type="dxa"/>
            <w:shd w:val="clear" w:color="auto" w:fill="auto"/>
          </w:tcPr>
          <w:p w:rsidR="00764079" w:rsidRPr="00DF4918"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DF4918" w:rsidRDefault="00764079" w:rsidP="00D44350">
            <w:pPr>
              <w:pStyle w:val="Adress"/>
              <w:framePr w:hSpace="0" w:wrap="auto" w:xAlign="left" w:yAlign="inline"/>
              <w:rPr>
                <w:rFonts w:ascii="Verdana" w:hAnsi="Verdana"/>
                <w:rtl/>
              </w:rPr>
            </w:pPr>
            <w:r w:rsidRPr="00DF4918">
              <w:rPr>
                <w:rFonts w:ascii="Verdana" w:eastAsia="SimSun" w:hAnsi="Verdana"/>
              </w:rPr>
              <w:t>16</w:t>
            </w:r>
            <w:r w:rsidRPr="00DF4918">
              <w:rPr>
                <w:rFonts w:ascii="Verdana" w:eastAsia="SimSun" w:hAnsi="Verdana"/>
                <w:rtl/>
              </w:rPr>
              <w:t xml:space="preserve"> أكتوبر </w:t>
            </w:r>
            <w:r w:rsidRPr="00DF4918">
              <w:rPr>
                <w:rFonts w:ascii="Verdana" w:eastAsia="SimSun" w:hAnsi="Verdana"/>
              </w:rPr>
              <w:t>2015</w:t>
            </w:r>
          </w:p>
        </w:tc>
      </w:tr>
      <w:tr w:rsidR="00764079" w:rsidRPr="00DF4918" w:rsidTr="003E1608">
        <w:trPr>
          <w:cantSplit/>
        </w:trPr>
        <w:tc>
          <w:tcPr>
            <w:tcW w:w="6619" w:type="dxa"/>
          </w:tcPr>
          <w:p w:rsidR="00764079" w:rsidRPr="00DF4918" w:rsidRDefault="00764079" w:rsidP="00D44350">
            <w:pPr>
              <w:pStyle w:val="Adress"/>
              <w:framePr w:hSpace="0" w:wrap="auto" w:xAlign="left" w:yAlign="inline"/>
              <w:rPr>
                <w:rFonts w:ascii="Verdana" w:eastAsia="SimSun" w:hAnsi="Verdana"/>
                <w:rtl/>
              </w:rPr>
            </w:pPr>
          </w:p>
        </w:tc>
        <w:tc>
          <w:tcPr>
            <w:tcW w:w="3053" w:type="dxa"/>
            <w:vAlign w:val="center"/>
          </w:tcPr>
          <w:p w:rsidR="00764079" w:rsidRPr="00DF4918" w:rsidRDefault="00764079" w:rsidP="00D44350">
            <w:pPr>
              <w:pStyle w:val="Adress"/>
              <w:framePr w:hSpace="0" w:wrap="auto" w:xAlign="left" w:yAlign="inline"/>
              <w:rPr>
                <w:rFonts w:ascii="Verdana" w:eastAsia="SimSun" w:hAnsi="Verdana"/>
              </w:rPr>
            </w:pPr>
            <w:r w:rsidRPr="00DF4918">
              <w:rPr>
                <w:rFonts w:ascii="Verdana" w:eastAsia="SimSun" w:hAnsi="Verdana"/>
                <w:rtl/>
              </w:rPr>
              <w:t>الأصل: بالفرنسية</w:t>
            </w:r>
          </w:p>
        </w:tc>
      </w:tr>
      <w:tr w:rsidR="00764079" w:rsidRPr="00DF4918" w:rsidTr="003E1608">
        <w:trPr>
          <w:cantSplit/>
        </w:trPr>
        <w:tc>
          <w:tcPr>
            <w:tcW w:w="9672" w:type="dxa"/>
            <w:gridSpan w:val="2"/>
          </w:tcPr>
          <w:p w:rsidR="00764079" w:rsidRPr="00DF4918"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كوت ديفوار</w:t>
            </w:r>
          </w:p>
        </w:tc>
      </w:tr>
      <w:tr w:rsidR="00764079" w:rsidTr="003E1608">
        <w:trPr>
          <w:cantSplit/>
        </w:trPr>
        <w:tc>
          <w:tcPr>
            <w:tcW w:w="9672" w:type="dxa"/>
            <w:gridSpan w:val="2"/>
          </w:tcPr>
          <w:p w:rsidR="00764079" w:rsidRPr="00BD6EF3" w:rsidRDefault="00DF4918" w:rsidP="00D44350">
            <w:pPr>
              <w:pStyle w:val="Title1"/>
              <w:spacing w:before="240"/>
              <w:rPr>
                <w:rtl/>
              </w:rPr>
            </w:pPr>
            <w:r>
              <w:rPr>
                <w:rFonts w:hint="cs"/>
                <w:rtl/>
              </w:rPr>
              <w:t>مقترحات بشأن أعمال الـمؤتـمر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DF4918">
            <w:pPr>
              <w:pStyle w:val="Agendaitem"/>
              <w:spacing w:before="240" w:line="192" w:lineRule="auto"/>
            </w:pPr>
            <w:r w:rsidRPr="008204AC">
              <w:rPr>
                <w:rtl/>
              </w:rPr>
              <w:t xml:space="preserve">البنـد </w:t>
            </w:r>
            <w:r w:rsidR="00DF4918">
              <w:t>1.1</w:t>
            </w:r>
            <w:r w:rsidRPr="008204AC">
              <w:rPr>
                <w:rtl/>
              </w:rPr>
              <w:t xml:space="preserve"> من جدول الأعمال</w:t>
            </w:r>
          </w:p>
        </w:tc>
      </w:tr>
    </w:tbl>
    <w:p w:rsidR="001D597A" w:rsidRPr="00431196" w:rsidRDefault="00275D41" w:rsidP="00DF4918">
      <w:pPr>
        <w:pStyle w:val="Normalaftertitle"/>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Default="00DF4918" w:rsidP="00DF4918">
      <w:pPr>
        <w:pStyle w:val="Headingb"/>
        <w:rPr>
          <w:rtl/>
        </w:rPr>
      </w:pPr>
      <w:r>
        <w:rPr>
          <w:rFonts w:hint="cs"/>
          <w:rtl/>
        </w:rPr>
        <w:t>مقدمة</w:t>
      </w:r>
    </w:p>
    <w:p w:rsidR="00DF4918" w:rsidRPr="00457A52" w:rsidRDefault="00DF4918" w:rsidP="00BA5CA0">
      <w:pPr>
        <w:rPr>
          <w:rtl/>
        </w:rPr>
      </w:pPr>
      <w:r w:rsidRPr="00457A52">
        <w:rPr>
          <w:rFonts w:hint="cs"/>
          <w:rtl/>
        </w:rPr>
        <w:t>تساهم الاتصالات المتنقلة بصورة إيجابية في التنمية الاقتصادية والاجتماعية للبلدان المتقدّمة والنامية، بما</w:t>
      </w:r>
      <w:r w:rsidR="00BA5CA0">
        <w:rPr>
          <w:rFonts w:hint="eastAsia"/>
          <w:rtl/>
        </w:rPr>
        <w:t> </w:t>
      </w:r>
      <w:r w:rsidRPr="00457A52">
        <w:rPr>
          <w:rFonts w:hint="cs"/>
          <w:rtl/>
        </w:rPr>
        <w:t>في ذلك الاتصالات المتنقلة العريضة</w:t>
      </w:r>
      <w:r w:rsidRPr="00457A52">
        <w:rPr>
          <w:rFonts w:hint="eastAsia"/>
          <w:rtl/>
        </w:rPr>
        <w:t> </w:t>
      </w:r>
      <w:r w:rsidRPr="00457A52">
        <w:rPr>
          <w:rFonts w:hint="cs"/>
          <w:rtl/>
        </w:rPr>
        <w:t>النطاق.</w:t>
      </w:r>
    </w:p>
    <w:p w:rsidR="00DF4918" w:rsidRPr="00BA5CA0" w:rsidRDefault="00DF4918" w:rsidP="00BA5CA0">
      <w:pPr>
        <w:rPr>
          <w:spacing w:val="-2"/>
          <w:rtl/>
        </w:rPr>
      </w:pPr>
      <w:r w:rsidRPr="00BA5CA0">
        <w:rPr>
          <w:rFonts w:hint="cs"/>
          <w:spacing w:val="-2"/>
          <w:rtl/>
        </w:rPr>
        <w:t xml:space="preserve">ويتضمن التقرير </w:t>
      </w:r>
      <w:r w:rsidRPr="00BA5CA0">
        <w:rPr>
          <w:spacing w:val="-2"/>
          <w:lang w:bidi="ar-SY"/>
        </w:rPr>
        <w:t>ITU</w:t>
      </w:r>
      <w:r w:rsidRPr="00BA5CA0">
        <w:rPr>
          <w:spacing w:val="-2"/>
          <w:lang w:bidi="ar-SY"/>
        </w:rPr>
        <w:noBreakHyphen/>
        <w:t>R M.2290</w:t>
      </w:r>
      <w:r w:rsidRPr="00BA5CA0">
        <w:rPr>
          <w:rFonts w:hint="cs"/>
          <w:spacing w:val="-2"/>
          <w:rtl/>
        </w:rPr>
        <w:t xml:space="preserve"> نتائج الدراسات التي تُقدِّر أن تتراوح الاحتياجات العالمية </w:t>
      </w:r>
      <w:r w:rsidR="006E0F9B" w:rsidRPr="00BA5CA0">
        <w:rPr>
          <w:rFonts w:hint="cs"/>
          <w:spacing w:val="-2"/>
          <w:rtl/>
        </w:rPr>
        <w:t xml:space="preserve">الإضافية </w:t>
      </w:r>
      <w:r w:rsidRPr="00BA5CA0">
        <w:rPr>
          <w:rFonts w:hint="cs"/>
          <w:spacing w:val="-2"/>
          <w:rtl/>
        </w:rPr>
        <w:t>الإجمالية من الطيف للاتصالات المتنقلة الدولية في عام</w:t>
      </w:r>
      <w:r w:rsidR="00BA5CA0" w:rsidRPr="00BA5CA0">
        <w:rPr>
          <w:rFonts w:hint="eastAsia"/>
          <w:i/>
          <w:iCs/>
          <w:spacing w:val="-2"/>
          <w:rtl/>
        </w:rPr>
        <w:t> </w:t>
      </w:r>
      <w:r w:rsidRPr="00BA5CA0">
        <w:rPr>
          <w:spacing w:val="-2"/>
          <w:lang w:bidi="ar-SY"/>
        </w:rPr>
        <w:t>2020</w:t>
      </w:r>
      <w:r w:rsidRPr="00BA5CA0">
        <w:rPr>
          <w:rFonts w:hint="cs"/>
          <w:spacing w:val="-2"/>
          <w:rtl/>
        </w:rPr>
        <w:t xml:space="preserve"> بين </w:t>
      </w:r>
      <w:r w:rsidRPr="00BA5CA0">
        <w:rPr>
          <w:spacing w:val="-2"/>
        </w:rPr>
        <w:t>MHz </w:t>
      </w:r>
      <w:r w:rsidRPr="00BA5CA0">
        <w:rPr>
          <w:spacing w:val="-2"/>
          <w:lang w:bidi="ar-SY"/>
        </w:rPr>
        <w:t>1 340</w:t>
      </w:r>
      <w:r w:rsidRPr="00BA5CA0">
        <w:rPr>
          <w:rFonts w:hint="cs"/>
          <w:spacing w:val="-2"/>
          <w:rtl/>
        </w:rPr>
        <w:t xml:space="preserve"> </w:t>
      </w:r>
      <w:r w:rsidRPr="00BA5CA0">
        <w:rPr>
          <w:spacing w:val="-2"/>
          <w:rtl/>
        </w:rPr>
        <w:t>(</w:t>
      </w:r>
      <w:r w:rsidRPr="00BA5CA0">
        <w:rPr>
          <w:rFonts w:hint="cs"/>
          <w:spacing w:val="-2"/>
          <w:rtl/>
        </w:rPr>
        <w:t>في حالة ال</w:t>
      </w:r>
      <w:r w:rsidRPr="00BA5CA0">
        <w:rPr>
          <w:spacing w:val="-2"/>
          <w:rtl/>
        </w:rPr>
        <w:t>كثافة</w:t>
      </w:r>
      <w:r w:rsidRPr="00BA5CA0">
        <w:rPr>
          <w:rFonts w:hint="cs"/>
          <w:spacing w:val="-2"/>
          <w:rtl/>
        </w:rPr>
        <w:t xml:space="preserve"> المنخفضة ل</w:t>
      </w:r>
      <w:r w:rsidRPr="00BA5CA0">
        <w:rPr>
          <w:spacing w:val="-2"/>
          <w:rtl/>
        </w:rPr>
        <w:t>لمستعملين)</w:t>
      </w:r>
      <w:r w:rsidRPr="00BA5CA0">
        <w:rPr>
          <w:rFonts w:hint="cs"/>
          <w:spacing w:val="-2"/>
          <w:rtl/>
        </w:rPr>
        <w:t xml:space="preserve"> و</w:t>
      </w:r>
      <w:r w:rsidRPr="00BA5CA0">
        <w:rPr>
          <w:spacing w:val="-2"/>
        </w:rPr>
        <w:t>MHz 1 960</w:t>
      </w:r>
      <w:r w:rsidRPr="00BA5CA0">
        <w:rPr>
          <w:rFonts w:hint="cs"/>
          <w:spacing w:val="-2"/>
          <w:rtl/>
        </w:rPr>
        <w:t xml:space="preserve"> </w:t>
      </w:r>
      <w:r w:rsidRPr="00BA5CA0">
        <w:rPr>
          <w:spacing w:val="-2"/>
          <w:rtl/>
        </w:rPr>
        <w:t>(</w:t>
      </w:r>
      <w:r w:rsidRPr="00BA5CA0">
        <w:rPr>
          <w:rFonts w:hint="cs"/>
          <w:spacing w:val="-2"/>
          <w:rtl/>
        </w:rPr>
        <w:t>في حالة الكثافة المرتفعة</w:t>
      </w:r>
      <w:r w:rsidRPr="00BA5CA0">
        <w:rPr>
          <w:spacing w:val="-2"/>
          <w:rtl/>
        </w:rPr>
        <w:t xml:space="preserve"> </w:t>
      </w:r>
      <w:r w:rsidRPr="00BA5CA0">
        <w:rPr>
          <w:rFonts w:hint="cs"/>
          <w:spacing w:val="-2"/>
          <w:rtl/>
        </w:rPr>
        <w:t>للمستعملين</w:t>
      </w:r>
      <w:r w:rsidRPr="00BA5CA0">
        <w:rPr>
          <w:spacing w:val="-2"/>
          <w:rtl/>
        </w:rPr>
        <w:t>)</w:t>
      </w:r>
      <w:r w:rsidR="006E0F9B" w:rsidRPr="00BA5CA0">
        <w:rPr>
          <w:rFonts w:hint="cs"/>
          <w:spacing w:val="-2"/>
          <w:rtl/>
        </w:rPr>
        <w:t>. ويشير التقرير أيضاً إلى أن هذه التقديرات قد تكون أق</w:t>
      </w:r>
      <w:r w:rsidR="00BA5CA0" w:rsidRPr="00BA5CA0">
        <w:rPr>
          <w:rFonts w:hint="cs"/>
          <w:spacing w:val="-2"/>
          <w:rtl/>
        </w:rPr>
        <w:t>ل أو أكثر حسب حالة الاتصالات في</w:t>
      </w:r>
      <w:r w:rsidR="00BA5CA0" w:rsidRPr="00BA5CA0">
        <w:rPr>
          <w:rFonts w:hint="eastAsia"/>
          <w:spacing w:val="-2"/>
          <w:rtl/>
        </w:rPr>
        <w:t> ك</w:t>
      </w:r>
      <w:r w:rsidR="006E0F9B" w:rsidRPr="00BA5CA0">
        <w:rPr>
          <w:rFonts w:hint="cs"/>
          <w:spacing w:val="-2"/>
          <w:rtl/>
        </w:rPr>
        <w:t>ل</w:t>
      </w:r>
      <w:r w:rsidR="00BA5CA0" w:rsidRPr="00BA5CA0">
        <w:rPr>
          <w:rFonts w:hint="eastAsia"/>
          <w:spacing w:val="-2"/>
          <w:rtl/>
        </w:rPr>
        <w:t> </w:t>
      </w:r>
      <w:r w:rsidR="006E0F9B" w:rsidRPr="00BA5CA0">
        <w:rPr>
          <w:rFonts w:hint="cs"/>
          <w:spacing w:val="-2"/>
          <w:rtl/>
        </w:rPr>
        <w:t>بلد.</w:t>
      </w:r>
    </w:p>
    <w:p w:rsidR="006E0F9B" w:rsidRPr="00457A52" w:rsidRDefault="006E0F9B" w:rsidP="002044DC">
      <w:pPr>
        <w:rPr>
          <w:rtl/>
        </w:rPr>
      </w:pPr>
      <w:r>
        <w:rPr>
          <w:rFonts w:hint="cs"/>
          <w:rtl/>
        </w:rPr>
        <w:t>ولذا، أجرى قطاع الاتصالات الراديوية دراسات نتج عنها تحديد نطاقات ترددات مرشحة لتلبية احتياجات الاتصالات المتنقلة الساتلية من الطيف. واستناداً إلى هذه الدراسات، التي تناولت أيضاً التوافق والتقاسم بين الخدمات في نفس القنوات والقنوات المجاورة، تقدم جمهورية كوت ديفوار المقترحات التالية:</w:t>
      </w:r>
    </w:p>
    <w:p w:rsidR="00DF4918" w:rsidRDefault="00DF4918" w:rsidP="005D6D48">
      <w:pPr>
        <w:rPr>
          <w:rtl/>
        </w:rPr>
      </w:pPr>
    </w:p>
    <w:p w:rsidR="00DF4918" w:rsidRDefault="00DF4918" w:rsidP="005D6D48">
      <w:pPr>
        <w:rPr>
          <w:rtl/>
        </w:rPr>
      </w:pPr>
    </w:p>
    <w:p w:rsidR="00DF4918" w:rsidRDefault="00DF4918" w:rsidP="005D6D48">
      <w:pPr>
        <w:rPr>
          <w:rtl/>
        </w:rPr>
      </w:pPr>
    </w:p>
    <w:p w:rsidR="00DF4918" w:rsidRDefault="00DF4918" w:rsidP="00DF4918">
      <w:pPr>
        <w:pStyle w:val="Title4"/>
      </w:pPr>
      <w:r>
        <w:rPr>
          <w:rFonts w:hint="cs"/>
          <w:rtl/>
        </w:rPr>
        <w:lastRenderedPageBreak/>
        <w:t>نطاق التردد </w:t>
      </w:r>
      <w:r>
        <w:t>2</w:t>
      </w:r>
      <w:r>
        <w:rPr>
          <w:rFonts w:hint="cs"/>
          <w:rtl/>
        </w:rPr>
        <w:t xml:space="preserve">: </w:t>
      </w:r>
      <w:r>
        <w:t>MHz 1 400</w:t>
      </w:r>
      <w:r>
        <w:noBreakHyphen/>
        <w:t>1 350</w:t>
      </w:r>
    </w:p>
    <w:p w:rsidR="00DF4918" w:rsidRDefault="00DF4918" w:rsidP="00DF4918">
      <w:pPr>
        <w:pStyle w:val="Headingb"/>
        <w:rPr>
          <w:rtl/>
        </w:rPr>
      </w:pPr>
      <w:r>
        <w:rPr>
          <w:rFonts w:hint="cs"/>
          <w:rtl/>
        </w:rPr>
        <w:t>معلومات أساسية</w:t>
      </w:r>
    </w:p>
    <w:p w:rsidR="00DF4918" w:rsidRDefault="006E0F9B" w:rsidP="0052795B">
      <w:pPr>
        <w:rPr>
          <w:rtl/>
          <w:lang w:bidi="ar-EG"/>
        </w:rPr>
      </w:pPr>
      <w:r>
        <w:rPr>
          <w:rFonts w:hint="cs"/>
          <w:rtl/>
        </w:rPr>
        <w:t xml:space="preserve">يوزع النطاق </w:t>
      </w:r>
      <w:r>
        <w:t>MHz 1 400</w:t>
      </w:r>
      <w:r>
        <w:noBreakHyphen/>
        <w:t>1 350</w:t>
      </w:r>
      <w:r>
        <w:rPr>
          <w:rFonts w:hint="cs"/>
          <w:rtl/>
          <w:lang w:bidi="ar-EG"/>
        </w:rPr>
        <w:t xml:space="preserve"> على أساس أولي للخدمات المتنقلة والثابتة والتحديد الراديوي للموقع في الإقليم </w:t>
      </w:r>
      <w:r>
        <w:rPr>
          <w:lang w:bidi="ar-EG"/>
        </w:rPr>
        <w:t>1</w:t>
      </w:r>
      <w:r>
        <w:rPr>
          <w:rFonts w:hint="cs"/>
          <w:rtl/>
          <w:lang w:bidi="ar-EG"/>
        </w:rPr>
        <w:t xml:space="preserve"> ولخدمة التحديد الراديوي للموقع في الإقليمين</w:t>
      </w:r>
      <w:r w:rsidR="0052795B">
        <w:rPr>
          <w:rFonts w:hint="eastAsia"/>
          <w:rtl/>
          <w:lang w:bidi="ar-EG"/>
        </w:rPr>
        <w:t> </w:t>
      </w:r>
      <w:r>
        <w:rPr>
          <w:lang w:bidi="ar-EG"/>
        </w:rPr>
        <w:t>2</w:t>
      </w:r>
      <w:r>
        <w:rPr>
          <w:rFonts w:hint="cs"/>
          <w:rtl/>
          <w:lang w:bidi="ar-EG"/>
        </w:rPr>
        <w:t xml:space="preserve"> و</w:t>
      </w:r>
      <w:r>
        <w:rPr>
          <w:lang w:bidi="ar-EG"/>
        </w:rPr>
        <w:t>3</w:t>
      </w:r>
      <w:r>
        <w:rPr>
          <w:rFonts w:hint="cs"/>
          <w:rtl/>
          <w:lang w:bidi="ar-EG"/>
        </w:rPr>
        <w:t>.</w:t>
      </w:r>
    </w:p>
    <w:p w:rsidR="00DF4918" w:rsidRDefault="00DF4918" w:rsidP="00DF4918">
      <w:pPr>
        <w:pStyle w:val="Headingb"/>
      </w:pPr>
      <w:r>
        <w:rPr>
          <w:rFonts w:hint="cs"/>
          <w:rtl/>
        </w:rPr>
        <w:t>المقترح</w:t>
      </w:r>
    </w:p>
    <w:p w:rsidR="00542568" w:rsidRDefault="00275D41">
      <w:pPr>
        <w:pStyle w:val="Proposal"/>
      </w:pPr>
      <w:r>
        <w:tab/>
        <w:t>CTI/68A1/1</w:t>
      </w:r>
    </w:p>
    <w:p w:rsidR="00275D41" w:rsidRDefault="00275D41" w:rsidP="0052795B">
      <w:pPr>
        <w:rPr>
          <w:rtl/>
          <w:lang w:bidi="ar-EG"/>
        </w:rPr>
      </w:pPr>
      <w:r>
        <w:tab/>
      </w:r>
      <w:r w:rsidR="006E0F9B">
        <w:rPr>
          <w:rFonts w:hint="cs"/>
          <w:rtl/>
          <w:lang w:bidi="ar-EG"/>
        </w:rPr>
        <w:t>تقترح كوت ديفوار تحديداً للاتصالات المتنقلة الدولية في الإقليم </w:t>
      </w:r>
      <w:r w:rsidR="006E0F9B">
        <w:rPr>
          <w:lang w:bidi="ar-EG"/>
        </w:rPr>
        <w:t>1</w:t>
      </w:r>
      <w:r w:rsidR="006E0F9B">
        <w:rPr>
          <w:rFonts w:hint="cs"/>
          <w:rtl/>
          <w:lang w:bidi="ar-EG"/>
        </w:rPr>
        <w:t xml:space="preserve"> للإدارات التي ترغب في </w:t>
      </w:r>
      <w:r w:rsidR="002044DC">
        <w:rPr>
          <w:rFonts w:hint="cs"/>
          <w:rtl/>
          <w:lang w:bidi="ar-EG"/>
        </w:rPr>
        <w:t>تطبيقها</w:t>
      </w:r>
      <w:r w:rsidR="006E0F9B">
        <w:rPr>
          <w:rFonts w:hint="cs"/>
          <w:rtl/>
          <w:lang w:bidi="ar-EG"/>
        </w:rPr>
        <w:t xml:space="preserve">، </w:t>
      </w:r>
      <w:r w:rsidR="002044DC">
        <w:rPr>
          <w:rFonts w:hint="cs"/>
          <w:rtl/>
          <w:lang w:bidi="ar-EG"/>
        </w:rPr>
        <w:t>أي</w:t>
      </w:r>
      <w:r w:rsidR="006E0F9B">
        <w:rPr>
          <w:rFonts w:hint="cs"/>
          <w:rtl/>
          <w:lang w:bidi="ar-EG"/>
        </w:rPr>
        <w:t xml:space="preserve"> الأسلوب</w:t>
      </w:r>
      <w:r w:rsidR="0052795B">
        <w:rPr>
          <w:rFonts w:hint="eastAsia"/>
          <w:rtl/>
          <w:lang w:bidi="ar-EG"/>
        </w:rPr>
        <w:t> </w:t>
      </w:r>
      <w:r w:rsidR="006E0F9B">
        <w:rPr>
          <w:lang w:bidi="ar-EG"/>
        </w:rPr>
        <w:t>C</w:t>
      </w:r>
      <w:r w:rsidR="006E0F9B">
        <w:rPr>
          <w:rFonts w:hint="cs"/>
          <w:rtl/>
          <w:lang w:bidi="ar-EG"/>
        </w:rPr>
        <w:t xml:space="preserve"> الخيار</w:t>
      </w:r>
      <w:r w:rsidR="0052795B">
        <w:rPr>
          <w:rFonts w:hint="eastAsia"/>
          <w:rtl/>
          <w:lang w:bidi="ar-EG"/>
        </w:rPr>
        <w:t> </w:t>
      </w:r>
      <w:r w:rsidR="006E0F9B">
        <w:rPr>
          <w:lang w:bidi="ar-EG"/>
        </w:rPr>
        <w:t>B1</w:t>
      </w:r>
      <w:r w:rsidR="006E0F9B">
        <w:rPr>
          <w:rFonts w:hint="cs"/>
          <w:rtl/>
          <w:lang w:bidi="ar-EG"/>
        </w:rPr>
        <w:t xml:space="preserve"> من تقرير الاجتماع التحضيري للمؤتمر.</w:t>
      </w:r>
    </w:p>
    <w:p w:rsidR="00C31F99" w:rsidRDefault="00275D41" w:rsidP="006E0F9B">
      <w:pPr>
        <w:pStyle w:val="Reasons"/>
        <w:rPr>
          <w:b w:val="0"/>
          <w:bCs w:val="0"/>
          <w:rtl/>
          <w:lang w:bidi="ar-EG"/>
        </w:rPr>
      </w:pPr>
      <w:r>
        <w:rPr>
          <w:rtl/>
        </w:rPr>
        <w:t>الأسباب:</w:t>
      </w:r>
      <w:r>
        <w:tab/>
      </w:r>
      <w:r w:rsidR="006E0F9B">
        <w:rPr>
          <w:rFonts w:hint="cs"/>
          <w:b w:val="0"/>
          <w:bCs w:val="0"/>
          <w:rtl/>
        </w:rPr>
        <w:t>نظراً لأن هذا النطاق موزع بالفعل للخدمة المتنقلة على أساس أولي، ترى كوت ديفوار أنه يمكن تحديده للاتصالات المتنقلة الدولية في الإقليم</w:t>
      </w:r>
      <w:r w:rsidR="006E0F9B">
        <w:rPr>
          <w:rFonts w:hint="eastAsia"/>
          <w:b w:val="0"/>
          <w:bCs w:val="0"/>
          <w:rtl/>
        </w:rPr>
        <w:t> </w:t>
      </w:r>
      <w:r w:rsidR="006E0F9B">
        <w:rPr>
          <w:b w:val="0"/>
          <w:bCs w:val="0"/>
        </w:rPr>
        <w:t>1</w:t>
      </w:r>
      <w:r w:rsidR="006E0F9B">
        <w:rPr>
          <w:rFonts w:hint="cs"/>
          <w:b w:val="0"/>
          <w:bCs w:val="0"/>
          <w:rtl/>
          <w:lang w:bidi="ar-EG"/>
        </w:rPr>
        <w:t xml:space="preserve"> بهدف التنسيق على الصعيد الإقليمي. وتبين الدراسات أيضاً أن التعايش بين الو</w:t>
      </w:r>
      <w:r w:rsidR="002044DC">
        <w:rPr>
          <w:rFonts w:hint="cs"/>
          <w:b w:val="0"/>
          <w:bCs w:val="0"/>
          <w:rtl/>
          <w:lang w:bidi="ar-EG"/>
        </w:rPr>
        <w:t>ص</w:t>
      </w:r>
      <w:r w:rsidR="006E0F9B">
        <w:rPr>
          <w:rFonts w:hint="cs"/>
          <w:b w:val="0"/>
          <w:bCs w:val="0"/>
          <w:rtl/>
          <w:lang w:bidi="ar-EG"/>
        </w:rPr>
        <w:t>لات الثابتة والوصلات الصاعدة للاتصالات المتنقلة الدولية ممكن شريطة الوفاء</w:t>
      </w:r>
      <w:r w:rsidR="00C31F99">
        <w:rPr>
          <w:rFonts w:hint="cs"/>
          <w:b w:val="0"/>
          <w:bCs w:val="0"/>
          <w:rtl/>
          <w:lang w:bidi="ar-EG"/>
        </w:rPr>
        <w:t xml:space="preserve"> بشروط معينة.</w:t>
      </w:r>
    </w:p>
    <w:p w:rsidR="00542568" w:rsidRPr="006E0F9B" w:rsidRDefault="00C31F99" w:rsidP="006E0F9B">
      <w:pPr>
        <w:pStyle w:val="Reasons"/>
        <w:rPr>
          <w:b w:val="0"/>
          <w:bCs w:val="0"/>
          <w:rtl/>
          <w:lang w:bidi="ar-EG"/>
        </w:rPr>
      </w:pPr>
      <w:r>
        <w:rPr>
          <w:rFonts w:hint="cs"/>
          <w:b w:val="0"/>
          <w:bCs w:val="0"/>
          <w:rtl/>
          <w:lang w:bidi="ar-EG"/>
        </w:rPr>
        <w:t>وقد يكون من المستصوب على الرغم من ذلك ضمان حماية خدمة التحديد الراديوي للموقع الموزع لها هذا النطاق على أساس أولي مشترك.</w:t>
      </w:r>
      <w:r w:rsidR="006E0F9B">
        <w:rPr>
          <w:rFonts w:hint="cs"/>
          <w:b w:val="0"/>
          <w:bCs w:val="0"/>
          <w:rtl/>
          <w:lang w:bidi="ar-EG"/>
        </w:rPr>
        <w:t xml:space="preserve"> </w:t>
      </w:r>
    </w:p>
    <w:p w:rsidR="00275D41" w:rsidRDefault="00275D41" w:rsidP="00275D41">
      <w:pPr>
        <w:rPr>
          <w:rtl/>
        </w:rPr>
      </w:pPr>
    </w:p>
    <w:p w:rsidR="00275D41" w:rsidRDefault="00275D41" w:rsidP="00275D41">
      <w:pPr>
        <w:pStyle w:val="Title4"/>
      </w:pPr>
      <w:r>
        <w:rPr>
          <w:rFonts w:hint="cs"/>
          <w:rtl/>
        </w:rPr>
        <w:t>نطاق التردد </w:t>
      </w:r>
      <w:r>
        <w:t>4</w:t>
      </w:r>
      <w:r>
        <w:rPr>
          <w:rFonts w:hint="cs"/>
          <w:rtl/>
        </w:rPr>
        <w:t xml:space="preserve">: </w:t>
      </w:r>
      <w:r>
        <w:t>MHz 1 492</w:t>
      </w:r>
      <w:r>
        <w:noBreakHyphen/>
        <w:t>1 452</w:t>
      </w:r>
    </w:p>
    <w:p w:rsidR="00275D41" w:rsidRDefault="00275D41" w:rsidP="00275D41">
      <w:pPr>
        <w:pStyle w:val="Headingb"/>
        <w:rPr>
          <w:rtl/>
        </w:rPr>
      </w:pPr>
      <w:r>
        <w:rPr>
          <w:rFonts w:hint="cs"/>
          <w:rtl/>
        </w:rPr>
        <w:t>معلومات أساسية</w:t>
      </w:r>
    </w:p>
    <w:p w:rsidR="00C31F99" w:rsidRDefault="00C31F99" w:rsidP="0052795B">
      <w:pPr>
        <w:rPr>
          <w:rtl/>
          <w:lang w:bidi="ar-EG"/>
        </w:rPr>
      </w:pPr>
      <w:r>
        <w:rPr>
          <w:rFonts w:hint="cs"/>
          <w:rtl/>
        </w:rPr>
        <w:t xml:space="preserve">يوزع النطاق </w:t>
      </w:r>
      <w:r>
        <w:t>MHz 1 492</w:t>
      </w:r>
      <w:r>
        <w:noBreakHyphen/>
        <w:t>1 452</w:t>
      </w:r>
      <w:r>
        <w:rPr>
          <w:rFonts w:hint="cs"/>
          <w:rtl/>
          <w:lang w:bidi="ar-EG"/>
        </w:rPr>
        <w:t xml:space="preserve"> على أساس أولي للخدمات المتنقلة، باستثناء المتنقلة للطيران، والإذاعية والإذاعية الساتلية في</w:t>
      </w:r>
      <w:r w:rsidR="0052795B">
        <w:rPr>
          <w:rFonts w:hint="eastAsia"/>
          <w:rtl/>
          <w:lang w:bidi="ar-EG"/>
        </w:rPr>
        <w:t> </w:t>
      </w:r>
      <w:r>
        <w:rPr>
          <w:rFonts w:hint="cs"/>
          <w:rtl/>
          <w:lang w:bidi="ar-EG"/>
        </w:rPr>
        <w:t>جميع الأقاليم</w:t>
      </w:r>
      <w:r w:rsidR="0052795B">
        <w:rPr>
          <w:rFonts w:hint="eastAsia"/>
          <w:rtl/>
          <w:lang w:bidi="ar-EG"/>
        </w:rPr>
        <w:t> </w:t>
      </w:r>
      <w:r>
        <w:rPr>
          <w:rFonts w:hint="cs"/>
          <w:rtl/>
          <w:lang w:bidi="ar-EG"/>
        </w:rPr>
        <w:t>الثلاثة.</w:t>
      </w:r>
    </w:p>
    <w:p w:rsidR="00275D41" w:rsidRDefault="00275D41" w:rsidP="00275D41">
      <w:pPr>
        <w:pStyle w:val="Headingb"/>
      </w:pPr>
      <w:r>
        <w:rPr>
          <w:rFonts w:hint="cs"/>
          <w:rtl/>
        </w:rPr>
        <w:t>المقترح</w:t>
      </w:r>
    </w:p>
    <w:p w:rsidR="00542568" w:rsidRDefault="00275D41">
      <w:pPr>
        <w:pStyle w:val="Proposal"/>
      </w:pPr>
      <w:r>
        <w:tab/>
        <w:t>CTI/68A1/2</w:t>
      </w:r>
    </w:p>
    <w:p w:rsidR="00275D41" w:rsidRDefault="00275D41" w:rsidP="0052795B">
      <w:pPr>
        <w:rPr>
          <w:rtl/>
          <w:lang w:bidi="ar-EG"/>
        </w:rPr>
      </w:pPr>
      <w:r>
        <w:tab/>
      </w:r>
      <w:r w:rsidR="00C31F99">
        <w:rPr>
          <w:rFonts w:hint="cs"/>
          <w:rtl/>
          <w:lang w:bidi="ar-EG"/>
        </w:rPr>
        <w:t xml:space="preserve">لا ترغب كوت ديفوار في تحديد هذا النطاق للاتصالات المتنقلة الدولية، أي الأسلوب </w:t>
      </w:r>
      <w:r w:rsidR="00C31F99">
        <w:rPr>
          <w:lang w:bidi="ar-EG"/>
        </w:rPr>
        <w:t>A</w:t>
      </w:r>
      <w:r w:rsidR="00C31F99">
        <w:rPr>
          <w:rFonts w:hint="cs"/>
          <w:rtl/>
          <w:lang w:bidi="ar-EG"/>
        </w:rPr>
        <w:t xml:space="preserve"> من تقرير الاجتماع التحضيري للمؤتمر.</w:t>
      </w:r>
    </w:p>
    <w:p w:rsidR="00542568" w:rsidRPr="00C31F99" w:rsidRDefault="00275D41" w:rsidP="0052795B">
      <w:pPr>
        <w:pStyle w:val="Reasons"/>
        <w:rPr>
          <w:b w:val="0"/>
          <w:bCs w:val="0"/>
          <w:rtl/>
          <w:lang w:bidi="ar-EG"/>
        </w:rPr>
      </w:pPr>
      <w:r>
        <w:rPr>
          <w:rtl/>
        </w:rPr>
        <w:t>الأسباب:</w:t>
      </w:r>
      <w:r>
        <w:tab/>
      </w:r>
      <w:r w:rsidR="00C31F99">
        <w:rPr>
          <w:rFonts w:hint="cs"/>
          <w:b w:val="0"/>
          <w:bCs w:val="0"/>
          <w:rtl/>
        </w:rPr>
        <w:t>على الرغم من أن نطاق التردد هذا موزع للخدمة المتنقلة على أساس أولي في جميع الأقاليم الثلاثة، تشير دراسات تقاسم</w:t>
      </w:r>
      <w:r w:rsidR="004D66C2">
        <w:rPr>
          <w:rFonts w:hint="cs"/>
          <w:b w:val="0"/>
          <w:bCs w:val="0"/>
          <w:rtl/>
        </w:rPr>
        <w:t xml:space="preserve"> نفس القناة تحديداً بين الاتصالات المتنقلة الدولية والخدمات الإذاعية إلى أن هاتين الخدمتين لا</w:t>
      </w:r>
      <w:r w:rsidR="0052795B">
        <w:rPr>
          <w:rFonts w:hint="eastAsia"/>
          <w:b w:val="0"/>
          <w:bCs w:val="0"/>
          <w:rtl/>
        </w:rPr>
        <w:t> </w:t>
      </w:r>
      <w:r w:rsidR="004D66C2">
        <w:rPr>
          <w:rFonts w:hint="cs"/>
          <w:b w:val="0"/>
          <w:bCs w:val="0"/>
          <w:rtl/>
        </w:rPr>
        <w:t>يمكن أن تتعايشا في</w:t>
      </w:r>
      <w:r w:rsidR="004D66C2">
        <w:rPr>
          <w:rFonts w:hint="cs"/>
          <w:b w:val="0"/>
          <w:bCs w:val="0"/>
          <w:rtl/>
          <w:lang w:bidi="ar-EG"/>
        </w:rPr>
        <w:t xml:space="preserve"> نفس المنطقة الجغرافية. وبالإضافة إلى ذلك، فإن شروط التنسيق بين الإدارات المجاورة التي توزع فيها إحداهما </w:t>
      </w:r>
      <w:r w:rsidR="002044DC">
        <w:rPr>
          <w:rFonts w:hint="cs"/>
          <w:b w:val="0"/>
          <w:bCs w:val="0"/>
          <w:rtl/>
          <w:lang w:bidi="ar-EG"/>
        </w:rPr>
        <w:t>هذا النطاق ل</w:t>
      </w:r>
      <w:r w:rsidR="004D66C2">
        <w:rPr>
          <w:rFonts w:hint="cs"/>
          <w:b w:val="0"/>
          <w:bCs w:val="0"/>
          <w:rtl/>
          <w:lang w:bidi="ar-EG"/>
        </w:rPr>
        <w:t xml:space="preserve">لاتصالات المتنقلة الدولية والأخرى </w:t>
      </w:r>
      <w:r w:rsidR="002044DC">
        <w:rPr>
          <w:rFonts w:hint="cs"/>
          <w:b w:val="0"/>
          <w:bCs w:val="0"/>
          <w:rtl/>
          <w:lang w:bidi="ar-EG"/>
        </w:rPr>
        <w:t>ل</w:t>
      </w:r>
      <w:r w:rsidR="004D66C2">
        <w:rPr>
          <w:rFonts w:hint="cs"/>
          <w:b w:val="0"/>
          <w:bCs w:val="0"/>
          <w:rtl/>
          <w:lang w:bidi="ar-EG"/>
        </w:rPr>
        <w:t>لخدمة الإذاعية تكون تقييدية للغاية.</w:t>
      </w:r>
    </w:p>
    <w:p w:rsidR="00275D41" w:rsidRDefault="00275D41" w:rsidP="00275D41">
      <w:pPr>
        <w:rPr>
          <w:rtl/>
        </w:rPr>
      </w:pPr>
    </w:p>
    <w:p w:rsidR="00275D41" w:rsidRDefault="00275D41" w:rsidP="004D66C2">
      <w:pPr>
        <w:pStyle w:val="Title4"/>
      </w:pPr>
      <w:r>
        <w:rPr>
          <w:rFonts w:hint="cs"/>
          <w:rtl/>
        </w:rPr>
        <w:lastRenderedPageBreak/>
        <w:t>نطاق التردد </w:t>
      </w:r>
      <w:r>
        <w:t>5</w:t>
      </w:r>
      <w:r>
        <w:rPr>
          <w:rFonts w:hint="cs"/>
          <w:rtl/>
        </w:rPr>
        <w:t xml:space="preserve">: </w:t>
      </w:r>
      <w:r>
        <w:t>MHz 1 </w:t>
      </w:r>
      <w:r w:rsidR="004D66C2">
        <w:t>518</w:t>
      </w:r>
      <w:r>
        <w:noBreakHyphen/>
        <w:t>1 </w:t>
      </w:r>
      <w:r w:rsidR="004D66C2">
        <w:t>492</w:t>
      </w:r>
    </w:p>
    <w:p w:rsidR="00275D41" w:rsidRDefault="00275D41" w:rsidP="00275D41">
      <w:pPr>
        <w:pStyle w:val="Headingb"/>
        <w:rPr>
          <w:rtl/>
        </w:rPr>
      </w:pPr>
      <w:r>
        <w:rPr>
          <w:rFonts w:hint="cs"/>
          <w:rtl/>
        </w:rPr>
        <w:t>معلومات أساسية</w:t>
      </w:r>
    </w:p>
    <w:p w:rsidR="004D66C2" w:rsidRDefault="004D66C2" w:rsidP="00560DF9">
      <w:pPr>
        <w:rPr>
          <w:rtl/>
          <w:lang w:bidi="ar-EG"/>
        </w:rPr>
      </w:pPr>
      <w:r>
        <w:rPr>
          <w:rFonts w:hint="cs"/>
          <w:rtl/>
        </w:rPr>
        <w:t xml:space="preserve">يوزع النطاق </w:t>
      </w:r>
      <w:r>
        <w:t>MHz 1 518</w:t>
      </w:r>
      <w:r>
        <w:noBreakHyphen/>
        <w:t>1 492</w:t>
      </w:r>
      <w:r>
        <w:rPr>
          <w:rFonts w:hint="cs"/>
          <w:rtl/>
          <w:lang w:bidi="ar-EG"/>
        </w:rPr>
        <w:t xml:space="preserve"> على أساس أولي للخدم</w:t>
      </w:r>
      <w:r w:rsidR="00A76CBD">
        <w:rPr>
          <w:rFonts w:hint="cs"/>
          <w:rtl/>
          <w:lang w:bidi="ar-EG"/>
        </w:rPr>
        <w:t>ة</w:t>
      </w:r>
      <w:r>
        <w:rPr>
          <w:rFonts w:hint="cs"/>
          <w:rtl/>
          <w:lang w:bidi="ar-EG"/>
        </w:rPr>
        <w:t xml:space="preserve"> المتنقلة، باستثناء المتنقلة للطيران</w:t>
      </w:r>
      <w:r w:rsidR="00560DF9">
        <w:rPr>
          <w:rFonts w:hint="cs"/>
          <w:rtl/>
          <w:lang w:bidi="ar-EG"/>
        </w:rPr>
        <w:t>،</w:t>
      </w:r>
      <w:r>
        <w:rPr>
          <w:rFonts w:hint="cs"/>
          <w:rtl/>
          <w:lang w:bidi="ar-EG"/>
        </w:rPr>
        <w:t xml:space="preserve"> في الإقليم </w:t>
      </w:r>
      <w:r>
        <w:rPr>
          <w:lang w:bidi="ar-EG"/>
        </w:rPr>
        <w:t>1</w:t>
      </w:r>
      <w:r>
        <w:rPr>
          <w:rFonts w:hint="cs"/>
          <w:rtl/>
          <w:lang w:bidi="ar-EG"/>
        </w:rPr>
        <w:t xml:space="preserve"> وللخدمة الثابتة في جميع الأقاليم الثلاثة.</w:t>
      </w:r>
    </w:p>
    <w:p w:rsidR="00275D41" w:rsidRDefault="00275D41" w:rsidP="00275D41">
      <w:pPr>
        <w:pStyle w:val="Headingb"/>
      </w:pPr>
      <w:r>
        <w:rPr>
          <w:rFonts w:hint="cs"/>
          <w:rtl/>
        </w:rPr>
        <w:t>المقترح</w:t>
      </w:r>
    </w:p>
    <w:p w:rsidR="00542568" w:rsidRDefault="00275D41">
      <w:pPr>
        <w:pStyle w:val="Proposal"/>
      </w:pPr>
      <w:r>
        <w:tab/>
        <w:t>CTI/68A1/3</w:t>
      </w:r>
    </w:p>
    <w:p w:rsidR="00275D41" w:rsidRDefault="00A76CBD" w:rsidP="0052795B">
      <w:pPr>
        <w:rPr>
          <w:rtl/>
          <w:lang w:bidi="ar-EG"/>
        </w:rPr>
      </w:pPr>
      <w:r>
        <w:tab/>
      </w:r>
      <w:r>
        <w:rPr>
          <w:rFonts w:hint="cs"/>
          <w:rtl/>
          <w:lang w:bidi="ar-EG"/>
        </w:rPr>
        <w:t xml:space="preserve">تقترح كوت ديفوار عدم تحديد </w:t>
      </w:r>
      <w:r>
        <w:rPr>
          <w:rFonts w:hint="cs"/>
          <w:rtl/>
        </w:rPr>
        <w:t xml:space="preserve">النطاق </w:t>
      </w:r>
      <w:r>
        <w:t>MHz 1 518</w:t>
      </w:r>
      <w:r>
        <w:noBreakHyphen/>
        <w:t>1 492</w:t>
      </w:r>
      <w:r>
        <w:rPr>
          <w:rFonts w:hint="cs"/>
          <w:rtl/>
          <w:lang w:bidi="ar-EG"/>
        </w:rPr>
        <w:t xml:space="preserve"> للاتصالات المتنقلة الدولية، أي الأسلوب</w:t>
      </w:r>
      <w:r w:rsidR="0052795B">
        <w:rPr>
          <w:rFonts w:hint="eastAsia"/>
          <w:rtl/>
          <w:lang w:bidi="ar-EG"/>
        </w:rPr>
        <w:t> </w:t>
      </w:r>
      <w:r>
        <w:rPr>
          <w:lang w:bidi="ar-EG"/>
        </w:rPr>
        <w:t>A</w:t>
      </w:r>
      <w:r>
        <w:rPr>
          <w:rFonts w:hint="cs"/>
          <w:rtl/>
          <w:lang w:bidi="ar-EG"/>
        </w:rPr>
        <w:t xml:space="preserve"> من تقرير الاجتماع التحضيري للمؤتمر.</w:t>
      </w:r>
    </w:p>
    <w:p w:rsidR="00275D41" w:rsidRDefault="00275D41" w:rsidP="00546880">
      <w:pPr>
        <w:pStyle w:val="Reasons"/>
        <w:rPr>
          <w:lang w:bidi="ar-EG"/>
        </w:rPr>
      </w:pPr>
      <w:r w:rsidRPr="00FC6F58">
        <w:rPr>
          <w:rtl/>
        </w:rPr>
        <w:t>الأسباب</w:t>
      </w:r>
      <w:r>
        <w:rPr>
          <w:rtl/>
        </w:rPr>
        <w:t>:</w:t>
      </w:r>
      <w:r w:rsidRPr="00546880">
        <w:rPr>
          <w:b w:val="0"/>
          <w:bCs w:val="0"/>
        </w:rPr>
        <w:tab/>
      </w:r>
      <w:r w:rsidR="00A76CBD" w:rsidRPr="00546880">
        <w:rPr>
          <w:rFonts w:hint="cs"/>
          <w:b w:val="0"/>
          <w:bCs w:val="0"/>
          <w:rtl/>
        </w:rPr>
        <w:t>على الرغم من أن النطاق</w:t>
      </w:r>
      <w:r w:rsidR="0052795B" w:rsidRPr="00546880">
        <w:rPr>
          <w:rFonts w:hint="eastAsia"/>
          <w:b w:val="0"/>
          <w:bCs w:val="0"/>
          <w:rtl/>
        </w:rPr>
        <w:t> </w:t>
      </w:r>
      <w:r w:rsidR="00A76CBD" w:rsidRPr="00546880">
        <w:rPr>
          <w:b w:val="0"/>
          <w:bCs w:val="0"/>
        </w:rPr>
        <w:t>MHz 1 518</w:t>
      </w:r>
      <w:r w:rsidR="00A76CBD" w:rsidRPr="00546880">
        <w:rPr>
          <w:b w:val="0"/>
          <w:bCs w:val="0"/>
        </w:rPr>
        <w:noBreakHyphen/>
        <w:t>1 492</w:t>
      </w:r>
      <w:r w:rsidR="00A76CBD" w:rsidRPr="00546880">
        <w:rPr>
          <w:rFonts w:hint="cs"/>
          <w:b w:val="0"/>
          <w:bCs w:val="0"/>
          <w:rtl/>
          <w:lang w:bidi="ar-EG"/>
        </w:rPr>
        <w:t xml:space="preserve"> موزع على أساس أولي للخدمة المتنقلة، باستثناء المتنقلة للطيران</w:t>
      </w:r>
      <w:r w:rsidR="00FC6F58" w:rsidRPr="00546880">
        <w:rPr>
          <w:rFonts w:hint="cs"/>
          <w:b w:val="0"/>
          <w:bCs w:val="0"/>
          <w:rtl/>
          <w:lang w:bidi="ar-EG"/>
        </w:rPr>
        <w:t>،</w:t>
      </w:r>
      <w:r w:rsidR="00A76CBD" w:rsidRPr="00546880">
        <w:rPr>
          <w:rFonts w:hint="cs"/>
          <w:b w:val="0"/>
          <w:bCs w:val="0"/>
          <w:rtl/>
          <w:lang w:bidi="ar-EG"/>
        </w:rPr>
        <w:t xml:space="preserve"> في الإقليم </w:t>
      </w:r>
      <w:r w:rsidR="00A76CBD" w:rsidRPr="00546880">
        <w:rPr>
          <w:b w:val="0"/>
          <w:bCs w:val="0"/>
          <w:lang w:bidi="ar-EG"/>
        </w:rPr>
        <w:t>1</w:t>
      </w:r>
      <w:r w:rsidR="00A76CBD" w:rsidRPr="00546880">
        <w:rPr>
          <w:rFonts w:hint="cs"/>
          <w:b w:val="0"/>
          <w:bCs w:val="0"/>
          <w:rtl/>
          <w:lang w:bidi="ar-EG"/>
        </w:rPr>
        <w:t>، وللخدمة الثابتة في جميع الأقاليم الثلاثة</w:t>
      </w:r>
      <w:bookmarkStart w:id="1" w:name="_GoBack"/>
      <w:bookmarkEnd w:id="1"/>
      <w:r w:rsidR="00A76CBD" w:rsidRPr="00546880">
        <w:rPr>
          <w:rFonts w:hint="cs"/>
          <w:b w:val="0"/>
          <w:bCs w:val="0"/>
          <w:rtl/>
          <w:lang w:bidi="ar-EG"/>
        </w:rPr>
        <w:t>، فلم تتم الموافقة على الدراسات التي أجرتها أفرقة الدراسات (عدم التوصل إلى توافق في الآراء) في قطاع الاتصالات الراديوية من حيث التوافق في النطاقات المجاورة (</w:t>
      </w:r>
      <w:r w:rsidR="00A76CBD" w:rsidRPr="00546880">
        <w:rPr>
          <w:b w:val="0"/>
          <w:bCs w:val="0"/>
          <w:lang w:bidi="ar-EG"/>
        </w:rPr>
        <w:t>MHz 1 525</w:t>
      </w:r>
      <w:r w:rsidR="00A76CBD" w:rsidRPr="00546880">
        <w:rPr>
          <w:b w:val="0"/>
          <w:bCs w:val="0"/>
          <w:lang w:bidi="ar-EG"/>
        </w:rPr>
        <w:noBreakHyphen/>
        <w:t>1 518</w:t>
      </w:r>
      <w:r w:rsidR="00A76CBD" w:rsidRPr="00546880">
        <w:rPr>
          <w:rFonts w:hint="cs"/>
          <w:b w:val="0"/>
          <w:bCs w:val="0"/>
          <w:rtl/>
          <w:lang w:bidi="ar-EG"/>
        </w:rPr>
        <w:t xml:space="preserve"> و</w:t>
      </w:r>
      <w:r w:rsidR="00A76CBD" w:rsidRPr="00546880">
        <w:rPr>
          <w:b w:val="0"/>
          <w:bCs w:val="0"/>
          <w:lang w:bidi="ar-EG"/>
        </w:rPr>
        <w:t>MHz 1 559</w:t>
      </w:r>
      <w:r w:rsidR="00A76CBD" w:rsidRPr="00546880">
        <w:rPr>
          <w:b w:val="0"/>
          <w:bCs w:val="0"/>
          <w:lang w:bidi="ar-EG"/>
        </w:rPr>
        <w:noBreakHyphen/>
        <w:t>1 525</w:t>
      </w:r>
      <w:r w:rsidR="00A76CBD" w:rsidRPr="00546880">
        <w:rPr>
          <w:rFonts w:hint="cs"/>
          <w:b w:val="0"/>
          <w:bCs w:val="0"/>
          <w:rtl/>
          <w:lang w:bidi="ar-EG"/>
        </w:rPr>
        <w:t xml:space="preserve">) الموزعة للخدمة المتنقلة الساتلية. وبالإضافة </w:t>
      </w:r>
      <w:r w:rsidR="007925FF" w:rsidRPr="00546880">
        <w:rPr>
          <w:rFonts w:hint="cs"/>
          <w:b w:val="0"/>
          <w:bCs w:val="0"/>
          <w:rtl/>
          <w:lang w:bidi="ar-EG"/>
        </w:rPr>
        <w:t>إلى ذلك،</w:t>
      </w:r>
      <w:r w:rsidR="00A76CBD" w:rsidRPr="00546880">
        <w:rPr>
          <w:rFonts w:hint="cs"/>
          <w:b w:val="0"/>
          <w:bCs w:val="0"/>
          <w:rtl/>
          <w:lang w:bidi="ar-EG"/>
        </w:rPr>
        <w:t xml:space="preserve"> فإن شروط التن</w:t>
      </w:r>
      <w:r w:rsidR="007925FF" w:rsidRPr="00546880">
        <w:rPr>
          <w:rFonts w:hint="cs"/>
          <w:b w:val="0"/>
          <w:bCs w:val="0"/>
          <w:rtl/>
          <w:lang w:bidi="ar-EG"/>
        </w:rPr>
        <w:t>س</w:t>
      </w:r>
      <w:r w:rsidR="00A76CBD" w:rsidRPr="00546880">
        <w:rPr>
          <w:rFonts w:hint="cs"/>
          <w:b w:val="0"/>
          <w:bCs w:val="0"/>
          <w:rtl/>
          <w:lang w:bidi="ar-EG"/>
        </w:rPr>
        <w:t>يق المقترحة في الدراسات التي تدعم تحديداً للاتصالات المتنقلة الدولية تقييدية للغاية ويمكن أن تعترض التوزيعات للخدمة الثابتة</w:t>
      </w:r>
      <w:r w:rsidR="00A76CBD">
        <w:rPr>
          <w:rFonts w:hint="cs"/>
          <w:rtl/>
          <w:lang w:bidi="ar-EG"/>
        </w:rPr>
        <w:t>.</w:t>
      </w:r>
    </w:p>
    <w:p w:rsidR="00AC6A18" w:rsidRDefault="00AC6A18" w:rsidP="00AC6A18">
      <w:pPr>
        <w:pStyle w:val="Reasons"/>
        <w:rPr>
          <w:rtl/>
          <w:lang w:bidi="ar-EG"/>
        </w:rPr>
      </w:pPr>
    </w:p>
    <w:p w:rsidR="00275D41" w:rsidRDefault="00275D41" w:rsidP="00275D41">
      <w:pPr>
        <w:pStyle w:val="Title4"/>
      </w:pPr>
      <w:r>
        <w:rPr>
          <w:rFonts w:hint="cs"/>
          <w:rtl/>
        </w:rPr>
        <w:t>نطاق التردد </w:t>
      </w:r>
      <w:r>
        <w:t>8</w:t>
      </w:r>
      <w:r>
        <w:rPr>
          <w:rFonts w:hint="cs"/>
          <w:rtl/>
        </w:rPr>
        <w:t xml:space="preserve">: </w:t>
      </w:r>
      <w:r>
        <w:t>MHz 2 900</w:t>
      </w:r>
      <w:r>
        <w:noBreakHyphen/>
        <w:t>2 700</w:t>
      </w:r>
    </w:p>
    <w:p w:rsidR="00275D41" w:rsidRDefault="00275D41" w:rsidP="00275D41">
      <w:pPr>
        <w:pStyle w:val="Headingb"/>
        <w:rPr>
          <w:rtl/>
        </w:rPr>
      </w:pPr>
      <w:r>
        <w:rPr>
          <w:rFonts w:hint="cs"/>
          <w:rtl/>
        </w:rPr>
        <w:t>معلومات أساسية</w:t>
      </w:r>
    </w:p>
    <w:p w:rsidR="00275D41" w:rsidRDefault="00A76CBD" w:rsidP="00275D41">
      <w:pPr>
        <w:rPr>
          <w:rtl/>
          <w:lang w:bidi="ar-EG"/>
        </w:rPr>
      </w:pPr>
      <w:r>
        <w:rPr>
          <w:rFonts w:hint="cs"/>
          <w:rtl/>
        </w:rPr>
        <w:t xml:space="preserve">يوزع النطاق </w:t>
      </w:r>
      <w:r>
        <w:t>MHz 2 900</w:t>
      </w:r>
      <w:r>
        <w:noBreakHyphen/>
        <w:t>2 700</w:t>
      </w:r>
      <w:r>
        <w:rPr>
          <w:rFonts w:hint="cs"/>
          <w:rtl/>
          <w:lang w:bidi="ar-EG"/>
        </w:rPr>
        <w:t xml:space="preserve"> على خدمة الملاحة الراديوية الساتلية وخدمة التحديد الراديوي للموقع على أساس أولي.</w:t>
      </w:r>
    </w:p>
    <w:p w:rsidR="00275D41" w:rsidRDefault="00275D41" w:rsidP="00275D41">
      <w:pPr>
        <w:pStyle w:val="Headingb"/>
      </w:pPr>
      <w:r>
        <w:rPr>
          <w:rFonts w:hint="cs"/>
          <w:rtl/>
        </w:rPr>
        <w:t>المقترح</w:t>
      </w:r>
    </w:p>
    <w:p w:rsidR="00542568" w:rsidRDefault="00275D41">
      <w:pPr>
        <w:pStyle w:val="Proposal"/>
      </w:pPr>
      <w:r>
        <w:tab/>
        <w:t>CTI/68A1/4</w:t>
      </w:r>
    </w:p>
    <w:p w:rsidR="00A76CBD" w:rsidRDefault="00275D41" w:rsidP="0052795B">
      <w:pPr>
        <w:rPr>
          <w:rtl/>
          <w:lang w:bidi="ar-EG"/>
        </w:rPr>
      </w:pPr>
      <w:r>
        <w:tab/>
      </w:r>
      <w:r w:rsidR="00A76CBD">
        <w:rPr>
          <w:rFonts w:hint="cs"/>
          <w:rtl/>
        </w:rPr>
        <w:t xml:space="preserve">تقترح كوت ديفوار عدم إجراء أي تعديل على لوائح الراديو، أي </w:t>
      </w:r>
      <w:r w:rsidR="00A76CBD">
        <w:rPr>
          <w:rFonts w:hint="cs"/>
          <w:rtl/>
          <w:lang w:bidi="ar-EG"/>
        </w:rPr>
        <w:t xml:space="preserve">الأسلوب </w:t>
      </w:r>
      <w:r w:rsidR="00A76CBD">
        <w:rPr>
          <w:lang w:bidi="ar-EG"/>
        </w:rPr>
        <w:t>A</w:t>
      </w:r>
      <w:r w:rsidR="00A76CBD">
        <w:rPr>
          <w:rFonts w:hint="cs"/>
          <w:rtl/>
          <w:lang w:bidi="ar-EG"/>
        </w:rPr>
        <w:t xml:space="preserve"> من تقرير الاجتماع التحضيري</w:t>
      </w:r>
      <w:r w:rsidR="0052795B">
        <w:rPr>
          <w:rFonts w:hint="eastAsia"/>
          <w:rtl/>
          <w:lang w:bidi="ar-EG"/>
        </w:rPr>
        <w:t> </w:t>
      </w:r>
      <w:r w:rsidR="00A76CBD">
        <w:rPr>
          <w:rFonts w:hint="cs"/>
          <w:rtl/>
          <w:lang w:bidi="ar-EG"/>
        </w:rPr>
        <w:t>للمؤتمر.</w:t>
      </w:r>
    </w:p>
    <w:p w:rsidR="00275D41" w:rsidRPr="0052795B" w:rsidRDefault="00275D41" w:rsidP="0052795B">
      <w:pPr>
        <w:pStyle w:val="Reasons"/>
        <w:rPr>
          <w:b w:val="0"/>
          <w:bCs w:val="0"/>
          <w:rtl/>
        </w:rPr>
      </w:pPr>
      <w:r>
        <w:rPr>
          <w:rtl/>
        </w:rPr>
        <w:t>الأسباب:</w:t>
      </w:r>
      <w:r>
        <w:tab/>
      </w:r>
      <w:r w:rsidR="0039068A" w:rsidRPr="0052795B">
        <w:rPr>
          <w:rFonts w:hint="cs"/>
          <w:b w:val="0"/>
          <w:bCs w:val="0"/>
          <w:rtl/>
        </w:rPr>
        <w:t xml:space="preserve">أظهرت الدراسات التي </w:t>
      </w:r>
      <w:r w:rsidR="007925FF" w:rsidRPr="0052795B">
        <w:rPr>
          <w:rFonts w:hint="cs"/>
          <w:b w:val="0"/>
          <w:bCs w:val="0"/>
          <w:rtl/>
        </w:rPr>
        <w:t>أ</w:t>
      </w:r>
      <w:r w:rsidR="0039068A" w:rsidRPr="0052795B">
        <w:rPr>
          <w:rFonts w:hint="cs"/>
          <w:b w:val="0"/>
          <w:bCs w:val="0"/>
          <w:rtl/>
        </w:rPr>
        <w:t>جراها قطاع الاتصالات الراديوية أنه من المستحيل تقاسم هذا النطاق مع</w:t>
      </w:r>
      <w:r w:rsidR="003022CE" w:rsidRPr="0052795B">
        <w:rPr>
          <w:rFonts w:hint="cs"/>
          <w:b w:val="0"/>
          <w:bCs w:val="0"/>
          <w:rtl/>
        </w:rPr>
        <w:t xml:space="preserve"> الخدمات الموزع لها النطاق على أ</w:t>
      </w:r>
      <w:r w:rsidR="0039068A" w:rsidRPr="0052795B">
        <w:rPr>
          <w:rFonts w:hint="cs"/>
          <w:b w:val="0"/>
          <w:bCs w:val="0"/>
          <w:rtl/>
        </w:rPr>
        <w:t>ساس أولي.</w:t>
      </w:r>
    </w:p>
    <w:p w:rsidR="00275D41" w:rsidRDefault="0039068A" w:rsidP="0052795B">
      <w:pPr>
        <w:rPr>
          <w:rtl/>
        </w:rPr>
      </w:pPr>
      <w:r>
        <w:rPr>
          <w:rFonts w:hint="cs"/>
          <w:rtl/>
        </w:rPr>
        <w:t>وبالإضافة إلى ذلك، تستعمل الرادارات الأولية هذا النطاق بشكل واسع لدعم خدمات مراقبة الحركة الجوية في المطارات، وخاصة خدمات الاقتراب.</w:t>
      </w:r>
    </w:p>
    <w:p w:rsidR="00275D41" w:rsidRDefault="00275D41" w:rsidP="00275D41">
      <w:pPr>
        <w:pStyle w:val="Title4"/>
      </w:pPr>
      <w:r>
        <w:rPr>
          <w:rFonts w:hint="cs"/>
          <w:rtl/>
        </w:rPr>
        <w:t>نطاق التردد </w:t>
      </w:r>
      <w:r>
        <w:t>10</w:t>
      </w:r>
      <w:r>
        <w:rPr>
          <w:rFonts w:hint="cs"/>
          <w:rtl/>
        </w:rPr>
        <w:t xml:space="preserve">: </w:t>
      </w:r>
      <w:r>
        <w:t>MHz 3 600</w:t>
      </w:r>
      <w:r>
        <w:noBreakHyphen/>
        <w:t>3 400</w:t>
      </w:r>
    </w:p>
    <w:p w:rsidR="00275D41" w:rsidRDefault="00275D41" w:rsidP="00275D41">
      <w:pPr>
        <w:pStyle w:val="Headingb"/>
        <w:rPr>
          <w:rtl/>
        </w:rPr>
      </w:pPr>
      <w:r>
        <w:rPr>
          <w:rFonts w:hint="cs"/>
          <w:rtl/>
        </w:rPr>
        <w:t>معلومات أساسية</w:t>
      </w:r>
    </w:p>
    <w:p w:rsidR="00275D41" w:rsidRDefault="0039068A" w:rsidP="007E63D5">
      <w:pPr>
        <w:rPr>
          <w:rtl/>
          <w:lang w:bidi="ar-EG"/>
        </w:rPr>
      </w:pPr>
      <w:r>
        <w:rPr>
          <w:rFonts w:hint="cs"/>
          <w:rtl/>
        </w:rPr>
        <w:t xml:space="preserve">يوزع النطاق </w:t>
      </w:r>
      <w:r>
        <w:t>MHz 3 600</w:t>
      </w:r>
      <w:r>
        <w:noBreakHyphen/>
        <w:t>3 400</w:t>
      </w:r>
      <w:r>
        <w:rPr>
          <w:rFonts w:hint="cs"/>
          <w:rtl/>
          <w:lang w:bidi="ar-EG"/>
        </w:rPr>
        <w:t xml:space="preserve"> على الخدمة الثابتة والخدمة الثابتة الساتلية (فضاء</w:t>
      </w:r>
      <w:r>
        <w:rPr>
          <w:rFonts w:hint="cs"/>
          <w:rtl/>
          <w:lang w:bidi="ar-EG"/>
        </w:rPr>
        <w:noBreakHyphen/>
        <w:t>أرض) على أساس أولي في جميع الأقاليم الثلاثة.</w:t>
      </w:r>
    </w:p>
    <w:p w:rsidR="0039068A" w:rsidRDefault="0039068A" w:rsidP="0052795B">
      <w:pPr>
        <w:rPr>
          <w:rtl/>
          <w:lang w:bidi="ar-EG"/>
        </w:rPr>
      </w:pPr>
      <w:r>
        <w:rPr>
          <w:rFonts w:hint="cs"/>
          <w:rtl/>
          <w:lang w:bidi="ar-EG"/>
        </w:rPr>
        <w:t>ففي الإقليمين</w:t>
      </w:r>
      <w:r w:rsidR="0052795B">
        <w:rPr>
          <w:rFonts w:hint="eastAsia"/>
          <w:rtl/>
          <w:lang w:bidi="ar-EG"/>
        </w:rPr>
        <w:t> </w:t>
      </w:r>
      <w:r>
        <w:rPr>
          <w:lang w:bidi="ar-EG"/>
        </w:rPr>
        <w:t>2</w:t>
      </w:r>
      <w:r>
        <w:rPr>
          <w:rFonts w:hint="cs"/>
          <w:rtl/>
          <w:lang w:bidi="ar-EG"/>
        </w:rPr>
        <w:t xml:space="preserve"> و</w:t>
      </w:r>
      <w:r>
        <w:rPr>
          <w:lang w:bidi="ar-EG"/>
        </w:rPr>
        <w:t>3</w:t>
      </w:r>
      <w:r>
        <w:rPr>
          <w:rFonts w:hint="cs"/>
          <w:rtl/>
          <w:lang w:bidi="ar-EG"/>
        </w:rPr>
        <w:t xml:space="preserve"> يوز</w:t>
      </w:r>
      <w:r w:rsidR="00785512">
        <w:rPr>
          <w:rFonts w:hint="cs"/>
          <w:rtl/>
          <w:lang w:bidi="ar-EG"/>
        </w:rPr>
        <w:t>ع</w:t>
      </w:r>
      <w:r>
        <w:rPr>
          <w:rFonts w:hint="cs"/>
          <w:rtl/>
          <w:lang w:bidi="ar-EG"/>
        </w:rPr>
        <w:t xml:space="preserve"> هذا النطاق للخدمة المتنقلة، باستثناء المتنقلة للطيران، على أساس أولي.</w:t>
      </w:r>
    </w:p>
    <w:p w:rsidR="0039068A" w:rsidRDefault="0039068A" w:rsidP="0052795B">
      <w:pPr>
        <w:rPr>
          <w:rtl/>
          <w:lang w:bidi="ar-EG"/>
        </w:rPr>
      </w:pPr>
      <w:r>
        <w:rPr>
          <w:rFonts w:hint="cs"/>
          <w:rtl/>
          <w:lang w:bidi="ar-EG"/>
        </w:rPr>
        <w:lastRenderedPageBreak/>
        <w:t xml:space="preserve">ويوزع أيضاً للخدمة المتنقلة على أساس أولي ويُحدد للاتصالات المتنقلة الدولية في بعض البلدان (نحو </w:t>
      </w:r>
      <w:r>
        <w:rPr>
          <w:lang w:bidi="ar-EG"/>
        </w:rPr>
        <w:t>90</w:t>
      </w:r>
      <w:r>
        <w:rPr>
          <w:rFonts w:hint="cs"/>
          <w:rtl/>
          <w:lang w:bidi="ar-EG"/>
        </w:rPr>
        <w:t xml:space="preserve"> بلداً) في الإقليم</w:t>
      </w:r>
      <w:r w:rsidR="0052795B">
        <w:rPr>
          <w:rFonts w:hint="eastAsia"/>
          <w:rtl/>
          <w:lang w:bidi="ar-EG"/>
        </w:rPr>
        <w:t> </w:t>
      </w:r>
      <w:r>
        <w:rPr>
          <w:lang w:bidi="ar-EG"/>
        </w:rPr>
        <w:t>1</w:t>
      </w:r>
      <w:r>
        <w:rPr>
          <w:rFonts w:hint="cs"/>
          <w:rtl/>
          <w:lang w:bidi="ar-EG"/>
        </w:rPr>
        <w:t xml:space="preserve"> وفقاً للمؤتمر </w:t>
      </w:r>
      <w:r>
        <w:rPr>
          <w:lang w:bidi="ar-EG"/>
        </w:rPr>
        <w:t>WRC</w:t>
      </w:r>
      <w:r>
        <w:rPr>
          <w:lang w:bidi="ar-EG"/>
        </w:rPr>
        <w:noBreakHyphen/>
        <w:t>07</w:t>
      </w:r>
      <w:r>
        <w:rPr>
          <w:rFonts w:hint="cs"/>
          <w:rtl/>
          <w:lang w:bidi="ar-EG"/>
        </w:rPr>
        <w:t xml:space="preserve"> في الرقم</w:t>
      </w:r>
      <w:r w:rsidR="0052795B">
        <w:rPr>
          <w:rFonts w:hint="eastAsia"/>
          <w:rtl/>
          <w:lang w:bidi="ar-EG"/>
        </w:rPr>
        <w:t> </w:t>
      </w:r>
      <w:r>
        <w:rPr>
          <w:lang w:bidi="ar-EG"/>
        </w:rPr>
        <w:t>430A.5</w:t>
      </w:r>
      <w:r>
        <w:rPr>
          <w:rFonts w:hint="cs"/>
          <w:rtl/>
          <w:lang w:bidi="ar-EG"/>
        </w:rPr>
        <w:t>، رهناً بتطبيق الرقم</w:t>
      </w:r>
      <w:r w:rsidR="0052795B">
        <w:rPr>
          <w:rFonts w:hint="eastAsia"/>
          <w:rtl/>
          <w:lang w:bidi="ar-EG"/>
        </w:rPr>
        <w:t> </w:t>
      </w:r>
      <w:r>
        <w:rPr>
          <w:lang w:bidi="ar-EG"/>
        </w:rPr>
        <w:t>21.9</w:t>
      </w:r>
      <w:r>
        <w:rPr>
          <w:rFonts w:hint="cs"/>
          <w:rtl/>
          <w:lang w:bidi="ar-EG"/>
        </w:rPr>
        <w:t>.</w:t>
      </w:r>
    </w:p>
    <w:p w:rsidR="00275D41" w:rsidRDefault="00275D41" w:rsidP="00275D41">
      <w:pPr>
        <w:pStyle w:val="Headingb"/>
      </w:pPr>
      <w:r>
        <w:rPr>
          <w:rFonts w:hint="cs"/>
          <w:rtl/>
        </w:rPr>
        <w:t>المقترح</w:t>
      </w:r>
    </w:p>
    <w:p w:rsidR="00542568" w:rsidRDefault="00275D41">
      <w:pPr>
        <w:pStyle w:val="Proposal"/>
      </w:pPr>
      <w:r>
        <w:tab/>
        <w:t>CTI/68A1/5</w:t>
      </w:r>
    </w:p>
    <w:p w:rsidR="00275D41" w:rsidRDefault="00275D41" w:rsidP="0052795B">
      <w:pPr>
        <w:rPr>
          <w:rtl/>
          <w:lang w:bidi="ar-EG"/>
        </w:rPr>
      </w:pPr>
      <w:r>
        <w:tab/>
      </w:r>
      <w:r w:rsidR="0039068A">
        <w:rPr>
          <w:rFonts w:hint="cs"/>
          <w:rtl/>
          <w:lang w:bidi="ar-EG"/>
        </w:rPr>
        <w:t>تقترح كوت ديفوار توزيع هذا النطاق على أساس أولي للخدمة المتنقلة، باستثناء المتنقلة للطيران،</w:t>
      </w:r>
      <w:r w:rsidR="0039068A" w:rsidRPr="0039068A">
        <w:rPr>
          <w:rFonts w:hint="cs"/>
          <w:rtl/>
          <w:lang w:bidi="ar-EG"/>
        </w:rPr>
        <w:t xml:space="preserve"> </w:t>
      </w:r>
      <w:r w:rsidR="0039068A">
        <w:rPr>
          <w:rFonts w:hint="cs"/>
          <w:rtl/>
          <w:lang w:bidi="ar-EG"/>
        </w:rPr>
        <w:t>في الإقليم </w:t>
      </w:r>
      <w:r w:rsidR="0039068A">
        <w:rPr>
          <w:lang w:bidi="ar-EG"/>
        </w:rPr>
        <w:t>1</w:t>
      </w:r>
      <w:r w:rsidR="0039068A">
        <w:rPr>
          <w:rFonts w:hint="cs"/>
          <w:rtl/>
          <w:lang w:bidi="ar-EG"/>
        </w:rPr>
        <w:t xml:space="preserve"> وتحديده للاتصالات المتنقلة الدولية</w:t>
      </w:r>
      <w:r w:rsidR="007E63D5">
        <w:rPr>
          <w:rFonts w:hint="cs"/>
          <w:rtl/>
          <w:lang w:bidi="ar-EG"/>
        </w:rPr>
        <w:t xml:space="preserve">، أي الأسلوبان </w:t>
      </w:r>
      <w:r w:rsidR="007E63D5">
        <w:rPr>
          <w:lang w:bidi="ar-EG"/>
        </w:rPr>
        <w:t>B</w:t>
      </w:r>
      <w:r w:rsidR="007E63D5">
        <w:rPr>
          <w:rFonts w:hint="cs"/>
          <w:rtl/>
          <w:lang w:bidi="ar-EG"/>
        </w:rPr>
        <w:t xml:space="preserve"> و</w:t>
      </w:r>
      <w:r w:rsidR="007E63D5">
        <w:rPr>
          <w:lang w:bidi="ar-EG"/>
        </w:rPr>
        <w:t>C</w:t>
      </w:r>
      <w:r w:rsidR="007E63D5">
        <w:rPr>
          <w:rFonts w:hint="cs"/>
          <w:rtl/>
          <w:lang w:bidi="ar-EG"/>
        </w:rPr>
        <w:t xml:space="preserve"> مع </w:t>
      </w:r>
      <w:r w:rsidR="00785512">
        <w:rPr>
          <w:rFonts w:hint="cs"/>
          <w:rtl/>
          <w:lang w:bidi="ar-EG"/>
        </w:rPr>
        <w:t xml:space="preserve">تزفير </w:t>
      </w:r>
      <w:r w:rsidR="007E63D5">
        <w:rPr>
          <w:rFonts w:hint="cs"/>
          <w:rtl/>
          <w:lang w:bidi="ar-EG"/>
        </w:rPr>
        <w:t xml:space="preserve">الحماية </w:t>
      </w:r>
      <w:r w:rsidR="00785512">
        <w:rPr>
          <w:rFonts w:hint="cs"/>
          <w:rtl/>
          <w:lang w:bidi="ar-EG"/>
        </w:rPr>
        <w:t>ل</w:t>
      </w:r>
      <w:r w:rsidR="007E63D5">
        <w:rPr>
          <w:rFonts w:hint="cs"/>
          <w:rtl/>
          <w:lang w:bidi="ar-EG"/>
        </w:rPr>
        <w:t>لخدمات في النطاقات المجاورة.</w:t>
      </w:r>
    </w:p>
    <w:p w:rsidR="007E63D5" w:rsidRPr="0052795B" w:rsidRDefault="00275D41" w:rsidP="0052795B">
      <w:pPr>
        <w:pStyle w:val="Reasons"/>
        <w:rPr>
          <w:b w:val="0"/>
          <w:bCs w:val="0"/>
          <w:rtl/>
        </w:rPr>
      </w:pPr>
      <w:r>
        <w:rPr>
          <w:rtl/>
        </w:rPr>
        <w:t>الأسباب:</w:t>
      </w:r>
      <w:r>
        <w:tab/>
      </w:r>
      <w:r w:rsidR="007E63D5" w:rsidRPr="0052795B">
        <w:rPr>
          <w:rFonts w:hint="cs"/>
          <w:b w:val="0"/>
          <w:bCs w:val="0"/>
          <w:rtl/>
        </w:rPr>
        <w:t>وفقاً لدراسات قطاع الاتصالات الراديوية، فإن التقاسم ممكن بين الخدمة الثابتة الساتلية والاتصالات المتنقلة الدولية شريطة احترام مسافات الفصل الواردة في تقرير الاجتماع التحضيري للمؤتمر وأن يكون الموقع الدقيق للمحطات الأرضية معروفا</w:t>
      </w:r>
      <w:r w:rsidR="007D3343" w:rsidRPr="0052795B">
        <w:rPr>
          <w:rFonts w:hint="cs"/>
          <w:b w:val="0"/>
          <w:bCs w:val="0"/>
          <w:rtl/>
        </w:rPr>
        <w:t>ً</w:t>
      </w:r>
      <w:r w:rsidR="007E63D5" w:rsidRPr="0052795B">
        <w:rPr>
          <w:rFonts w:hint="cs"/>
          <w:b w:val="0"/>
          <w:bCs w:val="0"/>
          <w:rtl/>
        </w:rPr>
        <w:t>.</w:t>
      </w:r>
    </w:p>
    <w:p w:rsidR="007E63D5" w:rsidRPr="0052795B" w:rsidRDefault="007D3343" w:rsidP="0052795B">
      <w:pPr>
        <w:pStyle w:val="Reasons"/>
        <w:rPr>
          <w:b w:val="0"/>
          <w:bCs w:val="0"/>
          <w:rtl/>
          <w:lang w:bidi="ar-EG"/>
        </w:rPr>
      </w:pPr>
      <w:r w:rsidRPr="0052795B">
        <w:rPr>
          <w:rFonts w:hint="cs"/>
          <w:b w:val="0"/>
          <w:bCs w:val="0"/>
          <w:rtl/>
        </w:rPr>
        <w:t>وقد تم تحديد</w:t>
      </w:r>
      <w:r w:rsidR="007E63D5" w:rsidRPr="0052795B">
        <w:rPr>
          <w:rFonts w:hint="cs"/>
          <w:b w:val="0"/>
          <w:bCs w:val="0"/>
          <w:rtl/>
        </w:rPr>
        <w:t xml:space="preserve"> نطاق الترددات هذا بالفعل للاتصالات المتنقلة الدولية في إطار الرقم </w:t>
      </w:r>
      <w:r w:rsidR="007E63D5" w:rsidRPr="0052795B">
        <w:rPr>
          <w:b w:val="0"/>
          <w:bCs w:val="0"/>
        </w:rPr>
        <w:t>430A.5</w:t>
      </w:r>
      <w:r w:rsidR="007E63D5" w:rsidRPr="0052795B">
        <w:rPr>
          <w:rFonts w:hint="cs"/>
          <w:b w:val="0"/>
          <w:bCs w:val="0"/>
          <w:rtl/>
          <w:lang w:bidi="ar-EG"/>
        </w:rPr>
        <w:t>. ومن شأن التوزيع للخدمة المتنقلة، باستثناء المتنقلة للطيران</w:t>
      </w:r>
      <w:r w:rsidR="003C76C4" w:rsidRPr="0052795B">
        <w:rPr>
          <w:rFonts w:hint="cs"/>
          <w:b w:val="0"/>
          <w:bCs w:val="0"/>
          <w:rtl/>
          <w:lang w:bidi="ar-EG"/>
        </w:rPr>
        <w:t>،</w:t>
      </w:r>
      <w:r w:rsidR="007E63D5" w:rsidRPr="0052795B">
        <w:rPr>
          <w:rFonts w:hint="cs"/>
          <w:b w:val="0"/>
          <w:bCs w:val="0"/>
          <w:rtl/>
          <w:lang w:bidi="ar-EG"/>
        </w:rPr>
        <w:t xml:space="preserve"> أن ييسر استعماله.</w:t>
      </w:r>
    </w:p>
    <w:p w:rsidR="00275D41" w:rsidRPr="00275D41" w:rsidRDefault="00275D41" w:rsidP="00275D41">
      <w:pPr>
        <w:spacing w:before="600"/>
        <w:jc w:val="center"/>
        <w:rPr>
          <w:rtl/>
          <w:lang w:bidi="ar-EG"/>
        </w:rPr>
      </w:pPr>
      <w:r>
        <w:rPr>
          <w:rFonts w:hint="cs"/>
          <w:rtl/>
          <w:lang w:bidi="ar-EG"/>
        </w:rPr>
        <w:t>_________</w:t>
      </w:r>
    </w:p>
    <w:sectPr w:rsidR="00275D41" w:rsidRPr="00275D41"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DF4918">
    <w:pPr>
      <w:pStyle w:val="Footer"/>
      <w:tabs>
        <w:tab w:val="clear" w:pos="5812"/>
        <w:tab w:val="left" w:pos="6379"/>
      </w:tabs>
      <w:rPr>
        <w:lang w:val="es-ES"/>
      </w:rPr>
    </w:pPr>
    <w:r w:rsidRPr="00CB4300">
      <w:fldChar w:fldCharType="begin"/>
    </w:r>
    <w:r w:rsidRPr="00CB4300">
      <w:rPr>
        <w:lang w:val="es-ES"/>
      </w:rPr>
      <w:instrText xml:space="preserve"> FILENAME \p \* MERGEFORMAT </w:instrText>
    </w:r>
    <w:r w:rsidRPr="00CB4300">
      <w:fldChar w:fldCharType="separate"/>
    </w:r>
    <w:r w:rsidR="0052795B">
      <w:rPr>
        <w:noProof/>
        <w:lang w:val="es-ES"/>
      </w:rPr>
      <w:t>P:\ARA\ITU-R\CONF-R\CMR15\000\068ADD01A.docx</w:t>
    </w:r>
    <w:r w:rsidRPr="00CB4300">
      <w:fldChar w:fldCharType="end"/>
    </w:r>
    <w:r w:rsidRPr="00CB4300">
      <w:rPr>
        <w:lang w:val="es-ES"/>
      </w:rPr>
      <w:t xml:space="preserve">  (</w:t>
    </w:r>
    <w:r w:rsidR="00DF4918">
      <w:rPr>
        <w:lang w:val="es-ES"/>
      </w:rPr>
      <w:t>388423</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AC6A18">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52795B">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DF4918">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52795B">
      <w:rPr>
        <w:noProof/>
        <w:lang w:val="es-ES"/>
      </w:rPr>
      <w:t>P:\ARA\ITU-R\CONF-R\CMR15\000\068ADD01A.docx</w:t>
    </w:r>
    <w:r>
      <w:fldChar w:fldCharType="end"/>
    </w:r>
    <w:r w:rsidRPr="00CB4300">
      <w:rPr>
        <w:lang w:val="es-ES"/>
      </w:rPr>
      <w:t xml:space="preserve">   (</w:t>
    </w:r>
    <w:r w:rsidR="00DF4918">
      <w:rPr>
        <w:lang w:val="es-ES"/>
      </w:rPr>
      <w:t>388423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C6A18">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2795B">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46880">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68(Add.1)-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62D"/>
    <w:rsid w:val="00040C94"/>
    <w:rsid w:val="000425FC"/>
    <w:rsid w:val="00044D43"/>
    <w:rsid w:val="00051907"/>
    <w:rsid w:val="00075A3F"/>
    <w:rsid w:val="00092EC8"/>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44DC"/>
    <w:rsid w:val="002075D4"/>
    <w:rsid w:val="00211B2A"/>
    <w:rsid w:val="002333A0"/>
    <w:rsid w:val="002543CF"/>
    <w:rsid w:val="00255868"/>
    <w:rsid w:val="0026062E"/>
    <w:rsid w:val="00260F50"/>
    <w:rsid w:val="00261EF7"/>
    <w:rsid w:val="0027069F"/>
    <w:rsid w:val="00275D41"/>
    <w:rsid w:val="00277869"/>
    <w:rsid w:val="00280E04"/>
    <w:rsid w:val="00281F5F"/>
    <w:rsid w:val="002843E4"/>
    <w:rsid w:val="002919E1"/>
    <w:rsid w:val="00295917"/>
    <w:rsid w:val="00296071"/>
    <w:rsid w:val="002A4572"/>
    <w:rsid w:val="002A7E2E"/>
    <w:rsid w:val="002B16D8"/>
    <w:rsid w:val="002B1845"/>
    <w:rsid w:val="002D5F64"/>
    <w:rsid w:val="002D6FBF"/>
    <w:rsid w:val="002E48BF"/>
    <w:rsid w:val="002E61C2"/>
    <w:rsid w:val="003022CE"/>
    <w:rsid w:val="0033737F"/>
    <w:rsid w:val="00353652"/>
    <w:rsid w:val="003569E1"/>
    <w:rsid w:val="003815E2"/>
    <w:rsid w:val="00381FAD"/>
    <w:rsid w:val="00382A66"/>
    <w:rsid w:val="0039068A"/>
    <w:rsid w:val="003923B1"/>
    <w:rsid w:val="003965FE"/>
    <w:rsid w:val="003A6AB4"/>
    <w:rsid w:val="003B27AD"/>
    <w:rsid w:val="003B4F23"/>
    <w:rsid w:val="003C12F6"/>
    <w:rsid w:val="003C3A13"/>
    <w:rsid w:val="003C76C4"/>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D66C2"/>
    <w:rsid w:val="004E34FA"/>
    <w:rsid w:val="00505FCA"/>
    <w:rsid w:val="00510C2D"/>
    <w:rsid w:val="005169F4"/>
    <w:rsid w:val="005210D1"/>
    <w:rsid w:val="00523146"/>
    <w:rsid w:val="00523275"/>
    <w:rsid w:val="0052795B"/>
    <w:rsid w:val="00531DC7"/>
    <w:rsid w:val="005350B0"/>
    <w:rsid w:val="00542568"/>
    <w:rsid w:val="00546880"/>
    <w:rsid w:val="00546A99"/>
    <w:rsid w:val="00553411"/>
    <w:rsid w:val="00554AE7"/>
    <w:rsid w:val="00560DF9"/>
    <w:rsid w:val="00564746"/>
    <w:rsid w:val="0056512C"/>
    <w:rsid w:val="00576D0A"/>
    <w:rsid w:val="00576FCC"/>
    <w:rsid w:val="00584333"/>
    <w:rsid w:val="005930D8"/>
    <w:rsid w:val="005953EC"/>
    <w:rsid w:val="005B00A1"/>
    <w:rsid w:val="005C29C8"/>
    <w:rsid w:val="005C46CD"/>
    <w:rsid w:val="005C5D25"/>
    <w:rsid w:val="005D6D48"/>
    <w:rsid w:val="005D72A4"/>
    <w:rsid w:val="005F05CC"/>
    <w:rsid w:val="005F26F3"/>
    <w:rsid w:val="005F65DE"/>
    <w:rsid w:val="00613492"/>
    <w:rsid w:val="006315B5"/>
    <w:rsid w:val="00651343"/>
    <w:rsid w:val="0065562F"/>
    <w:rsid w:val="00680A66"/>
    <w:rsid w:val="00681391"/>
    <w:rsid w:val="006A12AC"/>
    <w:rsid w:val="006A2162"/>
    <w:rsid w:val="006B0D94"/>
    <w:rsid w:val="006B4B90"/>
    <w:rsid w:val="006B658C"/>
    <w:rsid w:val="006D2674"/>
    <w:rsid w:val="006E0F9B"/>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5512"/>
    <w:rsid w:val="00786A7E"/>
    <w:rsid w:val="007925FF"/>
    <w:rsid w:val="007A0802"/>
    <w:rsid w:val="007B1FCA"/>
    <w:rsid w:val="007C2C12"/>
    <w:rsid w:val="007C3CFA"/>
    <w:rsid w:val="007D3343"/>
    <w:rsid w:val="007E0E8B"/>
    <w:rsid w:val="007E63D5"/>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6C"/>
    <w:rsid w:val="009F7BA0"/>
    <w:rsid w:val="00A03FD6"/>
    <w:rsid w:val="00A116A8"/>
    <w:rsid w:val="00A22AE9"/>
    <w:rsid w:val="00A26758"/>
    <w:rsid w:val="00A26D0E"/>
    <w:rsid w:val="00A278E9"/>
    <w:rsid w:val="00A3451F"/>
    <w:rsid w:val="00A36268"/>
    <w:rsid w:val="00A40B2C"/>
    <w:rsid w:val="00A66D2B"/>
    <w:rsid w:val="00A76CBD"/>
    <w:rsid w:val="00A83981"/>
    <w:rsid w:val="00A840FA"/>
    <w:rsid w:val="00A870AD"/>
    <w:rsid w:val="00A90843"/>
    <w:rsid w:val="00A9645C"/>
    <w:rsid w:val="00AB2A33"/>
    <w:rsid w:val="00AC1275"/>
    <w:rsid w:val="00AC6A18"/>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5CA0"/>
    <w:rsid w:val="00BA610A"/>
    <w:rsid w:val="00BA7D44"/>
    <w:rsid w:val="00BD6EF3"/>
    <w:rsid w:val="00BE69C3"/>
    <w:rsid w:val="00C1165E"/>
    <w:rsid w:val="00C22074"/>
    <w:rsid w:val="00C2377B"/>
    <w:rsid w:val="00C31F99"/>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DF4918"/>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C6F5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8803793-23E7-43B5-881C-94B2A7A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Footnotetexte">
    <w:name w:val="Footnote texte"/>
    <w:basedOn w:val="Normal"/>
    <w:qFormat/>
    <w:rsid w:val="00DF4918"/>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styleId="Hyperlink">
    <w:name w:val="Hyperlink"/>
    <w:basedOn w:val="DefaultParagraphFont"/>
    <w:uiPriority w:val="99"/>
    <w:unhideWhenUsed/>
    <w:rsid w:val="00DF4918"/>
    <w:rPr>
      <w:color w:val="0000FA"/>
      <w:u w:val="single"/>
    </w:rPr>
  </w:style>
  <w:style w:type="paragraph" w:customStyle="1" w:styleId="Heaidng">
    <w:name w:val="Heaidng_"/>
    <w:basedOn w:val="Normal"/>
    <w:rsid w:val="00DF4918"/>
    <w:rPr>
      <w:lang w:bidi="ar-EG"/>
    </w:rPr>
  </w:style>
  <w:style w:type="paragraph" w:styleId="BalloonText">
    <w:name w:val="Balloon Text"/>
    <w:basedOn w:val="Normal"/>
    <w:link w:val="BalloonTextChar"/>
    <w:semiHidden/>
    <w:unhideWhenUsed/>
    <w:rsid w:val="009F7B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F7B6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R15-WRC15-C-0068!A1!MSW-A</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93024-3131-46D7-9FC5-956A4BE874D4}">
  <ds:schemaRefs>
    <ds:schemaRef ds:uri="32a1a8c5-2265-4ebc-b7a0-2071e2c5c9bb"/>
    <ds:schemaRef ds:uri="http://schemas.microsoft.com/office/infopath/2007/PartnerControls"/>
    <ds:schemaRef ds:uri="http://purl.org/dc/dcmitype/"/>
    <ds:schemaRef ds:uri="http://schemas.microsoft.com/office/2006/documentManagement/types"/>
    <ds:schemaRef ds:uri="996b2e75-67fd-4955-a3b0-5ab9934cb50b"/>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84F4F92-A70A-4E93-9505-C9A27FFF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837</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R15-WRC15-C-0068!A1!MSW-A</vt:lpstr>
    </vt:vector>
  </TitlesOfParts>
  <Manager>General Secretariat - Pool</Manager>
  <Company>International Telecommunication Union (ITU)</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R15-WRC15-C-0068!A1!MSW-A</dc:title>
  <dc:creator>Documents Proposals Manager (DPM)</dc:creator>
  <cp:keywords>DPM_v5.2015.10.271_prod</cp:keywords>
  <cp:lastModifiedBy>Jones, Jacqueline</cp:lastModifiedBy>
  <cp:revision>6</cp:revision>
  <cp:lastPrinted>2015-11-01T21:29:00Z</cp:lastPrinted>
  <dcterms:created xsi:type="dcterms:W3CDTF">2015-11-01T21:22:00Z</dcterms:created>
  <dcterms:modified xsi:type="dcterms:W3CDTF">2015-11-01T22:32:00Z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