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001AB" w:rsidTr="0050008E">
        <w:trPr>
          <w:cantSplit/>
        </w:trPr>
        <w:tc>
          <w:tcPr>
            <w:tcW w:w="6911" w:type="dxa"/>
          </w:tcPr>
          <w:p w:rsidR="0090121B" w:rsidRPr="009001AB" w:rsidRDefault="005D46FB" w:rsidP="00795D1E">
            <w:pPr>
              <w:spacing w:before="400" w:after="48"/>
              <w:rPr>
                <w:rFonts w:ascii="Verdana" w:hAnsi="Verdana"/>
                <w:position w:val="6"/>
              </w:rPr>
            </w:pPr>
            <w:r w:rsidRPr="009001AB">
              <w:rPr>
                <w:rFonts w:ascii="Verdana" w:hAnsi="Verdana" w:cs="Times"/>
                <w:b/>
                <w:position w:val="6"/>
                <w:sz w:val="20"/>
              </w:rPr>
              <w:t>Conferencia Mundial de Radiocomunicaciones (CMR-15)</w:t>
            </w:r>
            <w:r w:rsidRPr="009001AB">
              <w:rPr>
                <w:rFonts w:ascii="Verdana" w:hAnsi="Verdana" w:cs="Times"/>
                <w:b/>
                <w:position w:val="6"/>
                <w:sz w:val="20"/>
              </w:rPr>
              <w:br/>
            </w:r>
            <w:r w:rsidRPr="009001AB">
              <w:rPr>
                <w:rFonts w:ascii="Verdana" w:hAnsi="Verdana"/>
                <w:b/>
                <w:bCs/>
                <w:position w:val="6"/>
                <w:sz w:val="18"/>
                <w:szCs w:val="18"/>
              </w:rPr>
              <w:t>Ginebra, 2-27 de noviembre de 2015</w:t>
            </w:r>
          </w:p>
        </w:tc>
        <w:tc>
          <w:tcPr>
            <w:tcW w:w="3120" w:type="dxa"/>
          </w:tcPr>
          <w:p w:rsidR="0090121B" w:rsidRPr="009001AB" w:rsidRDefault="00CE7431" w:rsidP="00795D1E">
            <w:pPr>
              <w:spacing w:before="0"/>
              <w:jc w:val="right"/>
            </w:pPr>
            <w:bookmarkStart w:id="0" w:name="ditulogo"/>
            <w:bookmarkEnd w:id="0"/>
            <w:r w:rsidRPr="009001AB">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001AB" w:rsidTr="0050008E">
        <w:trPr>
          <w:cantSplit/>
        </w:trPr>
        <w:tc>
          <w:tcPr>
            <w:tcW w:w="6911" w:type="dxa"/>
            <w:tcBorders>
              <w:bottom w:val="single" w:sz="12" w:space="0" w:color="auto"/>
            </w:tcBorders>
          </w:tcPr>
          <w:p w:rsidR="0090121B" w:rsidRPr="009001AB" w:rsidRDefault="00CE7431" w:rsidP="00795D1E">
            <w:pPr>
              <w:spacing w:before="0" w:after="48"/>
              <w:rPr>
                <w:b/>
                <w:smallCaps/>
                <w:szCs w:val="24"/>
              </w:rPr>
            </w:pPr>
            <w:bookmarkStart w:id="1" w:name="dhead"/>
            <w:r w:rsidRPr="009001AB">
              <w:rPr>
                <w:rFonts w:ascii="Verdana" w:hAnsi="Verdana"/>
                <w:b/>
                <w:smallCaps/>
                <w:sz w:val="20"/>
              </w:rPr>
              <w:t>UNIÓN INTERNACIONAL DE TELECOMUNICACIONES</w:t>
            </w:r>
          </w:p>
        </w:tc>
        <w:tc>
          <w:tcPr>
            <w:tcW w:w="3120" w:type="dxa"/>
            <w:tcBorders>
              <w:bottom w:val="single" w:sz="12" w:space="0" w:color="auto"/>
            </w:tcBorders>
          </w:tcPr>
          <w:p w:rsidR="0090121B" w:rsidRPr="009001AB" w:rsidRDefault="0090121B" w:rsidP="00795D1E">
            <w:pPr>
              <w:spacing w:before="0"/>
              <w:rPr>
                <w:rFonts w:ascii="Verdana" w:hAnsi="Verdana"/>
                <w:szCs w:val="24"/>
              </w:rPr>
            </w:pPr>
          </w:p>
        </w:tc>
      </w:tr>
      <w:tr w:rsidR="0090121B" w:rsidRPr="009001AB" w:rsidTr="0090121B">
        <w:trPr>
          <w:cantSplit/>
        </w:trPr>
        <w:tc>
          <w:tcPr>
            <w:tcW w:w="6911" w:type="dxa"/>
            <w:tcBorders>
              <w:top w:val="single" w:sz="12" w:space="0" w:color="auto"/>
            </w:tcBorders>
          </w:tcPr>
          <w:p w:rsidR="0090121B" w:rsidRPr="009001AB" w:rsidRDefault="0090121B" w:rsidP="00795D1E">
            <w:pPr>
              <w:spacing w:before="0" w:after="48"/>
              <w:rPr>
                <w:rFonts w:ascii="Verdana" w:hAnsi="Verdana"/>
                <w:b/>
                <w:smallCaps/>
                <w:sz w:val="20"/>
              </w:rPr>
            </w:pPr>
          </w:p>
        </w:tc>
        <w:tc>
          <w:tcPr>
            <w:tcW w:w="3120" w:type="dxa"/>
            <w:tcBorders>
              <w:top w:val="single" w:sz="12" w:space="0" w:color="auto"/>
            </w:tcBorders>
          </w:tcPr>
          <w:p w:rsidR="0090121B" w:rsidRPr="009001AB" w:rsidRDefault="0090121B" w:rsidP="00795D1E">
            <w:pPr>
              <w:spacing w:before="0"/>
              <w:rPr>
                <w:rFonts w:ascii="Verdana" w:hAnsi="Verdana"/>
                <w:sz w:val="20"/>
              </w:rPr>
            </w:pPr>
          </w:p>
        </w:tc>
      </w:tr>
      <w:tr w:rsidR="0090121B" w:rsidRPr="009001AB" w:rsidTr="0090121B">
        <w:trPr>
          <w:cantSplit/>
        </w:trPr>
        <w:tc>
          <w:tcPr>
            <w:tcW w:w="6911" w:type="dxa"/>
            <w:shd w:val="clear" w:color="auto" w:fill="auto"/>
          </w:tcPr>
          <w:p w:rsidR="0090121B" w:rsidRPr="009001AB" w:rsidRDefault="00AE658F" w:rsidP="00795D1E">
            <w:pPr>
              <w:spacing w:before="0"/>
              <w:rPr>
                <w:rFonts w:ascii="Verdana" w:hAnsi="Verdana"/>
                <w:b/>
                <w:sz w:val="20"/>
              </w:rPr>
            </w:pPr>
            <w:r w:rsidRPr="009001AB">
              <w:rPr>
                <w:rFonts w:ascii="Verdana" w:hAnsi="Verdana"/>
                <w:b/>
                <w:sz w:val="20"/>
              </w:rPr>
              <w:t>SESIÓN PLENARIA</w:t>
            </w:r>
          </w:p>
        </w:tc>
        <w:tc>
          <w:tcPr>
            <w:tcW w:w="3120" w:type="dxa"/>
            <w:shd w:val="clear" w:color="auto" w:fill="auto"/>
          </w:tcPr>
          <w:p w:rsidR="0090121B" w:rsidRPr="009001AB" w:rsidRDefault="00AE658F" w:rsidP="00795D1E">
            <w:pPr>
              <w:spacing w:before="0"/>
              <w:rPr>
                <w:rFonts w:ascii="Verdana" w:hAnsi="Verdana"/>
                <w:sz w:val="20"/>
              </w:rPr>
            </w:pPr>
            <w:r w:rsidRPr="009001AB">
              <w:rPr>
                <w:rFonts w:ascii="Verdana" w:eastAsia="SimSun" w:hAnsi="Verdana" w:cs="Traditional Arabic"/>
                <w:b/>
                <w:sz w:val="20"/>
              </w:rPr>
              <w:t>Addéndum 1 al</w:t>
            </w:r>
            <w:r w:rsidRPr="009001AB">
              <w:rPr>
                <w:rFonts w:ascii="Verdana" w:eastAsia="SimSun" w:hAnsi="Verdana" w:cs="Traditional Arabic"/>
                <w:b/>
                <w:sz w:val="20"/>
              </w:rPr>
              <w:br/>
              <w:t>Documento 66(Add.9)</w:t>
            </w:r>
            <w:r w:rsidR="0090121B" w:rsidRPr="009001AB">
              <w:rPr>
                <w:rFonts w:ascii="Verdana" w:hAnsi="Verdana"/>
                <w:b/>
                <w:sz w:val="20"/>
              </w:rPr>
              <w:t>-</w:t>
            </w:r>
            <w:r w:rsidRPr="009001AB">
              <w:rPr>
                <w:rFonts w:ascii="Verdana" w:hAnsi="Verdana"/>
                <w:b/>
                <w:sz w:val="20"/>
              </w:rPr>
              <w:t>S</w:t>
            </w:r>
          </w:p>
        </w:tc>
      </w:tr>
      <w:bookmarkEnd w:id="1"/>
      <w:tr w:rsidR="000A5B9A" w:rsidRPr="009001AB" w:rsidTr="0090121B">
        <w:trPr>
          <w:cantSplit/>
        </w:trPr>
        <w:tc>
          <w:tcPr>
            <w:tcW w:w="6911" w:type="dxa"/>
            <w:shd w:val="clear" w:color="auto" w:fill="auto"/>
          </w:tcPr>
          <w:p w:rsidR="000A5B9A" w:rsidRPr="009001AB" w:rsidRDefault="000A5B9A" w:rsidP="00795D1E">
            <w:pPr>
              <w:spacing w:before="0" w:after="48"/>
              <w:rPr>
                <w:rFonts w:ascii="Verdana" w:hAnsi="Verdana"/>
                <w:b/>
                <w:smallCaps/>
                <w:sz w:val="20"/>
              </w:rPr>
            </w:pPr>
          </w:p>
        </w:tc>
        <w:tc>
          <w:tcPr>
            <w:tcW w:w="3120" w:type="dxa"/>
            <w:shd w:val="clear" w:color="auto" w:fill="auto"/>
          </w:tcPr>
          <w:p w:rsidR="000A5B9A" w:rsidRPr="009001AB" w:rsidRDefault="000A5B9A" w:rsidP="00795D1E">
            <w:pPr>
              <w:spacing w:before="0"/>
              <w:rPr>
                <w:rFonts w:ascii="Verdana" w:hAnsi="Verdana"/>
                <w:b/>
                <w:sz w:val="20"/>
              </w:rPr>
            </w:pPr>
            <w:r w:rsidRPr="009001AB">
              <w:rPr>
                <w:rFonts w:ascii="Verdana" w:hAnsi="Verdana"/>
                <w:b/>
                <w:sz w:val="20"/>
              </w:rPr>
              <w:t>15 de octubre de 2015</w:t>
            </w:r>
          </w:p>
        </w:tc>
      </w:tr>
      <w:tr w:rsidR="000A5B9A" w:rsidRPr="009001AB" w:rsidTr="0090121B">
        <w:trPr>
          <w:cantSplit/>
        </w:trPr>
        <w:tc>
          <w:tcPr>
            <w:tcW w:w="6911" w:type="dxa"/>
          </w:tcPr>
          <w:p w:rsidR="000A5B9A" w:rsidRPr="009001AB" w:rsidRDefault="000A5B9A" w:rsidP="00795D1E">
            <w:pPr>
              <w:spacing w:before="0" w:after="48"/>
              <w:rPr>
                <w:rFonts w:ascii="Verdana" w:hAnsi="Verdana"/>
                <w:b/>
                <w:smallCaps/>
                <w:sz w:val="20"/>
              </w:rPr>
            </w:pPr>
          </w:p>
        </w:tc>
        <w:tc>
          <w:tcPr>
            <w:tcW w:w="3120" w:type="dxa"/>
          </w:tcPr>
          <w:p w:rsidR="000A5B9A" w:rsidRPr="009001AB" w:rsidRDefault="000A5B9A" w:rsidP="00795D1E">
            <w:pPr>
              <w:spacing w:before="0"/>
              <w:rPr>
                <w:rFonts w:ascii="Verdana" w:hAnsi="Verdana"/>
                <w:b/>
                <w:sz w:val="20"/>
              </w:rPr>
            </w:pPr>
            <w:r w:rsidRPr="009001AB">
              <w:rPr>
                <w:rFonts w:ascii="Verdana" w:hAnsi="Verdana"/>
                <w:b/>
                <w:sz w:val="20"/>
              </w:rPr>
              <w:t xml:space="preserve">Original: </w:t>
            </w:r>
            <w:r w:rsidR="009001AB" w:rsidRPr="009001AB">
              <w:rPr>
                <w:rFonts w:ascii="Verdana" w:hAnsi="Verdana"/>
                <w:b/>
                <w:sz w:val="20"/>
              </w:rPr>
              <w:t>español</w:t>
            </w:r>
          </w:p>
        </w:tc>
      </w:tr>
      <w:tr w:rsidR="000A5B9A" w:rsidRPr="009001AB" w:rsidTr="006744FC">
        <w:trPr>
          <w:cantSplit/>
        </w:trPr>
        <w:tc>
          <w:tcPr>
            <w:tcW w:w="10031" w:type="dxa"/>
            <w:gridSpan w:val="2"/>
          </w:tcPr>
          <w:p w:rsidR="000A5B9A" w:rsidRPr="009001AB" w:rsidRDefault="000A5B9A" w:rsidP="00795D1E">
            <w:pPr>
              <w:spacing w:before="0"/>
              <w:rPr>
                <w:rFonts w:ascii="Verdana" w:hAnsi="Verdana"/>
                <w:b/>
                <w:sz w:val="20"/>
              </w:rPr>
            </w:pPr>
          </w:p>
        </w:tc>
      </w:tr>
      <w:tr w:rsidR="000A5B9A" w:rsidRPr="009001AB" w:rsidTr="0050008E">
        <w:trPr>
          <w:cantSplit/>
        </w:trPr>
        <w:tc>
          <w:tcPr>
            <w:tcW w:w="10031" w:type="dxa"/>
            <w:gridSpan w:val="2"/>
          </w:tcPr>
          <w:p w:rsidR="000A5B9A" w:rsidRPr="009001AB" w:rsidRDefault="000A5B9A" w:rsidP="00795D1E">
            <w:pPr>
              <w:pStyle w:val="Source"/>
            </w:pPr>
            <w:bookmarkStart w:id="2" w:name="dsource" w:colFirst="0" w:colLast="0"/>
            <w:bookmarkStart w:id="3" w:name="_GoBack"/>
            <w:bookmarkEnd w:id="3"/>
            <w:r w:rsidRPr="009001AB">
              <w:t>Cuba</w:t>
            </w:r>
          </w:p>
        </w:tc>
      </w:tr>
      <w:tr w:rsidR="000A5B9A" w:rsidRPr="009001AB" w:rsidTr="0050008E">
        <w:trPr>
          <w:cantSplit/>
        </w:trPr>
        <w:tc>
          <w:tcPr>
            <w:tcW w:w="10031" w:type="dxa"/>
            <w:gridSpan w:val="2"/>
          </w:tcPr>
          <w:p w:rsidR="000A5B9A" w:rsidRPr="009001AB" w:rsidRDefault="00CB3976" w:rsidP="00795D1E">
            <w:pPr>
              <w:pStyle w:val="Title1"/>
            </w:pPr>
            <w:bookmarkStart w:id="4" w:name="dtitle1" w:colFirst="0" w:colLast="0"/>
            <w:bookmarkEnd w:id="2"/>
            <w:r w:rsidRPr="009001AB">
              <w:t>propuestas para los trabajos de la conferencia</w:t>
            </w:r>
          </w:p>
        </w:tc>
      </w:tr>
      <w:tr w:rsidR="000A5B9A" w:rsidRPr="009001AB" w:rsidTr="0050008E">
        <w:trPr>
          <w:cantSplit/>
        </w:trPr>
        <w:tc>
          <w:tcPr>
            <w:tcW w:w="10031" w:type="dxa"/>
            <w:gridSpan w:val="2"/>
          </w:tcPr>
          <w:p w:rsidR="000A5B9A" w:rsidRPr="009001AB" w:rsidRDefault="000A5B9A" w:rsidP="00795D1E">
            <w:pPr>
              <w:pStyle w:val="Title2"/>
            </w:pPr>
            <w:bookmarkStart w:id="5" w:name="dtitle2" w:colFirst="0" w:colLast="0"/>
            <w:bookmarkEnd w:id="4"/>
          </w:p>
        </w:tc>
      </w:tr>
      <w:tr w:rsidR="000A5B9A" w:rsidRPr="009001AB" w:rsidTr="0050008E">
        <w:trPr>
          <w:cantSplit/>
        </w:trPr>
        <w:tc>
          <w:tcPr>
            <w:tcW w:w="10031" w:type="dxa"/>
            <w:gridSpan w:val="2"/>
          </w:tcPr>
          <w:p w:rsidR="000A5B9A" w:rsidRPr="009001AB" w:rsidRDefault="000A5B9A" w:rsidP="00795D1E">
            <w:pPr>
              <w:pStyle w:val="Agendaitem"/>
            </w:pPr>
            <w:bookmarkStart w:id="6" w:name="dtitle3" w:colFirst="0" w:colLast="0"/>
            <w:bookmarkEnd w:id="5"/>
            <w:r w:rsidRPr="009001AB">
              <w:t>Punto 1.9.1 del orden del día</w:t>
            </w:r>
          </w:p>
        </w:tc>
      </w:tr>
    </w:tbl>
    <w:bookmarkEnd w:id="6"/>
    <w:p w:rsidR="001C0E40" w:rsidRPr="009001AB" w:rsidRDefault="008B02AE" w:rsidP="00795D1E">
      <w:r w:rsidRPr="009001AB">
        <w:t>1.9</w:t>
      </w:r>
      <w:r w:rsidRPr="009001AB">
        <w:tab/>
        <w:t>consider</w:t>
      </w:r>
      <w:r w:rsidR="009001AB" w:rsidRPr="009001AB">
        <w:t>ar, con arreglo a la Resolución </w:t>
      </w:r>
      <w:r w:rsidRPr="009001AB">
        <w:rPr>
          <w:b/>
          <w:bCs/>
        </w:rPr>
        <w:t>758 (CMR-12)</w:t>
      </w:r>
      <w:r w:rsidRPr="009001AB">
        <w:t>:</w:t>
      </w:r>
    </w:p>
    <w:p w:rsidR="001C0E40" w:rsidRPr="009001AB" w:rsidRDefault="008B02AE" w:rsidP="00795D1E">
      <w:r w:rsidRPr="009001AB">
        <w:t>1.9.1</w:t>
      </w:r>
      <w:r w:rsidRPr="009001AB">
        <w:tab/>
        <w:t>posibles nuevas atribuciones al servicio fijo por satélite, en las bandas de frecuencias 7 150</w:t>
      </w:r>
      <w:r w:rsidRPr="009001AB">
        <w:noBreakHyphen/>
        <w:t>7 250 MHz (espacio-Tierra) y 8 400-8 500 MHz (Tierra-espacio), sujetas a las condiciones de compartición pertinentes;</w:t>
      </w:r>
    </w:p>
    <w:p w:rsidR="00CB3976" w:rsidRPr="009001AB" w:rsidRDefault="00CB3976" w:rsidP="00795D1E">
      <w:pPr>
        <w:pStyle w:val="Headingb"/>
      </w:pPr>
      <w:r w:rsidRPr="009001AB">
        <w:t>Introducción</w:t>
      </w:r>
    </w:p>
    <w:p w:rsidR="00CB3976" w:rsidRPr="009001AB" w:rsidRDefault="00CB3976" w:rsidP="00795D1E">
      <w:pPr>
        <w:tabs>
          <w:tab w:val="clear" w:pos="1134"/>
          <w:tab w:val="clear" w:pos="1871"/>
          <w:tab w:val="clear" w:pos="2268"/>
        </w:tabs>
        <w:overflowPunct/>
        <w:textAlignment w:val="auto"/>
        <w:rPr>
          <w:rFonts w:asciiTheme="majorBidi" w:hAnsiTheme="majorBidi" w:cstheme="majorBidi"/>
        </w:rPr>
      </w:pPr>
      <w:r w:rsidRPr="009001AB">
        <w:rPr>
          <w:rFonts w:asciiTheme="majorBidi" w:hAnsiTheme="majorBidi" w:cstheme="majorBidi"/>
        </w:rPr>
        <w:t>Los sistemas del servicio fijo por satélite tienen atribuidas</w:t>
      </w:r>
      <w:r w:rsidR="009001AB" w:rsidRPr="009001AB">
        <w:rPr>
          <w:rFonts w:asciiTheme="majorBidi" w:hAnsiTheme="majorBidi" w:cstheme="majorBidi"/>
        </w:rPr>
        <w:t xml:space="preserve"> las bandas de frecuencias de 7 250 MHz a 7 750 </w:t>
      </w:r>
      <w:r w:rsidRPr="009001AB">
        <w:rPr>
          <w:rFonts w:asciiTheme="majorBidi" w:hAnsiTheme="majorBidi" w:cstheme="majorBidi"/>
        </w:rPr>
        <w:t>MHz en e</w:t>
      </w:r>
      <w:r w:rsidR="009001AB" w:rsidRPr="009001AB">
        <w:rPr>
          <w:rFonts w:asciiTheme="majorBidi" w:hAnsiTheme="majorBidi" w:cstheme="majorBidi"/>
        </w:rPr>
        <w:t>l sentido espacio-Tierra y de 7 900 MHz a 8 400 </w:t>
      </w:r>
      <w:r w:rsidRPr="009001AB">
        <w:rPr>
          <w:rFonts w:asciiTheme="majorBidi" w:hAnsiTheme="majorBidi" w:cstheme="majorBidi"/>
        </w:rPr>
        <w:t xml:space="preserve">MHz en el sentido Tierra-espacio y se plantea la necesidad por algunas administraciones de ampliar estas atribuciones en </w:t>
      </w:r>
      <w:r w:rsidR="009001AB" w:rsidRPr="009001AB">
        <w:rPr>
          <w:rFonts w:asciiTheme="majorBidi" w:hAnsiTheme="majorBidi" w:cstheme="majorBidi"/>
        </w:rPr>
        <w:t>100 MHz a las bandas 7 150-7 250 MHz y 8 </w:t>
      </w:r>
      <w:r w:rsidRPr="009001AB">
        <w:rPr>
          <w:rFonts w:asciiTheme="majorBidi" w:hAnsiTheme="majorBidi" w:cstheme="majorBidi"/>
        </w:rPr>
        <w:t>400-8</w:t>
      </w:r>
      <w:r w:rsidR="009001AB" w:rsidRPr="009001AB">
        <w:rPr>
          <w:rFonts w:asciiTheme="majorBidi" w:hAnsiTheme="majorBidi" w:cstheme="majorBidi"/>
        </w:rPr>
        <w:t> </w:t>
      </w:r>
      <w:r w:rsidRPr="009001AB">
        <w:rPr>
          <w:rFonts w:asciiTheme="majorBidi" w:hAnsiTheme="majorBidi" w:cstheme="majorBidi"/>
        </w:rPr>
        <w:t>500</w:t>
      </w:r>
      <w:r w:rsidR="009001AB" w:rsidRPr="009001AB">
        <w:rPr>
          <w:rFonts w:asciiTheme="majorBidi" w:hAnsiTheme="majorBidi" w:cstheme="majorBidi"/>
        </w:rPr>
        <w:t> </w:t>
      </w:r>
      <w:r w:rsidRPr="009001AB">
        <w:rPr>
          <w:rFonts w:asciiTheme="majorBidi" w:hAnsiTheme="majorBidi" w:cstheme="majorBidi"/>
        </w:rPr>
        <w:t>MHz.</w:t>
      </w:r>
    </w:p>
    <w:p w:rsidR="00CB3976" w:rsidRPr="009001AB" w:rsidRDefault="00CB3976" w:rsidP="00795D1E">
      <w:pPr>
        <w:tabs>
          <w:tab w:val="clear" w:pos="1134"/>
          <w:tab w:val="clear" w:pos="1871"/>
          <w:tab w:val="clear" w:pos="2268"/>
        </w:tabs>
        <w:overflowPunct/>
        <w:textAlignment w:val="auto"/>
        <w:rPr>
          <w:rFonts w:asciiTheme="majorBidi" w:hAnsiTheme="majorBidi" w:cstheme="majorBidi"/>
        </w:rPr>
      </w:pPr>
      <w:r w:rsidRPr="009001AB">
        <w:rPr>
          <w:rFonts w:asciiTheme="majorBidi" w:hAnsiTheme="majorBidi" w:cstheme="majorBidi"/>
        </w:rPr>
        <w:t>En las bandas bajo análisis existen atribuciones al servicio de investigación espacial que operan en sentidos de transmisión opuestos a los que se proponen para la posible atribución al SFS, además el</w:t>
      </w:r>
      <w:r w:rsidR="002A4945">
        <w:rPr>
          <w:rFonts w:asciiTheme="majorBidi" w:hAnsiTheme="majorBidi" w:cstheme="majorBidi"/>
        </w:rPr>
        <w:t xml:space="preserve"> número </w:t>
      </w:r>
      <w:r w:rsidRPr="009001AB">
        <w:rPr>
          <w:rFonts w:asciiTheme="majorBidi" w:hAnsiTheme="majorBidi" w:cstheme="majorBidi"/>
        </w:rPr>
        <w:t>5.458 establ</w:t>
      </w:r>
      <w:r w:rsidR="009001AB" w:rsidRPr="009001AB">
        <w:rPr>
          <w:rFonts w:asciiTheme="majorBidi" w:hAnsiTheme="majorBidi" w:cstheme="majorBidi"/>
        </w:rPr>
        <w:t>ece que en la banda 7 075-7 250 </w:t>
      </w:r>
      <w:r w:rsidRPr="009001AB">
        <w:rPr>
          <w:rFonts w:asciiTheme="majorBidi" w:hAnsiTheme="majorBidi" w:cstheme="majorBidi"/>
        </w:rPr>
        <w:t>MHz se realizan mediciones con sensores pasivos de microondas y se menciona la conveniencia de que las administraciones tengan en cuenta las necesidades de los servicios de exploración de la Tierra por satélite (pasivo) y de investigación espacial (pasivo) en la planificación de la utilización futura de esta banda.</w:t>
      </w:r>
    </w:p>
    <w:p w:rsidR="00CB3976" w:rsidRPr="009001AB" w:rsidRDefault="00CB3976" w:rsidP="00795D1E">
      <w:pPr>
        <w:tabs>
          <w:tab w:val="clear" w:pos="1134"/>
          <w:tab w:val="clear" w:pos="1871"/>
          <w:tab w:val="clear" w:pos="2268"/>
        </w:tabs>
        <w:overflowPunct/>
        <w:textAlignment w:val="auto"/>
        <w:rPr>
          <w:rFonts w:asciiTheme="majorBidi" w:hAnsiTheme="majorBidi" w:cstheme="majorBidi"/>
        </w:rPr>
      </w:pPr>
      <w:r w:rsidRPr="009001AB">
        <w:rPr>
          <w:rFonts w:asciiTheme="majorBidi" w:hAnsiTheme="majorBidi" w:cstheme="majorBidi"/>
        </w:rPr>
        <w:t>Del análisis de los resultados de los estudios que fi</w:t>
      </w:r>
      <w:r w:rsidR="00907567" w:rsidRPr="009001AB">
        <w:rPr>
          <w:rFonts w:asciiTheme="majorBidi" w:hAnsiTheme="majorBidi" w:cstheme="majorBidi"/>
        </w:rPr>
        <w:t xml:space="preserve">guran en el </w:t>
      </w:r>
      <w:r w:rsidR="00B140BE" w:rsidRPr="009001AB">
        <w:rPr>
          <w:rFonts w:asciiTheme="majorBidi" w:hAnsiTheme="majorBidi" w:cstheme="majorBidi"/>
        </w:rPr>
        <w:t>I</w:t>
      </w:r>
      <w:r w:rsidR="00907567" w:rsidRPr="009001AB">
        <w:rPr>
          <w:rFonts w:asciiTheme="majorBidi" w:hAnsiTheme="majorBidi" w:cstheme="majorBidi"/>
        </w:rPr>
        <w:t>nforme de la RPC (M</w:t>
      </w:r>
      <w:r w:rsidRPr="009001AB">
        <w:rPr>
          <w:rFonts w:asciiTheme="majorBidi" w:hAnsiTheme="majorBidi" w:cstheme="majorBidi"/>
        </w:rPr>
        <w:t>étodos A y B) se identifican un gran número de inconvenientes que incluyen la posibilidad de causar interferencia a los futuros vehículos espaciales del SIE, así como la introducción de limitaciones en el desarrollo futuro de este servicio, por otra parte se puede añadir que los estudios no están completos y de hecho no se han podido tener en cuenta las futuras misiones tripuladas del SIE, además se establece que se requiere seguir estudiando los medios con que deberá contar la BR para examinar el cumplimiento de la máscara de</w:t>
      </w:r>
      <w:r w:rsidR="00B140BE">
        <w:rPr>
          <w:rFonts w:asciiTheme="majorBidi" w:hAnsiTheme="majorBidi" w:cstheme="majorBidi"/>
        </w:rPr>
        <w:t xml:space="preserve"> densidad de p.i.r.e. propuesta</w:t>
      </w:r>
      <w:r w:rsidRPr="009001AB">
        <w:rPr>
          <w:rFonts w:asciiTheme="majorBidi" w:hAnsiTheme="majorBidi" w:cstheme="majorBidi"/>
        </w:rPr>
        <w:t xml:space="preserve"> para las eventuales atribuciones al SFS.</w:t>
      </w:r>
    </w:p>
    <w:p w:rsidR="00CB3976" w:rsidRPr="009001AB" w:rsidRDefault="00CB3976" w:rsidP="00795D1E">
      <w:pPr>
        <w:tabs>
          <w:tab w:val="clear" w:pos="1134"/>
          <w:tab w:val="clear" w:pos="1871"/>
          <w:tab w:val="clear" w:pos="2268"/>
        </w:tabs>
        <w:overflowPunct/>
        <w:textAlignment w:val="auto"/>
        <w:rPr>
          <w:rFonts w:asciiTheme="majorBidi" w:hAnsiTheme="majorBidi" w:cstheme="majorBidi"/>
        </w:rPr>
      </w:pPr>
      <w:r w:rsidRPr="009001AB">
        <w:rPr>
          <w:rFonts w:asciiTheme="majorBidi" w:hAnsiTheme="majorBidi" w:cstheme="majorBidi"/>
        </w:rPr>
        <w:t>Estas bandas son igualmente utilizadas ampliamente</w:t>
      </w:r>
      <w:r w:rsidR="009001AB">
        <w:rPr>
          <w:rFonts w:asciiTheme="majorBidi" w:hAnsiTheme="majorBidi" w:cstheme="majorBidi"/>
        </w:rPr>
        <w:t xml:space="preserve"> </w:t>
      </w:r>
      <w:r w:rsidRPr="009001AB">
        <w:rPr>
          <w:rFonts w:asciiTheme="majorBidi" w:hAnsiTheme="majorBidi" w:cstheme="majorBidi"/>
        </w:rPr>
        <w:t>para redes del servicio fijo que requerirían distancias de coordinación que pueden ser extensas para la compartición con las estaciones terrenas del SFS.</w:t>
      </w:r>
    </w:p>
    <w:p w:rsidR="00CB3976" w:rsidRPr="009001AB" w:rsidRDefault="00CB3976" w:rsidP="00795D1E">
      <w:pPr>
        <w:tabs>
          <w:tab w:val="clear" w:pos="1134"/>
          <w:tab w:val="clear" w:pos="1871"/>
          <w:tab w:val="clear" w:pos="2268"/>
        </w:tabs>
        <w:overflowPunct/>
        <w:textAlignment w:val="auto"/>
        <w:rPr>
          <w:rFonts w:asciiTheme="majorBidi" w:hAnsiTheme="majorBidi" w:cstheme="majorBidi"/>
        </w:rPr>
      </w:pPr>
      <w:r w:rsidRPr="009001AB">
        <w:rPr>
          <w:rFonts w:asciiTheme="majorBidi" w:hAnsiTheme="majorBidi" w:cstheme="majorBidi"/>
        </w:rPr>
        <w:lastRenderedPageBreak/>
        <w:t>Partiendo de lo anterior la Administración de Cuba es de la opinión que no existen las condiciones que justifiquen la atribución al SFS y somete, en correspondencia con dicha opinión, la siguiente propuesta:</w:t>
      </w:r>
    </w:p>
    <w:p w:rsidR="00CB3976" w:rsidRPr="009001AB" w:rsidRDefault="00CB3976" w:rsidP="00795D1E">
      <w:pPr>
        <w:pStyle w:val="ArtNo"/>
      </w:pPr>
      <w:r w:rsidRPr="009001AB">
        <w:t xml:space="preserve">ARTÍCULO </w:t>
      </w:r>
      <w:r w:rsidRPr="009001AB">
        <w:rPr>
          <w:rStyle w:val="href"/>
        </w:rPr>
        <w:t>5</w:t>
      </w:r>
    </w:p>
    <w:p w:rsidR="00CB3976" w:rsidRPr="009001AB" w:rsidRDefault="00CB3976" w:rsidP="00795D1E">
      <w:pPr>
        <w:pStyle w:val="Arttitle"/>
      </w:pPr>
      <w:r w:rsidRPr="009001AB">
        <w:t>Atribuciones de frecuencia</w:t>
      </w:r>
    </w:p>
    <w:p w:rsidR="00CB3976" w:rsidRPr="009001AB" w:rsidRDefault="00CB3976" w:rsidP="00795D1E">
      <w:pPr>
        <w:pStyle w:val="Section1"/>
      </w:pPr>
      <w:r w:rsidRPr="009001AB">
        <w:t>Sección IV – Cuadro de atribución de bandas de frecuencias</w:t>
      </w:r>
      <w:r w:rsidRPr="009001AB">
        <w:br/>
      </w:r>
      <w:r w:rsidRPr="009001AB">
        <w:rPr>
          <w:b w:val="0"/>
          <w:bCs/>
        </w:rPr>
        <w:t>(Véase el número</w:t>
      </w:r>
      <w:r w:rsidRPr="009001AB">
        <w:t xml:space="preserve"> </w:t>
      </w:r>
      <w:r w:rsidRPr="009001AB">
        <w:rPr>
          <w:rStyle w:val="Artref"/>
        </w:rPr>
        <w:t>2.1</w:t>
      </w:r>
      <w:r w:rsidRPr="009001AB">
        <w:rPr>
          <w:b w:val="0"/>
          <w:bCs/>
        </w:rPr>
        <w:t>)</w:t>
      </w:r>
      <w:r w:rsidRPr="009001AB">
        <w:br/>
      </w:r>
      <w:r w:rsidR="00EC1833">
        <w:br/>
      </w:r>
    </w:p>
    <w:p w:rsidR="00CB3976" w:rsidRPr="009001AB" w:rsidRDefault="00CB3976" w:rsidP="00795D1E">
      <w:pPr>
        <w:pStyle w:val="Proposal"/>
      </w:pPr>
      <w:r w:rsidRPr="009001AB">
        <w:rPr>
          <w:u w:val="single"/>
        </w:rPr>
        <w:t>NOC</w:t>
      </w:r>
      <w:r w:rsidRPr="009001AB">
        <w:tab/>
        <w:t>CUB/</w:t>
      </w:r>
      <w:r w:rsidR="009001AB" w:rsidRPr="009001AB">
        <w:t>66</w:t>
      </w:r>
      <w:r w:rsidRPr="009001AB">
        <w:t>A9A1/1</w:t>
      </w:r>
    </w:p>
    <w:p w:rsidR="00CB3976" w:rsidRPr="009001AB" w:rsidRDefault="009001AB" w:rsidP="00795D1E">
      <w:pPr>
        <w:pStyle w:val="Tabletitle"/>
      </w:pPr>
      <w:r w:rsidRPr="009001AB">
        <w:t>5 570-7 250</w:t>
      </w:r>
      <w:r w:rsidR="00CB3976" w:rsidRPr="009001AB">
        <w:t> MHz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8"/>
        <w:gridCol w:w="3108"/>
        <w:gridCol w:w="3110"/>
      </w:tblGrid>
      <w:tr w:rsidR="00CB3976" w:rsidRPr="009001AB" w:rsidTr="00163EEA">
        <w:trPr>
          <w:cantSplit/>
          <w:trHeight w:val="71"/>
          <w:jc w:val="center"/>
        </w:trPr>
        <w:tc>
          <w:tcPr>
            <w:tcW w:w="9326" w:type="dxa"/>
            <w:gridSpan w:val="3"/>
          </w:tcPr>
          <w:p w:rsidR="00CB3976" w:rsidRPr="009001AB" w:rsidRDefault="00CB3976" w:rsidP="00795D1E">
            <w:pPr>
              <w:pStyle w:val="Tablehead"/>
            </w:pPr>
            <w:r w:rsidRPr="009001AB">
              <w:t>Atribución a los servicios</w:t>
            </w:r>
          </w:p>
        </w:tc>
      </w:tr>
      <w:tr w:rsidR="00CB3976" w:rsidRPr="009001AB" w:rsidTr="00163EEA">
        <w:trPr>
          <w:cantSplit/>
          <w:trHeight w:val="71"/>
          <w:jc w:val="center"/>
        </w:trPr>
        <w:tc>
          <w:tcPr>
            <w:tcW w:w="3108" w:type="dxa"/>
          </w:tcPr>
          <w:p w:rsidR="00CB3976" w:rsidRPr="009001AB" w:rsidRDefault="009001AB" w:rsidP="00795D1E">
            <w:pPr>
              <w:pStyle w:val="Tablehead"/>
            </w:pPr>
            <w:r w:rsidRPr="009001AB">
              <w:t>Región </w:t>
            </w:r>
            <w:r w:rsidR="00CB3976" w:rsidRPr="009001AB">
              <w:t>1</w:t>
            </w:r>
          </w:p>
        </w:tc>
        <w:tc>
          <w:tcPr>
            <w:tcW w:w="3108" w:type="dxa"/>
          </w:tcPr>
          <w:p w:rsidR="00CB3976" w:rsidRPr="009001AB" w:rsidRDefault="009001AB" w:rsidP="00795D1E">
            <w:pPr>
              <w:pStyle w:val="Tablehead"/>
            </w:pPr>
            <w:r w:rsidRPr="009001AB">
              <w:t>Región </w:t>
            </w:r>
            <w:r w:rsidR="00CB3976" w:rsidRPr="009001AB">
              <w:t>2</w:t>
            </w:r>
          </w:p>
        </w:tc>
        <w:tc>
          <w:tcPr>
            <w:tcW w:w="3110" w:type="dxa"/>
          </w:tcPr>
          <w:p w:rsidR="00CB3976" w:rsidRPr="009001AB" w:rsidRDefault="009001AB" w:rsidP="00795D1E">
            <w:pPr>
              <w:pStyle w:val="Tablehead"/>
            </w:pPr>
            <w:r w:rsidRPr="009001AB">
              <w:t>Región </w:t>
            </w:r>
            <w:r w:rsidR="00CB3976" w:rsidRPr="009001AB">
              <w:t>3</w:t>
            </w:r>
          </w:p>
        </w:tc>
      </w:tr>
      <w:tr w:rsidR="00CB3976" w:rsidRPr="009001AB" w:rsidTr="00163EEA">
        <w:trPr>
          <w:cantSplit/>
          <w:trHeight w:val="474"/>
          <w:jc w:val="center"/>
        </w:trPr>
        <w:tc>
          <w:tcPr>
            <w:tcW w:w="9326" w:type="dxa"/>
            <w:gridSpan w:val="3"/>
          </w:tcPr>
          <w:p w:rsidR="00CB3976" w:rsidRPr="009001AB" w:rsidRDefault="00CB3976" w:rsidP="00795D1E">
            <w:pPr>
              <w:pStyle w:val="TableTextS5"/>
              <w:keepNext/>
              <w:spacing w:before="20" w:after="20"/>
              <w:rPr>
                <w:color w:val="000000"/>
              </w:rPr>
            </w:pPr>
            <w:r w:rsidRPr="009001AB">
              <w:rPr>
                <w:color w:val="000000"/>
              </w:rPr>
              <w:t xml:space="preserve"> </w:t>
            </w:r>
            <w:r w:rsidRPr="009001AB">
              <w:rPr>
                <w:b/>
                <w:bCs/>
                <w:color w:val="000000"/>
              </w:rPr>
              <w:t>7</w:t>
            </w:r>
            <w:r w:rsidR="009001AB" w:rsidRPr="009001AB">
              <w:rPr>
                <w:b/>
                <w:bCs/>
                <w:color w:val="000000"/>
              </w:rPr>
              <w:t> 145-7 </w:t>
            </w:r>
            <w:r w:rsidRPr="009001AB">
              <w:rPr>
                <w:b/>
                <w:bCs/>
                <w:color w:val="000000"/>
              </w:rPr>
              <w:t>235</w:t>
            </w:r>
            <w:r w:rsidR="009001AB">
              <w:rPr>
                <w:color w:val="000000"/>
              </w:rPr>
              <w:tab/>
            </w:r>
            <w:r w:rsidRPr="009001AB">
              <w:rPr>
                <w:color w:val="000000"/>
              </w:rPr>
              <w:t>FIJO</w:t>
            </w:r>
          </w:p>
          <w:p w:rsidR="00CB3976" w:rsidRPr="009001AB" w:rsidRDefault="002A4945" w:rsidP="00795D1E">
            <w:pPr>
              <w:pStyle w:val="TableTextS5"/>
              <w:keepNext/>
              <w:spacing w:before="20" w:after="20"/>
              <w:ind w:left="170" w:hanging="170"/>
              <w:rPr>
                <w:color w:val="000000"/>
              </w:rPr>
            </w:pPr>
            <w:r>
              <w:rPr>
                <w:color w:val="000000"/>
              </w:rPr>
              <w:tab/>
            </w:r>
            <w:r>
              <w:rPr>
                <w:color w:val="000000"/>
              </w:rPr>
              <w:tab/>
            </w:r>
            <w:r>
              <w:rPr>
                <w:color w:val="000000"/>
              </w:rPr>
              <w:tab/>
            </w:r>
            <w:r>
              <w:rPr>
                <w:color w:val="000000"/>
              </w:rPr>
              <w:tab/>
            </w:r>
            <w:r w:rsidR="00CB3976" w:rsidRPr="009001AB">
              <w:rPr>
                <w:color w:val="000000"/>
              </w:rPr>
              <w:t>MÓVIL</w:t>
            </w:r>
          </w:p>
          <w:p w:rsidR="00CB3976" w:rsidRPr="009001AB" w:rsidRDefault="002A4945" w:rsidP="00795D1E">
            <w:pPr>
              <w:pStyle w:val="TableTextS5"/>
              <w:keepNext/>
              <w:spacing w:before="20" w:after="20"/>
              <w:ind w:left="170" w:hanging="170"/>
              <w:rPr>
                <w:color w:val="000000"/>
              </w:rPr>
            </w:pPr>
            <w:r>
              <w:rPr>
                <w:color w:val="000000"/>
              </w:rPr>
              <w:tab/>
            </w:r>
            <w:r>
              <w:rPr>
                <w:color w:val="000000"/>
              </w:rPr>
              <w:tab/>
            </w:r>
            <w:r>
              <w:rPr>
                <w:color w:val="000000"/>
              </w:rPr>
              <w:tab/>
            </w:r>
            <w:r>
              <w:rPr>
                <w:color w:val="000000"/>
              </w:rPr>
              <w:tab/>
            </w:r>
            <w:r w:rsidR="00CB3976" w:rsidRPr="009001AB">
              <w:rPr>
                <w:color w:val="000000"/>
              </w:rPr>
              <w:t>INVESTIGACIÓN ESPACIAL (Tierra-espacio)  5.460</w:t>
            </w:r>
          </w:p>
          <w:p w:rsidR="00CB3976" w:rsidRPr="009001AB" w:rsidRDefault="002A4945" w:rsidP="00795D1E">
            <w:pPr>
              <w:pStyle w:val="TableTextS5"/>
              <w:keepNext/>
              <w:spacing w:before="20" w:after="20"/>
              <w:ind w:left="170" w:hanging="170"/>
              <w:rPr>
                <w:b/>
                <w:color w:val="000000"/>
              </w:rPr>
            </w:pPr>
            <w:r>
              <w:rPr>
                <w:color w:val="000000"/>
              </w:rPr>
              <w:tab/>
            </w:r>
            <w:r>
              <w:rPr>
                <w:color w:val="000000"/>
              </w:rPr>
              <w:tab/>
            </w:r>
            <w:r>
              <w:rPr>
                <w:color w:val="000000"/>
              </w:rPr>
              <w:tab/>
            </w:r>
            <w:r>
              <w:rPr>
                <w:color w:val="000000"/>
              </w:rPr>
              <w:tab/>
            </w:r>
            <w:r w:rsidR="00CB3976" w:rsidRPr="009001AB">
              <w:rPr>
                <w:color w:val="000000"/>
              </w:rPr>
              <w:t>5.458  5.459</w:t>
            </w:r>
          </w:p>
        </w:tc>
      </w:tr>
      <w:tr w:rsidR="00CB3976" w:rsidRPr="009001AB" w:rsidTr="00163EEA">
        <w:trPr>
          <w:cantSplit/>
          <w:trHeight w:val="474"/>
          <w:jc w:val="center"/>
        </w:trPr>
        <w:tc>
          <w:tcPr>
            <w:tcW w:w="9326" w:type="dxa"/>
            <w:gridSpan w:val="3"/>
            <w:tcBorders>
              <w:top w:val="single" w:sz="6" w:space="0" w:color="auto"/>
              <w:left w:val="single" w:sz="6" w:space="0" w:color="auto"/>
              <w:bottom w:val="single" w:sz="6" w:space="0" w:color="auto"/>
              <w:right w:val="single" w:sz="6" w:space="0" w:color="auto"/>
            </w:tcBorders>
          </w:tcPr>
          <w:p w:rsidR="00CB3976" w:rsidRPr="009001AB" w:rsidRDefault="009001AB" w:rsidP="00795D1E">
            <w:pPr>
              <w:pStyle w:val="TableTextS5"/>
              <w:keepNext/>
              <w:spacing w:before="20" w:after="20"/>
              <w:rPr>
                <w:color w:val="000000"/>
              </w:rPr>
            </w:pPr>
            <w:r w:rsidRPr="009001AB">
              <w:rPr>
                <w:b/>
                <w:bCs/>
                <w:color w:val="000000"/>
              </w:rPr>
              <w:t>7 235-7 </w:t>
            </w:r>
            <w:r w:rsidR="00CB3976" w:rsidRPr="009001AB">
              <w:rPr>
                <w:b/>
                <w:bCs/>
                <w:color w:val="000000"/>
              </w:rPr>
              <w:t>250</w:t>
            </w:r>
            <w:r w:rsidR="002A4945">
              <w:rPr>
                <w:color w:val="000000"/>
              </w:rPr>
              <w:tab/>
            </w:r>
            <w:r w:rsidR="00CB3976" w:rsidRPr="009001AB">
              <w:rPr>
                <w:color w:val="000000"/>
              </w:rPr>
              <w:t>FIJO</w:t>
            </w:r>
          </w:p>
          <w:p w:rsidR="00CB3976" w:rsidRPr="009001AB" w:rsidRDefault="00CB3976" w:rsidP="00795D1E">
            <w:pPr>
              <w:pStyle w:val="TableTextS5"/>
              <w:keepNext/>
              <w:spacing w:before="20" w:after="20"/>
              <w:rPr>
                <w:color w:val="000000"/>
              </w:rPr>
            </w:pPr>
            <w:r w:rsidRPr="009001AB">
              <w:rPr>
                <w:color w:val="000000"/>
              </w:rPr>
              <w:t xml:space="preserve"> </w:t>
            </w:r>
            <w:r w:rsidR="002A4945">
              <w:rPr>
                <w:color w:val="000000"/>
              </w:rPr>
              <w:tab/>
            </w:r>
            <w:r w:rsidR="002A4945">
              <w:rPr>
                <w:color w:val="000000"/>
              </w:rPr>
              <w:tab/>
            </w:r>
            <w:r w:rsidR="002A4945">
              <w:rPr>
                <w:color w:val="000000"/>
              </w:rPr>
              <w:tab/>
            </w:r>
            <w:r w:rsidR="002A4945">
              <w:rPr>
                <w:color w:val="000000"/>
              </w:rPr>
              <w:tab/>
            </w:r>
            <w:r w:rsidRPr="009001AB">
              <w:rPr>
                <w:color w:val="000000"/>
              </w:rPr>
              <w:t xml:space="preserve">MÓVIL </w:t>
            </w:r>
          </w:p>
          <w:p w:rsidR="00CB3976" w:rsidRPr="009001AB" w:rsidRDefault="002A4945" w:rsidP="00795D1E">
            <w:pPr>
              <w:pStyle w:val="TableTextS5"/>
              <w:keepNext/>
              <w:spacing w:before="20" w:after="20"/>
              <w:rPr>
                <w:color w:val="000000"/>
              </w:rPr>
            </w:pPr>
            <w:r>
              <w:rPr>
                <w:color w:val="000000"/>
              </w:rPr>
              <w:tab/>
            </w:r>
            <w:r>
              <w:rPr>
                <w:color w:val="000000"/>
              </w:rPr>
              <w:tab/>
            </w:r>
            <w:r>
              <w:rPr>
                <w:color w:val="000000"/>
              </w:rPr>
              <w:tab/>
            </w:r>
            <w:r>
              <w:rPr>
                <w:color w:val="000000"/>
              </w:rPr>
              <w:tab/>
            </w:r>
            <w:r w:rsidR="00CB3976" w:rsidRPr="009001AB">
              <w:rPr>
                <w:color w:val="000000"/>
              </w:rPr>
              <w:t xml:space="preserve">5.458  </w:t>
            </w:r>
          </w:p>
        </w:tc>
      </w:tr>
    </w:tbl>
    <w:p w:rsidR="00CB3976" w:rsidRPr="009001AB" w:rsidRDefault="00CB3976" w:rsidP="00795D1E">
      <w:pPr>
        <w:pStyle w:val="Proposal"/>
      </w:pPr>
      <w:r w:rsidRPr="009001AB">
        <w:rPr>
          <w:u w:val="single"/>
        </w:rPr>
        <w:t>NOC</w:t>
      </w:r>
      <w:r w:rsidRPr="009001AB">
        <w:tab/>
        <w:t>CUB/</w:t>
      </w:r>
      <w:r w:rsidR="009001AB" w:rsidRPr="009001AB">
        <w:t>66</w:t>
      </w:r>
      <w:r w:rsidRPr="009001AB">
        <w:t>A9A1/2</w:t>
      </w:r>
    </w:p>
    <w:p w:rsidR="00CB3976" w:rsidRPr="009001AB" w:rsidRDefault="002A4945" w:rsidP="00795D1E">
      <w:pPr>
        <w:pStyle w:val="Tabletitle"/>
      </w:pPr>
      <w:r>
        <w:t>7 250-8 </w:t>
      </w:r>
      <w:r w:rsidR="00CB3976" w:rsidRPr="009001AB">
        <w:t>500  MHz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8"/>
        <w:gridCol w:w="3108"/>
        <w:gridCol w:w="3110"/>
      </w:tblGrid>
      <w:tr w:rsidR="00CB3976" w:rsidRPr="009001AB" w:rsidTr="00163EEA">
        <w:trPr>
          <w:cantSplit/>
          <w:trHeight w:val="71"/>
          <w:jc w:val="center"/>
        </w:trPr>
        <w:tc>
          <w:tcPr>
            <w:tcW w:w="9326" w:type="dxa"/>
            <w:gridSpan w:val="3"/>
          </w:tcPr>
          <w:p w:rsidR="00CB3976" w:rsidRPr="009001AB" w:rsidRDefault="00CB3976" w:rsidP="00795D1E">
            <w:pPr>
              <w:pStyle w:val="Tablehead"/>
            </w:pPr>
            <w:r w:rsidRPr="009001AB">
              <w:t>Atribución a los servicios</w:t>
            </w:r>
          </w:p>
        </w:tc>
      </w:tr>
      <w:tr w:rsidR="00CB3976" w:rsidRPr="009001AB" w:rsidTr="00163EEA">
        <w:trPr>
          <w:cantSplit/>
          <w:trHeight w:val="71"/>
          <w:jc w:val="center"/>
        </w:trPr>
        <w:tc>
          <w:tcPr>
            <w:tcW w:w="3108" w:type="dxa"/>
          </w:tcPr>
          <w:p w:rsidR="00CB3976" w:rsidRPr="009001AB" w:rsidRDefault="009001AB" w:rsidP="00795D1E">
            <w:pPr>
              <w:pStyle w:val="Tablehead"/>
            </w:pPr>
            <w:r w:rsidRPr="009001AB">
              <w:t>Región </w:t>
            </w:r>
            <w:r w:rsidR="00CB3976" w:rsidRPr="009001AB">
              <w:t>1</w:t>
            </w:r>
          </w:p>
        </w:tc>
        <w:tc>
          <w:tcPr>
            <w:tcW w:w="3108" w:type="dxa"/>
          </w:tcPr>
          <w:p w:rsidR="00CB3976" w:rsidRPr="009001AB" w:rsidRDefault="009001AB" w:rsidP="00795D1E">
            <w:pPr>
              <w:pStyle w:val="Tablehead"/>
            </w:pPr>
            <w:r w:rsidRPr="009001AB">
              <w:t>Región </w:t>
            </w:r>
            <w:r w:rsidR="00CB3976" w:rsidRPr="009001AB">
              <w:t>2</w:t>
            </w:r>
          </w:p>
        </w:tc>
        <w:tc>
          <w:tcPr>
            <w:tcW w:w="3110" w:type="dxa"/>
          </w:tcPr>
          <w:p w:rsidR="00CB3976" w:rsidRPr="009001AB" w:rsidRDefault="00CB3976" w:rsidP="00795D1E">
            <w:pPr>
              <w:pStyle w:val="Tablehead"/>
            </w:pPr>
            <w:r w:rsidRPr="009001AB">
              <w:t>Región</w:t>
            </w:r>
            <w:r w:rsidR="009001AB" w:rsidRPr="009001AB">
              <w:t> </w:t>
            </w:r>
            <w:r w:rsidRPr="009001AB">
              <w:t>3</w:t>
            </w:r>
          </w:p>
        </w:tc>
      </w:tr>
      <w:tr w:rsidR="00CB3976" w:rsidRPr="009001AB" w:rsidTr="00163EEA">
        <w:trPr>
          <w:cantSplit/>
          <w:trHeight w:val="474"/>
          <w:jc w:val="center"/>
        </w:trPr>
        <w:tc>
          <w:tcPr>
            <w:tcW w:w="9326" w:type="dxa"/>
            <w:gridSpan w:val="3"/>
          </w:tcPr>
          <w:p w:rsidR="00CB3976" w:rsidRPr="009001AB" w:rsidRDefault="00CB3976" w:rsidP="00795D1E">
            <w:pPr>
              <w:pStyle w:val="TableTextS5"/>
              <w:keepNext/>
              <w:spacing w:before="20" w:after="20"/>
              <w:rPr>
                <w:color w:val="000000"/>
              </w:rPr>
            </w:pPr>
            <w:r w:rsidRPr="009001AB">
              <w:rPr>
                <w:color w:val="000000"/>
              </w:rPr>
              <w:t xml:space="preserve"> </w:t>
            </w:r>
            <w:r w:rsidR="009001AB" w:rsidRPr="009001AB">
              <w:rPr>
                <w:b/>
                <w:bCs/>
                <w:color w:val="000000"/>
              </w:rPr>
              <w:t>8 400-8 </w:t>
            </w:r>
            <w:r w:rsidRPr="009001AB">
              <w:rPr>
                <w:b/>
                <w:bCs/>
                <w:color w:val="000000"/>
              </w:rPr>
              <w:t>500</w:t>
            </w:r>
            <w:r w:rsidR="002A4945">
              <w:rPr>
                <w:color w:val="000000"/>
              </w:rPr>
              <w:tab/>
            </w:r>
            <w:r w:rsidRPr="009001AB">
              <w:rPr>
                <w:color w:val="000000"/>
              </w:rPr>
              <w:t>FIJO</w:t>
            </w:r>
          </w:p>
          <w:p w:rsidR="00CB3976" w:rsidRPr="009001AB" w:rsidRDefault="002A4945" w:rsidP="00795D1E">
            <w:pPr>
              <w:pStyle w:val="TableTextS5"/>
              <w:keepNext/>
              <w:spacing w:before="20" w:after="20"/>
              <w:ind w:left="170" w:hanging="170"/>
              <w:rPr>
                <w:color w:val="000000"/>
              </w:rPr>
            </w:pPr>
            <w:r>
              <w:rPr>
                <w:color w:val="000000"/>
              </w:rPr>
              <w:tab/>
            </w:r>
            <w:r>
              <w:rPr>
                <w:color w:val="000000"/>
              </w:rPr>
              <w:tab/>
            </w:r>
            <w:r>
              <w:rPr>
                <w:color w:val="000000"/>
              </w:rPr>
              <w:tab/>
            </w:r>
            <w:r>
              <w:rPr>
                <w:color w:val="000000"/>
              </w:rPr>
              <w:tab/>
            </w:r>
            <w:r w:rsidR="00CB3976" w:rsidRPr="009001AB">
              <w:rPr>
                <w:color w:val="000000"/>
              </w:rPr>
              <w:t>MÓVIL salvo móvil aeronáutico</w:t>
            </w:r>
          </w:p>
          <w:p w:rsidR="00CB3976" w:rsidRPr="009001AB" w:rsidRDefault="002A4945" w:rsidP="00795D1E">
            <w:pPr>
              <w:pStyle w:val="TableTextS5"/>
              <w:keepNext/>
              <w:spacing w:before="20" w:after="20"/>
              <w:ind w:left="170" w:hanging="170"/>
              <w:rPr>
                <w:color w:val="000000"/>
              </w:rPr>
            </w:pPr>
            <w:r>
              <w:rPr>
                <w:color w:val="000000"/>
              </w:rPr>
              <w:tab/>
            </w:r>
            <w:r>
              <w:rPr>
                <w:color w:val="000000"/>
              </w:rPr>
              <w:tab/>
            </w:r>
            <w:r>
              <w:rPr>
                <w:color w:val="000000"/>
              </w:rPr>
              <w:tab/>
            </w:r>
            <w:r>
              <w:rPr>
                <w:color w:val="000000"/>
              </w:rPr>
              <w:tab/>
            </w:r>
            <w:r w:rsidR="00CB3976" w:rsidRPr="009001AB">
              <w:rPr>
                <w:color w:val="000000"/>
              </w:rPr>
              <w:t>INVESTIGACIÓN ESPACIAL (espacio-Tierra)  5.465  5.466</w:t>
            </w:r>
          </w:p>
        </w:tc>
      </w:tr>
    </w:tbl>
    <w:p w:rsidR="00CB3976" w:rsidRPr="009001AB" w:rsidRDefault="00CB3976" w:rsidP="00795D1E">
      <w:pPr>
        <w:pStyle w:val="Reasons"/>
      </w:pPr>
      <w:r w:rsidRPr="009001AB">
        <w:rPr>
          <w:b/>
        </w:rPr>
        <w:t>Motivos:</w:t>
      </w:r>
      <w:r w:rsidRPr="009001AB">
        <w:tab/>
        <w:t>Los estudios no están completos y arroj</w:t>
      </w:r>
      <w:r w:rsidR="009001AB">
        <w:t xml:space="preserve">an un número de inconvenientes </w:t>
      </w:r>
      <w:r w:rsidRPr="009001AB">
        <w:t>importantes para la atribución del SFS en las band</w:t>
      </w:r>
      <w:r w:rsidR="009001AB">
        <w:t>as de frecuencias consideradas.</w:t>
      </w:r>
    </w:p>
    <w:p w:rsidR="00CB3976" w:rsidRPr="009001AB" w:rsidRDefault="009001AB" w:rsidP="00795D1E">
      <w:pPr>
        <w:pStyle w:val="Proposal"/>
      </w:pPr>
      <w:r w:rsidRPr="009001AB">
        <w:t>SUP</w:t>
      </w:r>
      <w:r w:rsidRPr="009001AB">
        <w:tab/>
        <w:t>CUB/66</w:t>
      </w:r>
      <w:r w:rsidR="00CB3976" w:rsidRPr="009001AB">
        <w:t>A9A1/3</w:t>
      </w:r>
    </w:p>
    <w:p w:rsidR="00CB3976" w:rsidRPr="009001AB" w:rsidRDefault="00CB3976" w:rsidP="00795D1E">
      <w:pPr>
        <w:pStyle w:val="ResNo"/>
      </w:pPr>
      <w:r w:rsidRPr="009001AB">
        <w:t xml:space="preserve">RESOLUCIÓN </w:t>
      </w:r>
      <w:r w:rsidRPr="009001AB">
        <w:rPr>
          <w:rStyle w:val="href"/>
        </w:rPr>
        <w:t>758</w:t>
      </w:r>
      <w:r w:rsidRPr="009001AB">
        <w:t xml:space="preserve"> (CMR-12)</w:t>
      </w:r>
    </w:p>
    <w:p w:rsidR="00CB3976" w:rsidRPr="009001AB" w:rsidRDefault="00CB3976" w:rsidP="00795D1E">
      <w:pPr>
        <w:pStyle w:val="Restitle"/>
        <w:rPr>
          <w:szCs w:val="24"/>
        </w:rPr>
      </w:pPr>
      <w:r w:rsidRPr="009001AB">
        <w:t>Atribución al servicio fijo por satélite y al servicio móvil marítimo</w:t>
      </w:r>
      <w:r w:rsidR="00795D1E">
        <w:br/>
      </w:r>
      <w:r w:rsidR="009001AB">
        <w:t>por satélite en la gama 7/8 </w:t>
      </w:r>
      <w:r w:rsidRPr="009001AB">
        <w:t>GHz</w:t>
      </w:r>
    </w:p>
    <w:p w:rsidR="00CB3976" w:rsidRDefault="00CB3976" w:rsidP="00795D1E">
      <w:pPr>
        <w:pStyle w:val="Reasons"/>
      </w:pPr>
      <w:r w:rsidRPr="002A4945">
        <w:rPr>
          <w:b/>
          <w:bCs/>
        </w:rPr>
        <w:t>Motivos</w:t>
      </w:r>
      <w:r w:rsidRPr="002A4945">
        <w:t>:</w:t>
      </w:r>
      <w:r w:rsidRPr="002A4945">
        <w:tab/>
        <w:t>Ya no es necesaria</w:t>
      </w:r>
      <w:r w:rsidR="002A4945" w:rsidRPr="002A4945">
        <w:t>.</w:t>
      </w:r>
    </w:p>
    <w:p w:rsidR="00B140BE" w:rsidRPr="002A4945" w:rsidRDefault="00B140BE" w:rsidP="00795D1E">
      <w:pPr>
        <w:pStyle w:val="Reasons"/>
      </w:pPr>
    </w:p>
    <w:p w:rsidR="00CB3976" w:rsidRPr="009001AB" w:rsidRDefault="00CB3976" w:rsidP="00795D1E">
      <w:pPr>
        <w:jc w:val="center"/>
      </w:pPr>
      <w:r w:rsidRPr="009001AB">
        <w:t>______________</w:t>
      </w:r>
    </w:p>
    <w:sectPr w:rsidR="00CB3976" w:rsidRPr="009001AB">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95D1E" w:rsidRDefault="0077084A">
    <w:pPr>
      <w:ind w:right="360"/>
    </w:pPr>
    <w:r>
      <w:fldChar w:fldCharType="begin"/>
    </w:r>
    <w:r w:rsidRPr="00795D1E">
      <w:instrText xml:space="preserve"> FILENAME \p  \* MERGEFORMAT </w:instrText>
    </w:r>
    <w:r>
      <w:fldChar w:fldCharType="separate"/>
    </w:r>
    <w:r w:rsidR="00EC1833">
      <w:rPr>
        <w:noProof/>
      </w:rPr>
      <w:t>P:\ESP\ITU-R\CONF-R\CMR15\000\066ADD09ADD01S.docx</w:t>
    </w:r>
    <w:r>
      <w:fldChar w:fldCharType="end"/>
    </w:r>
    <w:r w:rsidRPr="00795D1E">
      <w:tab/>
    </w:r>
    <w:r>
      <w:fldChar w:fldCharType="begin"/>
    </w:r>
    <w:r>
      <w:instrText xml:space="preserve"> SAVEDATE \@ DD.MM.YY </w:instrText>
    </w:r>
    <w:r>
      <w:fldChar w:fldCharType="separate"/>
    </w:r>
    <w:r w:rsidR="00EC1833">
      <w:rPr>
        <w:noProof/>
      </w:rPr>
      <w:t>27.10.15</w:t>
    </w:r>
    <w:r>
      <w:fldChar w:fldCharType="end"/>
    </w:r>
    <w:r w:rsidRPr="00795D1E">
      <w:tab/>
    </w:r>
    <w:r>
      <w:fldChar w:fldCharType="begin"/>
    </w:r>
    <w:r>
      <w:instrText xml:space="preserve"> PRINTDATE \@ DD.MM.YY </w:instrText>
    </w:r>
    <w:r>
      <w:fldChar w:fldCharType="separate"/>
    </w:r>
    <w:r w:rsidR="00EC1833">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67" w:rsidRDefault="00907567" w:rsidP="00907567">
    <w:pPr>
      <w:pStyle w:val="Footer"/>
    </w:pPr>
    <w:fldSimple w:instr=" FILENAME \p  \* MERGEFORMAT ">
      <w:r w:rsidR="00EC1833">
        <w:t>P:\ESP\ITU-R\CONF-R\CMR15\000\066ADD09ADD01S.docx</w:t>
      </w:r>
    </w:fldSimple>
    <w:r w:rsidR="00B140BE">
      <w:t xml:space="preserve"> </w:t>
    </w:r>
    <w:r w:rsidR="00B140BE">
      <w:t>(388388)</w:t>
    </w:r>
    <w:r>
      <w:tab/>
    </w:r>
    <w:r>
      <w:fldChar w:fldCharType="begin"/>
    </w:r>
    <w:r>
      <w:instrText xml:space="preserve"> SAVEDATE \@ DD.MM.YY </w:instrText>
    </w:r>
    <w:r>
      <w:fldChar w:fldCharType="separate"/>
    </w:r>
    <w:r w:rsidR="00EC1833">
      <w:t>27.10.15</w:t>
    </w:r>
    <w:r>
      <w:fldChar w:fldCharType="end"/>
    </w:r>
    <w:r>
      <w:tab/>
    </w:r>
    <w:r>
      <w:fldChar w:fldCharType="begin"/>
    </w:r>
    <w:r>
      <w:instrText xml:space="preserve"> PRINTDATE \@ DD.MM.YY </w:instrText>
    </w:r>
    <w:r>
      <w:fldChar w:fldCharType="separate"/>
    </w:r>
    <w:r w:rsidR="00EC1833">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67" w:rsidRDefault="00B140BE">
    <w:pPr>
      <w:pStyle w:val="Footer"/>
    </w:pPr>
    <w:r>
      <w:fldChar w:fldCharType="begin"/>
    </w:r>
    <w:r>
      <w:instrText xml:space="preserve"> FILENAME \p  \* MERGEFORMAT </w:instrText>
    </w:r>
    <w:r>
      <w:fldChar w:fldCharType="separate"/>
    </w:r>
    <w:r w:rsidR="00EC1833">
      <w:t>P:\ESP\ITU-R\CONF-R\CMR15\000\066ADD09ADD01S.docx</w:t>
    </w:r>
    <w:r>
      <w:fldChar w:fldCharType="end"/>
    </w:r>
    <w:r>
      <w:t xml:space="preserve"> (388388)</w:t>
    </w:r>
    <w:r w:rsidR="00907567">
      <w:tab/>
    </w:r>
    <w:r w:rsidR="00907567">
      <w:fldChar w:fldCharType="begin"/>
    </w:r>
    <w:r w:rsidR="00907567">
      <w:instrText xml:space="preserve"> SAVEDATE \@ DD.MM.YY </w:instrText>
    </w:r>
    <w:r w:rsidR="00907567">
      <w:fldChar w:fldCharType="separate"/>
    </w:r>
    <w:r w:rsidR="00EC1833">
      <w:t>27.10.15</w:t>
    </w:r>
    <w:r w:rsidR="00907567">
      <w:fldChar w:fldCharType="end"/>
    </w:r>
    <w:r w:rsidR="00907567">
      <w:tab/>
    </w:r>
    <w:r w:rsidR="00907567">
      <w:fldChar w:fldCharType="begin"/>
    </w:r>
    <w:r w:rsidR="00907567">
      <w:instrText xml:space="preserve"> PRINTDATE \@ DD.MM.YY </w:instrText>
    </w:r>
    <w:r w:rsidR="00907567">
      <w:fldChar w:fldCharType="separate"/>
    </w:r>
    <w:r w:rsidR="00EC1833">
      <w:t>27.10.15</w:t>
    </w:r>
    <w:r w:rsidR="0090756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40B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66(Add.9)(Add.1)-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7B07"/>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4945"/>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603EB"/>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57273"/>
    <w:rsid w:val="00765578"/>
    <w:rsid w:val="0077084A"/>
    <w:rsid w:val="007952C7"/>
    <w:rsid w:val="00795D1E"/>
    <w:rsid w:val="007C0B95"/>
    <w:rsid w:val="007C2317"/>
    <w:rsid w:val="007D330A"/>
    <w:rsid w:val="00866AE6"/>
    <w:rsid w:val="008750A8"/>
    <w:rsid w:val="008B02AE"/>
    <w:rsid w:val="008E5AF2"/>
    <w:rsid w:val="009001AB"/>
    <w:rsid w:val="0090121B"/>
    <w:rsid w:val="00907567"/>
    <w:rsid w:val="009144C9"/>
    <w:rsid w:val="0094091F"/>
    <w:rsid w:val="00973754"/>
    <w:rsid w:val="009C0BED"/>
    <w:rsid w:val="009E11EC"/>
    <w:rsid w:val="00A118DB"/>
    <w:rsid w:val="00A4450C"/>
    <w:rsid w:val="00AA5E6C"/>
    <w:rsid w:val="00AE5677"/>
    <w:rsid w:val="00AE658F"/>
    <w:rsid w:val="00AF2F78"/>
    <w:rsid w:val="00B140BE"/>
    <w:rsid w:val="00B239FA"/>
    <w:rsid w:val="00B52D55"/>
    <w:rsid w:val="00B8288C"/>
    <w:rsid w:val="00BE2E80"/>
    <w:rsid w:val="00BE5EDD"/>
    <w:rsid w:val="00BE6A1F"/>
    <w:rsid w:val="00C126C4"/>
    <w:rsid w:val="00C63EB5"/>
    <w:rsid w:val="00CB3976"/>
    <w:rsid w:val="00CC01E0"/>
    <w:rsid w:val="00CD5FEE"/>
    <w:rsid w:val="00CE60D2"/>
    <w:rsid w:val="00CE7431"/>
    <w:rsid w:val="00D0288A"/>
    <w:rsid w:val="00D72A5D"/>
    <w:rsid w:val="00DC629B"/>
    <w:rsid w:val="00E05BFF"/>
    <w:rsid w:val="00E262F1"/>
    <w:rsid w:val="00E3176A"/>
    <w:rsid w:val="00E54754"/>
    <w:rsid w:val="00E56BD3"/>
    <w:rsid w:val="00E71D14"/>
    <w:rsid w:val="00EC1833"/>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F29784-22F9-48C4-A28E-E72CA024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TableheadChar">
    <w:name w:val="Table_head Char"/>
    <w:basedOn w:val="DefaultParagraphFont"/>
    <w:link w:val="Tablehead"/>
    <w:locked/>
    <w:rsid w:val="00CB3976"/>
    <w:rPr>
      <w:rFonts w:ascii="Times New Roman" w:hAnsi="Times New Roman"/>
      <w:b/>
      <w:lang w:val="es-ES_tradnl" w:eastAsia="en-US"/>
    </w:rPr>
  </w:style>
  <w:style w:type="character" w:customStyle="1" w:styleId="ProposalChar">
    <w:name w:val="Proposal Char"/>
    <w:basedOn w:val="DefaultParagraphFont"/>
    <w:link w:val="Proposal"/>
    <w:locked/>
    <w:rsid w:val="00CB3976"/>
    <w:rPr>
      <w:rFonts w:ascii="Times New Roman" w:hAnsi="Times New Roman Bold"/>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R15-WRC15-C-0066!A9-A1!MSW-S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8BB9-635C-4C12-A75E-400B86EBCCEB}">
  <ds:schemaRefs>
    <ds:schemaRef ds:uri="32a1a8c5-2265-4ebc-b7a0-2071e2c5c9bb"/>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996b2e75-67fd-4955-a3b0-5ab9934cb50b"/>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38DCC64-6298-416E-A1D7-CFE54CC9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552</Words>
  <Characters>2974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R15-WRC15-C-0066!A9-A1!MSW-S</vt:lpstr>
    </vt:vector>
  </TitlesOfParts>
  <Manager>Secretaría General - Pool</Manager>
  <Company>Unión Internacional de Telecomunicaciones (UIT)</Company>
  <LinksUpToDate>false</LinksUpToDate>
  <CharactersWithSpaces>3519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R15-WRC15-C-0066!A9-A1!MSW-S</dc:title>
  <dc:subject>Conferencia Mundial de Radiocomunicaciones - 2015</dc:subject>
  <dc:creator>Documents Proposals Manager (DPM)</dc:creator>
  <cp:keywords>DPM_v5.2015.10.230_prod</cp:keywords>
  <dc:description/>
  <cp:lastModifiedBy>Burro, Maria Carmen</cp:lastModifiedBy>
  <cp:revision>10</cp:revision>
  <cp:lastPrinted>2015-10-27T12:11:00Z</cp:lastPrinted>
  <dcterms:created xsi:type="dcterms:W3CDTF">2015-10-26T23:30:00Z</dcterms:created>
  <dcterms:modified xsi:type="dcterms:W3CDTF">2015-10-27T12:26:00Z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