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5790B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5790B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25790B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66(Add.9)</w:t>
            </w:r>
            <w:r w:rsidR="00BB1D82" w:rsidRPr="0025790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25790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25790B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Cuba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5790B" w:rsidRDefault="0025790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5790B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5790B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1.9.1 de l'ordre du jour</w:t>
            </w:r>
          </w:p>
        </w:tc>
      </w:tr>
    </w:tbl>
    <w:bookmarkEnd w:id="5"/>
    <w:p w:rsidR="001C0E40" w:rsidRPr="00346C84" w:rsidRDefault="001304E7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Pr="00A56A26" w:rsidRDefault="001304E7" w:rsidP="00A56A26">
      <w:pPr>
        <w:rPr>
          <w:lang w:val="fr-CA"/>
        </w:rPr>
      </w:pPr>
      <w:r w:rsidRPr="00A56A26">
        <w:rPr>
          <w:lang w:val="fr-CA"/>
        </w:rPr>
        <w:t>1.9.1</w:t>
      </w:r>
      <w:r w:rsidRPr="00A56A26">
        <w:rPr>
          <w:lang w:val="fr-CA"/>
        </w:rPr>
        <w:tab/>
        <w:t>la possibilité de faire de nouvelles attributions au service fixe par satellite dans les bandes de fréquences 7 150-7 250 MHz (espace vers Terre) et 8 400-8 500 MHz (Terre vers espace), à condition de prévoir des conditions de partage appropriées;</w:t>
      </w:r>
    </w:p>
    <w:p w:rsidR="003A583E" w:rsidRDefault="0025790B" w:rsidP="00790D7A">
      <w:pPr>
        <w:pStyle w:val="Headingb"/>
      </w:pPr>
      <w:r>
        <w:t>Introduction</w:t>
      </w:r>
    </w:p>
    <w:p w:rsidR="0025790B" w:rsidRPr="003F3D10" w:rsidRDefault="00956F28" w:rsidP="00E927D5">
      <w:r>
        <w:rPr>
          <w:lang w:eastAsia="nl-NL"/>
        </w:rPr>
        <w:t xml:space="preserve">Les systèmes du </w:t>
      </w:r>
      <w:r w:rsidRPr="00932C66">
        <w:rPr>
          <w:lang w:eastAsia="nl-NL"/>
        </w:rPr>
        <w:t>service fixe par satellite (SFS)</w:t>
      </w:r>
      <w:r>
        <w:rPr>
          <w:lang w:eastAsia="nl-NL"/>
        </w:rPr>
        <w:t xml:space="preserve"> bénéficie</w:t>
      </w:r>
      <w:r w:rsidR="00790D7A">
        <w:rPr>
          <w:lang w:eastAsia="nl-NL"/>
        </w:rPr>
        <w:t>nt</w:t>
      </w:r>
      <w:r>
        <w:rPr>
          <w:lang w:eastAsia="nl-NL"/>
        </w:rPr>
        <w:t xml:space="preserve"> d’attributions dans l</w:t>
      </w:r>
      <w:r w:rsidR="0025790B" w:rsidRPr="00932C66">
        <w:rPr>
          <w:lang w:eastAsia="nl-NL"/>
        </w:rPr>
        <w:t>es bandes</w:t>
      </w:r>
      <w:r w:rsidR="003F3D10">
        <w:rPr>
          <w:lang w:eastAsia="nl-NL"/>
        </w:rPr>
        <w:t xml:space="preserve"> de fréquences</w:t>
      </w:r>
      <w:r w:rsidR="0025790B" w:rsidRPr="00932C66">
        <w:rPr>
          <w:lang w:eastAsia="nl-NL"/>
        </w:rPr>
        <w:t xml:space="preserve"> 7 250-7 750 MHz (</w:t>
      </w:r>
      <w:r w:rsidR="0025790B" w:rsidRPr="00932C66">
        <w:rPr>
          <w:lang w:eastAsia="fr-FR"/>
        </w:rPr>
        <w:t>espace vers Terre</w:t>
      </w:r>
      <w:r w:rsidR="0025790B" w:rsidRPr="00932C66">
        <w:rPr>
          <w:lang w:eastAsia="nl-NL"/>
        </w:rPr>
        <w:t>) et 7 900-8 400 MHz (</w:t>
      </w:r>
      <w:r w:rsidR="0025790B" w:rsidRPr="00932C66">
        <w:rPr>
          <w:lang w:eastAsia="fr-FR"/>
        </w:rPr>
        <w:t>Terre vers espace</w:t>
      </w:r>
      <w:r w:rsidR="0025790B" w:rsidRPr="00932C66">
        <w:rPr>
          <w:lang w:eastAsia="nl-NL"/>
        </w:rPr>
        <w:t>)</w:t>
      </w:r>
      <w:r w:rsidR="0025790B">
        <w:rPr>
          <w:lang w:eastAsia="nl-NL"/>
        </w:rPr>
        <w:t>.</w:t>
      </w:r>
      <w:r w:rsidR="003F3D10">
        <w:rPr>
          <w:lang w:eastAsia="nl-NL"/>
        </w:rPr>
        <w:t xml:space="preserve"> </w:t>
      </w:r>
      <w:r w:rsidR="003F3D10" w:rsidRPr="003F3D10">
        <w:rPr>
          <w:lang w:eastAsia="nl-NL"/>
        </w:rPr>
        <w:t xml:space="preserve">Certaines administrations ont </w:t>
      </w:r>
      <w:r w:rsidR="00CD21AF">
        <w:rPr>
          <w:lang w:eastAsia="nl-NL"/>
        </w:rPr>
        <w:t>suggéré qu’il était nécessaire</w:t>
      </w:r>
      <w:r w:rsidR="003F3D10" w:rsidRPr="003F3D10">
        <w:rPr>
          <w:lang w:eastAsia="nl-NL"/>
        </w:rPr>
        <w:t xml:space="preserve"> d’élargir ces attributions de 100 MHz, en y ajoutant les bandes de fréquences</w:t>
      </w:r>
      <w:r w:rsidR="0025790B" w:rsidRPr="003F3D10">
        <w:rPr>
          <w:lang w:eastAsia="nl-NL"/>
        </w:rPr>
        <w:t xml:space="preserve"> </w:t>
      </w:r>
      <w:r w:rsidR="0025790B" w:rsidRPr="003F3D10">
        <w:t xml:space="preserve">7 150-7 250 MHz </w:t>
      </w:r>
      <w:r w:rsidR="003F3D10">
        <w:t>et</w:t>
      </w:r>
      <w:r w:rsidR="0025790B" w:rsidRPr="003F3D10">
        <w:t xml:space="preserve"> 8 400-8 500 MHz.</w:t>
      </w:r>
    </w:p>
    <w:p w:rsidR="00936F53" w:rsidRPr="00CD21AF" w:rsidRDefault="00790D7A" w:rsidP="00790D7A">
      <w:pPr>
        <w:rPr>
          <w:lang w:val="fr-CH"/>
        </w:rPr>
      </w:pPr>
      <w:r>
        <w:rPr>
          <w:lang w:val="fr-CH"/>
        </w:rPr>
        <w:t>Dans l</w:t>
      </w:r>
      <w:r w:rsidR="00A720BB" w:rsidRPr="00A720BB">
        <w:rPr>
          <w:lang w:val="fr-CH"/>
        </w:rPr>
        <w:t>es bandes en question</w:t>
      </w:r>
      <w:r w:rsidR="00CD21AF">
        <w:rPr>
          <w:lang w:val="fr-CH"/>
        </w:rPr>
        <w:t xml:space="preserve"> </w:t>
      </w:r>
      <w:r>
        <w:rPr>
          <w:lang w:val="fr-CH"/>
        </w:rPr>
        <w:t xml:space="preserve">des </w:t>
      </w:r>
      <w:r w:rsidR="00A720BB" w:rsidRPr="00A720BB">
        <w:rPr>
          <w:lang w:val="fr-CH"/>
        </w:rPr>
        <w:t xml:space="preserve">attributions </w:t>
      </w:r>
      <w:r>
        <w:rPr>
          <w:lang w:val="fr-CH"/>
        </w:rPr>
        <w:t xml:space="preserve">ont été faites </w:t>
      </w:r>
      <w:r w:rsidR="00A720BB" w:rsidRPr="00A720BB">
        <w:rPr>
          <w:lang w:val="fr-CH"/>
        </w:rPr>
        <w:t xml:space="preserve">au service de </w:t>
      </w:r>
      <w:r w:rsidR="00CD21AF">
        <w:rPr>
          <w:lang w:val="fr-CH"/>
        </w:rPr>
        <w:t>recherche</w:t>
      </w:r>
      <w:r w:rsidR="00A720BB" w:rsidRPr="00A720BB">
        <w:rPr>
          <w:lang w:val="fr-CH"/>
        </w:rPr>
        <w:t xml:space="preserve"> </w:t>
      </w:r>
      <w:r w:rsidR="00CD21AF">
        <w:rPr>
          <w:lang w:val="fr-CH"/>
        </w:rPr>
        <w:t xml:space="preserve">spatiale, qui fonctionne </w:t>
      </w:r>
      <w:r w:rsidR="00CD21AF">
        <w:rPr>
          <w:color w:val="000000"/>
        </w:rPr>
        <w:t>dans des sens de transmission opposés</w:t>
      </w:r>
      <w:r w:rsidR="00CD21AF" w:rsidRPr="00A720BB">
        <w:rPr>
          <w:lang w:val="fr-CH"/>
        </w:rPr>
        <w:t xml:space="preserve"> </w:t>
      </w:r>
      <w:r w:rsidR="00A720BB" w:rsidRPr="00A720BB">
        <w:rPr>
          <w:lang w:val="fr-CH"/>
        </w:rPr>
        <w:t xml:space="preserve">à ceux </w:t>
      </w:r>
      <w:r w:rsidR="00A720BB">
        <w:rPr>
          <w:lang w:val="fr-CH"/>
        </w:rPr>
        <w:t>proposé</w:t>
      </w:r>
      <w:r w:rsidR="00A720BB" w:rsidRPr="00A720BB">
        <w:rPr>
          <w:lang w:val="fr-CH"/>
        </w:rPr>
        <w:t>s pour l’attribution éventuelle au SFS.</w:t>
      </w:r>
      <w:r w:rsidR="00CD21AF">
        <w:rPr>
          <w:lang w:val="fr-CH"/>
        </w:rPr>
        <w:t xml:space="preserve"> </w:t>
      </w:r>
      <w:r w:rsidR="00A720BB">
        <w:t>De plus</w:t>
      </w:r>
      <w:r w:rsidR="00936F53">
        <w:t xml:space="preserve">, </w:t>
      </w:r>
      <w:r w:rsidR="00A720BB">
        <w:t>au titre du</w:t>
      </w:r>
      <w:r w:rsidR="00936F53">
        <w:t xml:space="preserve"> </w:t>
      </w:r>
      <w:r w:rsidR="00A720BB">
        <w:t>numéro</w:t>
      </w:r>
      <w:r w:rsidR="00936F53">
        <w:t> 5.458</w:t>
      </w:r>
      <w:r w:rsidR="00CD21AF">
        <w:t>,</w:t>
      </w:r>
      <w:r w:rsidR="00EC2645" w:rsidRPr="00936F53">
        <w:rPr>
          <w:lang w:val="fr-CH"/>
        </w:rPr>
        <w:t xml:space="preserve"> </w:t>
      </w:r>
      <w:r w:rsidR="00936F53" w:rsidRPr="00790D7A">
        <w:rPr>
          <w:lang w:val="fr-CH"/>
        </w:rPr>
        <w:t>des mesures sont effectuées à l'aide de détecteurs passifs à hyperfréquence</w:t>
      </w:r>
      <w:r>
        <w:rPr>
          <w:lang w:val="fr-CH"/>
        </w:rPr>
        <w:t>s</w:t>
      </w:r>
      <w:r w:rsidR="00936F53" w:rsidRPr="00790D7A">
        <w:t xml:space="preserve"> dans la bande 7</w:t>
      </w:r>
      <w:r w:rsidR="00936F53" w:rsidRPr="00790D7A">
        <w:rPr>
          <w:sz w:val="12"/>
        </w:rPr>
        <w:t> </w:t>
      </w:r>
      <w:r w:rsidR="00936F53" w:rsidRPr="00790D7A">
        <w:t>075-7</w:t>
      </w:r>
      <w:r w:rsidR="00936F53" w:rsidRPr="00790D7A">
        <w:rPr>
          <w:sz w:val="12"/>
        </w:rPr>
        <w:t> </w:t>
      </w:r>
      <w:r w:rsidR="00936F53" w:rsidRPr="00790D7A">
        <w:t xml:space="preserve">250 MHz, </w:t>
      </w:r>
      <w:r w:rsidR="00A720BB" w:rsidRPr="00790D7A">
        <w:t>et il convient que</w:t>
      </w:r>
      <w:r w:rsidR="00936F53" w:rsidRPr="00790D7A">
        <w:t xml:space="preserve"> dans leur planification de l'utilisation future </w:t>
      </w:r>
      <w:r w:rsidR="003F23BE" w:rsidRPr="00790D7A">
        <w:t>de cette bande</w:t>
      </w:r>
      <w:r w:rsidR="00936F53" w:rsidRPr="00790D7A">
        <w:t xml:space="preserve"> les administrations ne négligent pas les besoins du service d'exploration de la Terre par satellite (passive) et du service de recherche spatiale (passive).</w:t>
      </w:r>
    </w:p>
    <w:p w:rsidR="00936F53" w:rsidRDefault="003F23BE" w:rsidP="00790D7A">
      <w:r w:rsidRPr="003F23BE">
        <w:rPr>
          <w:lang w:val="fr-CH"/>
        </w:rPr>
        <w:t>L’analyse des</w:t>
      </w:r>
      <w:r>
        <w:rPr>
          <w:lang w:val="fr-CH"/>
        </w:rPr>
        <w:t xml:space="preserve"> résultats des études présentée</w:t>
      </w:r>
      <w:r w:rsidRPr="003F23BE">
        <w:rPr>
          <w:lang w:val="fr-CH"/>
        </w:rPr>
        <w:t xml:space="preserve"> dans le Rapport de la RPC (Méthodes A et B) </w:t>
      </w:r>
      <w:r w:rsidR="00CD21AF">
        <w:rPr>
          <w:lang w:val="fr-CH"/>
        </w:rPr>
        <w:t>révèle</w:t>
      </w:r>
      <w:r>
        <w:rPr>
          <w:lang w:val="fr-CH"/>
        </w:rPr>
        <w:t xml:space="preserve"> </w:t>
      </w:r>
      <w:r w:rsidR="00CD21AF">
        <w:rPr>
          <w:lang w:val="fr-CH"/>
        </w:rPr>
        <w:t>que l’attribution proposée présenterait</w:t>
      </w:r>
      <w:r>
        <w:rPr>
          <w:lang w:val="fr-CH"/>
        </w:rPr>
        <w:t xml:space="preserve"> de nombreux </w:t>
      </w:r>
      <w:r w:rsidR="00790D7A">
        <w:rPr>
          <w:lang w:val="fr-CH"/>
        </w:rPr>
        <w:t>inconvénients</w:t>
      </w:r>
      <w:r>
        <w:rPr>
          <w:lang w:val="fr-CH"/>
        </w:rPr>
        <w:t xml:space="preserve">, y compris </w:t>
      </w:r>
      <w:r w:rsidR="00CD21AF">
        <w:rPr>
          <w:lang w:val="fr-CH"/>
        </w:rPr>
        <w:t>le risque</w:t>
      </w:r>
      <w:r>
        <w:rPr>
          <w:lang w:val="fr-CH"/>
        </w:rPr>
        <w:t xml:space="preserve"> de causer des brouillages aux futurs </w:t>
      </w:r>
      <w:r w:rsidR="00790D7A">
        <w:rPr>
          <w:lang w:val="fr-CH"/>
        </w:rPr>
        <w:t>engins spatiaux</w:t>
      </w:r>
      <w:r>
        <w:rPr>
          <w:lang w:val="fr-CH"/>
        </w:rPr>
        <w:t xml:space="preserve"> du service de recherche spatiale et </w:t>
      </w:r>
      <w:r w:rsidR="00790D7A">
        <w:rPr>
          <w:lang w:val="fr-CH"/>
        </w:rPr>
        <w:t>de restreindre le</w:t>
      </w:r>
      <w:r>
        <w:rPr>
          <w:lang w:val="fr-CH"/>
        </w:rPr>
        <w:t xml:space="preserve"> développement</w:t>
      </w:r>
      <w:r w:rsidRPr="003F23BE">
        <w:rPr>
          <w:lang w:val="fr-CH"/>
        </w:rPr>
        <w:t xml:space="preserve"> </w:t>
      </w:r>
      <w:r>
        <w:rPr>
          <w:lang w:val="fr-CH"/>
        </w:rPr>
        <w:t xml:space="preserve">futur de ce service. En outre, il </w:t>
      </w:r>
      <w:r w:rsidR="00CD21AF">
        <w:rPr>
          <w:lang w:val="fr-CH"/>
        </w:rPr>
        <w:t>y a lieu</w:t>
      </w:r>
      <w:r>
        <w:rPr>
          <w:lang w:val="fr-CH"/>
        </w:rPr>
        <w:t xml:space="preserve"> </w:t>
      </w:r>
      <w:r w:rsidR="00CD21AF">
        <w:rPr>
          <w:lang w:val="fr-CH"/>
        </w:rPr>
        <w:t>d’ajouter</w:t>
      </w:r>
      <w:r>
        <w:rPr>
          <w:lang w:val="fr-CH"/>
        </w:rPr>
        <w:t xml:space="preserve"> que les études n’</w:t>
      </w:r>
      <w:r w:rsidR="00CD21AF">
        <w:rPr>
          <w:lang w:val="fr-CH"/>
        </w:rPr>
        <w:t>ont pas été achevées</w:t>
      </w:r>
      <w:r>
        <w:rPr>
          <w:lang w:val="fr-CH"/>
        </w:rPr>
        <w:t xml:space="preserve"> et que</w:t>
      </w:r>
      <w:r w:rsidR="00CD21AF">
        <w:rPr>
          <w:lang w:val="fr-CH"/>
        </w:rPr>
        <w:t>,</w:t>
      </w:r>
      <w:r>
        <w:rPr>
          <w:lang w:val="fr-CH"/>
        </w:rPr>
        <w:t xml:space="preserve"> de fait</w:t>
      </w:r>
      <w:r w:rsidR="00CD21AF">
        <w:rPr>
          <w:lang w:val="fr-CH"/>
        </w:rPr>
        <w:t>,</w:t>
      </w:r>
      <w:r>
        <w:rPr>
          <w:lang w:val="fr-CH"/>
        </w:rPr>
        <w:t xml:space="preserve"> il n’a pas été possible de prendre en compte les futures missions </w:t>
      </w:r>
      <w:r>
        <w:rPr>
          <w:color w:val="000000"/>
        </w:rPr>
        <w:t xml:space="preserve">habitées du service de recherche spatiale. De plus, il est indiqué que </w:t>
      </w:r>
      <w:r w:rsidR="00E56C67">
        <w:t>l</w:t>
      </w:r>
      <w:r w:rsidR="00E56C67" w:rsidRPr="00F078F2">
        <w:t xml:space="preserve">es moyens dont </w:t>
      </w:r>
      <w:r w:rsidR="00CD21AF">
        <w:t xml:space="preserve">devrait </w:t>
      </w:r>
      <w:r w:rsidR="00E56C67" w:rsidRPr="00F078F2">
        <w:t>dispose</w:t>
      </w:r>
      <w:r w:rsidR="00CD21AF">
        <w:t>r</w:t>
      </w:r>
      <w:r w:rsidR="00E56C67" w:rsidRPr="00F078F2">
        <w:t xml:space="preserve"> le BR pour </w:t>
      </w:r>
      <w:r w:rsidR="00E56C67" w:rsidRPr="00790D7A">
        <w:t xml:space="preserve">examiner la conformité avec les gabarits de densité de p.i.r.e. </w:t>
      </w:r>
      <w:r w:rsidRPr="00790D7A">
        <w:t>proposés</w:t>
      </w:r>
      <w:r w:rsidR="00E56C67" w:rsidRPr="00790D7A">
        <w:t xml:space="preserve"> </w:t>
      </w:r>
      <w:r w:rsidRPr="00790D7A">
        <w:t>pour des attributions possibles au SFS</w:t>
      </w:r>
      <w:r w:rsidR="00E56C67" w:rsidRPr="00790D7A">
        <w:t xml:space="preserve"> devraient être étudiés plus avant.</w:t>
      </w:r>
    </w:p>
    <w:p w:rsidR="003F23BE" w:rsidRPr="003F23BE" w:rsidRDefault="003F23BE" w:rsidP="00BC1460">
      <w:pPr>
        <w:rPr>
          <w:lang w:val="fr-CH"/>
        </w:rPr>
      </w:pPr>
      <w:r>
        <w:t xml:space="preserve">Ces bandes sont également largement utilisées par des réseaux du service fixe, </w:t>
      </w:r>
      <w:r w:rsidR="00BC1460">
        <w:t>pour lesquels il faudrait prévoir</w:t>
      </w:r>
      <w:r>
        <w:t xml:space="preserve"> de</w:t>
      </w:r>
      <w:r w:rsidR="00BC1460">
        <w:t>s</w:t>
      </w:r>
      <w:r>
        <w:t xml:space="preserve"> distances de coordination très importantes en cas de partage avec des stations terriennes du SFS.</w:t>
      </w:r>
    </w:p>
    <w:p w:rsidR="00530276" w:rsidRPr="00530276" w:rsidRDefault="00530276" w:rsidP="00790D7A">
      <w:pPr>
        <w:rPr>
          <w:lang w:val="fr-CH"/>
        </w:rPr>
      </w:pPr>
      <w:r w:rsidRPr="00530276">
        <w:rPr>
          <w:lang w:val="fr-CH"/>
        </w:rPr>
        <w:lastRenderedPageBreak/>
        <w:t>Au vu de ce qui précède, l’Administration cubaine est d’avis que la situation ne justifie pas cette attribution au SFS, et soume</w:t>
      </w:r>
      <w:r>
        <w:rPr>
          <w:lang w:val="fr-CH"/>
        </w:rPr>
        <w:t>t donc la proposition suivant</w:t>
      </w:r>
      <w:r w:rsidR="00E927D5">
        <w:rPr>
          <w:lang w:val="fr-CH"/>
        </w:rPr>
        <w:t>e</w:t>
      </w:r>
      <w:r>
        <w:rPr>
          <w:lang w:val="fr-CH"/>
        </w:rPr>
        <w:t>:</w:t>
      </w:r>
    </w:p>
    <w:p w:rsidR="004A6A8C" w:rsidRPr="00790D7A" w:rsidRDefault="001304E7" w:rsidP="00790D7A">
      <w:pPr>
        <w:pStyle w:val="ArtNo"/>
      </w:pPr>
      <w:r w:rsidRPr="00790D7A">
        <w:t xml:space="preserve">ARTICLE </w:t>
      </w:r>
      <w:r w:rsidRPr="00790D7A">
        <w:rPr>
          <w:rStyle w:val="href"/>
          <w:color w:val="000000"/>
        </w:rPr>
        <w:t>5</w:t>
      </w:r>
    </w:p>
    <w:p w:rsidR="004A6A8C" w:rsidRPr="00790D7A" w:rsidRDefault="001304E7" w:rsidP="00790D7A">
      <w:pPr>
        <w:pStyle w:val="Arttitle"/>
        <w:rPr>
          <w:lang w:val="fr-CH"/>
        </w:rPr>
      </w:pPr>
      <w:r w:rsidRPr="00790D7A">
        <w:rPr>
          <w:lang w:val="fr-CH"/>
        </w:rPr>
        <w:t>Attribution des bandes de fréquences</w:t>
      </w:r>
    </w:p>
    <w:p w:rsidR="004A6A8C" w:rsidRPr="00375EEA" w:rsidRDefault="001304E7" w:rsidP="00790D7A">
      <w:pPr>
        <w:pStyle w:val="Section1"/>
        <w:keepNext/>
      </w:pPr>
      <w:r w:rsidRPr="00790D7A">
        <w:t>Section IV – Tableau d'attribution des bandes de fréquences</w:t>
      </w:r>
      <w:r w:rsidRPr="00790D7A">
        <w:br/>
      </w:r>
      <w:r w:rsidRPr="00790D7A">
        <w:rPr>
          <w:b w:val="0"/>
          <w:bCs/>
        </w:rPr>
        <w:t>(Voir le numéro</w:t>
      </w:r>
      <w:r w:rsidRPr="00790D7A">
        <w:t xml:space="preserve"> 2.1</w:t>
      </w:r>
      <w:r w:rsidRPr="00790D7A">
        <w:rPr>
          <w:b w:val="0"/>
          <w:bCs/>
        </w:rPr>
        <w:t>)</w:t>
      </w:r>
      <w:r w:rsidRPr="00E56C67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772D25" w:rsidRDefault="001304E7" w:rsidP="00790D7A">
      <w:pPr>
        <w:pStyle w:val="Proposal"/>
      </w:pPr>
      <w:r>
        <w:rPr>
          <w:u w:val="single"/>
        </w:rPr>
        <w:t>NOC</w:t>
      </w:r>
      <w:r>
        <w:tab/>
        <w:t>CUB/66A9A1/1</w:t>
      </w:r>
    </w:p>
    <w:p w:rsidR="004A6A8C" w:rsidRPr="00790D7A" w:rsidRDefault="001304E7" w:rsidP="00790D7A">
      <w:pPr>
        <w:pStyle w:val="Tabletitle"/>
        <w:rPr>
          <w:color w:val="000000"/>
        </w:rPr>
      </w:pPr>
      <w:r w:rsidRPr="00790D7A"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790D7A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90D7A" w:rsidRDefault="001304E7" w:rsidP="00790D7A">
            <w:pPr>
              <w:pStyle w:val="Tablehead"/>
              <w:rPr>
                <w:color w:val="000000"/>
              </w:rPr>
            </w:pPr>
            <w:r w:rsidRPr="00790D7A">
              <w:rPr>
                <w:color w:val="000000"/>
              </w:rPr>
              <w:t>Attribution aux services</w:t>
            </w:r>
          </w:p>
        </w:tc>
      </w:tr>
      <w:tr w:rsidR="004F7621" w:rsidRPr="00790D7A" w:rsidTr="00AF180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21" w:rsidRPr="00790D7A" w:rsidRDefault="004F7621" w:rsidP="00AF1804">
            <w:pPr>
              <w:pStyle w:val="Tablehead"/>
              <w:rPr>
                <w:color w:val="000000"/>
              </w:rPr>
            </w:pPr>
            <w:r w:rsidRPr="00790D7A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21" w:rsidRPr="00790D7A" w:rsidRDefault="004F7621" w:rsidP="00AF1804">
            <w:pPr>
              <w:pStyle w:val="Tablehead"/>
              <w:rPr>
                <w:color w:val="000000"/>
              </w:rPr>
            </w:pPr>
            <w:r w:rsidRPr="00790D7A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21" w:rsidRPr="00790D7A" w:rsidRDefault="004F7621" w:rsidP="00AF1804">
            <w:pPr>
              <w:pStyle w:val="Tablehead"/>
              <w:rPr>
                <w:color w:val="000000"/>
              </w:rPr>
            </w:pPr>
            <w:r w:rsidRPr="00790D7A">
              <w:rPr>
                <w:color w:val="000000"/>
              </w:rPr>
              <w:t>Région 3</w:t>
            </w:r>
          </w:p>
        </w:tc>
      </w:tr>
      <w:tr w:rsidR="004A6A8C" w:rsidRPr="00790D7A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790D7A" w:rsidRDefault="001304E7" w:rsidP="00790D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790D7A">
              <w:rPr>
                <w:rStyle w:val="Tablefreq"/>
              </w:rPr>
              <w:t>7 145-7 235</w:t>
            </w:r>
            <w:r w:rsidRPr="00790D7A">
              <w:rPr>
                <w:color w:val="000000"/>
                <w:lang w:val="fr-CH"/>
              </w:rPr>
              <w:tab/>
              <w:t>FIXE</w:t>
            </w:r>
          </w:p>
          <w:p w:rsidR="004A6A8C" w:rsidRPr="00790D7A" w:rsidRDefault="001304E7" w:rsidP="00790D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790D7A">
              <w:rPr>
                <w:color w:val="000000"/>
                <w:lang w:val="fr-CH"/>
              </w:rPr>
              <w:tab/>
              <w:t>MOBILE</w:t>
            </w:r>
          </w:p>
          <w:p w:rsidR="004A6A8C" w:rsidRPr="00790D7A" w:rsidRDefault="001304E7" w:rsidP="00790D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rStyle w:val="Artref"/>
                <w:color w:val="000000"/>
              </w:rPr>
            </w:pPr>
            <w:r w:rsidRPr="00790D7A">
              <w:rPr>
                <w:color w:val="000000"/>
                <w:lang w:val="fr-CH"/>
              </w:rPr>
              <w:tab/>
              <w:t xml:space="preserve">RECHERCHE SPATIALE (Terre vers espace)  </w:t>
            </w:r>
            <w:r w:rsidRPr="00790D7A">
              <w:rPr>
                <w:rStyle w:val="Artref"/>
                <w:color w:val="000000"/>
              </w:rPr>
              <w:t>5.460</w:t>
            </w:r>
          </w:p>
          <w:p w:rsidR="004A6A8C" w:rsidRPr="00790D7A" w:rsidRDefault="001304E7" w:rsidP="00790D7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10" w:after="10"/>
              <w:rPr>
                <w:rStyle w:val="Tablefreq"/>
                <w:color w:val="000000"/>
              </w:rPr>
            </w:pPr>
            <w:r w:rsidRPr="00790D7A">
              <w:rPr>
                <w:color w:val="000000"/>
                <w:lang w:val="fr-CH"/>
              </w:rPr>
              <w:tab/>
            </w:r>
            <w:r w:rsidRPr="00790D7A">
              <w:t>5.458</w:t>
            </w:r>
            <w:r w:rsidRPr="00790D7A">
              <w:rPr>
                <w:color w:val="000000"/>
                <w:lang w:val="fr-CH"/>
              </w:rPr>
              <w:t xml:space="preserve">  </w:t>
            </w:r>
            <w:r w:rsidRPr="00790D7A">
              <w:t>5.459</w:t>
            </w:r>
          </w:p>
        </w:tc>
      </w:tr>
      <w:tr w:rsidR="004A6A8C" w:rsidRPr="00790D7A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790D7A" w:rsidRDefault="001304E7" w:rsidP="00790D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790D7A">
              <w:rPr>
                <w:rStyle w:val="Tablefreq"/>
              </w:rPr>
              <w:t>7 235-7 250</w:t>
            </w:r>
            <w:r w:rsidRPr="00790D7A">
              <w:rPr>
                <w:color w:val="000000"/>
                <w:lang w:val="fr-CH"/>
              </w:rPr>
              <w:tab/>
              <w:t>FIXE</w:t>
            </w:r>
          </w:p>
          <w:p w:rsidR="004A6A8C" w:rsidRPr="00790D7A" w:rsidRDefault="001304E7" w:rsidP="00790D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790D7A">
              <w:rPr>
                <w:color w:val="000000"/>
                <w:lang w:val="fr-CH"/>
              </w:rPr>
              <w:tab/>
              <w:t>MOBILE</w:t>
            </w:r>
          </w:p>
          <w:p w:rsidR="004A6A8C" w:rsidRPr="00790D7A" w:rsidRDefault="001304E7" w:rsidP="00790D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</w:pPr>
            <w:r w:rsidRPr="00790D7A">
              <w:rPr>
                <w:color w:val="000000"/>
                <w:lang w:val="fr-CH"/>
              </w:rPr>
              <w:tab/>
            </w:r>
            <w:r w:rsidRPr="00790D7A">
              <w:t>5.458</w:t>
            </w:r>
          </w:p>
        </w:tc>
      </w:tr>
    </w:tbl>
    <w:p w:rsidR="00772D25" w:rsidRPr="00790D7A" w:rsidRDefault="00772D25" w:rsidP="00790D7A">
      <w:pPr>
        <w:pStyle w:val="Reasons"/>
      </w:pPr>
    </w:p>
    <w:p w:rsidR="00772D25" w:rsidRPr="00790D7A" w:rsidRDefault="001304E7" w:rsidP="00790D7A">
      <w:pPr>
        <w:pStyle w:val="Proposal"/>
      </w:pPr>
      <w:r w:rsidRPr="00790D7A">
        <w:rPr>
          <w:u w:val="single"/>
        </w:rPr>
        <w:t>NOC</w:t>
      </w:r>
      <w:r w:rsidRPr="00790D7A">
        <w:tab/>
        <w:t>CUB/66A9A1/2</w:t>
      </w:r>
    </w:p>
    <w:p w:rsidR="004A6A8C" w:rsidRPr="00790D7A" w:rsidRDefault="001304E7" w:rsidP="00790D7A">
      <w:pPr>
        <w:pStyle w:val="Tabletitle"/>
        <w:rPr>
          <w:color w:val="000000"/>
        </w:rPr>
      </w:pPr>
      <w:r w:rsidRPr="00790D7A"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790D7A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90D7A" w:rsidRDefault="001304E7" w:rsidP="00790D7A">
            <w:pPr>
              <w:pStyle w:val="Tablehead"/>
              <w:rPr>
                <w:color w:val="000000"/>
              </w:rPr>
            </w:pPr>
            <w:r w:rsidRPr="00790D7A">
              <w:rPr>
                <w:color w:val="000000"/>
              </w:rPr>
              <w:t>Attribution aux services</w:t>
            </w:r>
          </w:p>
        </w:tc>
      </w:tr>
      <w:tr w:rsidR="004A6A8C" w:rsidRPr="00790D7A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90D7A" w:rsidRDefault="001304E7" w:rsidP="00790D7A">
            <w:pPr>
              <w:pStyle w:val="Tablehead"/>
              <w:rPr>
                <w:color w:val="000000"/>
              </w:rPr>
            </w:pPr>
            <w:r w:rsidRPr="00790D7A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90D7A" w:rsidRDefault="001304E7" w:rsidP="00790D7A">
            <w:pPr>
              <w:pStyle w:val="Tablehead"/>
              <w:rPr>
                <w:color w:val="000000"/>
              </w:rPr>
            </w:pPr>
            <w:r w:rsidRPr="00790D7A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90D7A" w:rsidRDefault="001304E7" w:rsidP="00790D7A">
            <w:pPr>
              <w:pStyle w:val="Tablehead"/>
              <w:rPr>
                <w:color w:val="000000"/>
              </w:rPr>
            </w:pPr>
            <w:r w:rsidRPr="00790D7A">
              <w:rPr>
                <w:color w:val="000000"/>
              </w:rPr>
              <w:t>Région 3</w:t>
            </w:r>
          </w:p>
        </w:tc>
      </w:tr>
      <w:tr w:rsidR="004A6A8C" w:rsidRPr="00790D7A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90D7A" w:rsidRDefault="001304E7" w:rsidP="00790D7A">
            <w:pPr>
              <w:pStyle w:val="TableTextS5"/>
              <w:spacing w:before="30" w:after="30"/>
              <w:rPr>
                <w:color w:val="000000"/>
              </w:rPr>
            </w:pPr>
            <w:r w:rsidRPr="00790D7A">
              <w:rPr>
                <w:rStyle w:val="Tablefreq"/>
              </w:rPr>
              <w:t>8 400-8 500</w:t>
            </w:r>
            <w:r w:rsidRPr="00790D7A">
              <w:rPr>
                <w:color w:val="000000"/>
              </w:rPr>
              <w:tab/>
              <w:t>FIXE</w:t>
            </w:r>
          </w:p>
          <w:p w:rsidR="004A6A8C" w:rsidRPr="00790D7A" w:rsidRDefault="001304E7" w:rsidP="00790D7A">
            <w:pPr>
              <w:pStyle w:val="TableTextS5"/>
              <w:spacing w:before="30" w:after="30"/>
              <w:rPr>
                <w:color w:val="000000"/>
              </w:rPr>
            </w:pPr>
            <w:r w:rsidRPr="00790D7A">
              <w:rPr>
                <w:color w:val="000000"/>
              </w:rPr>
              <w:tab/>
            </w:r>
            <w:r w:rsidRPr="00790D7A">
              <w:rPr>
                <w:color w:val="000000"/>
              </w:rPr>
              <w:tab/>
            </w:r>
            <w:r w:rsidRPr="00790D7A">
              <w:rPr>
                <w:color w:val="000000"/>
              </w:rPr>
              <w:tab/>
            </w:r>
            <w:r w:rsidRPr="00790D7A">
              <w:rPr>
                <w:color w:val="000000"/>
              </w:rPr>
              <w:tab/>
              <w:t>MOBILE sauf mobile aéronautique</w:t>
            </w:r>
          </w:p>
          <w:p w:rsidR="004A6A8C" w:rsidRPr="00790D7A" w:rsidRDefault="001304E7" w:rsidP="00790D7A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790D7A">
              <w:rPr>
                <w:color w:val="000000"/>
              </w:rPr>
              <w:tab/>
            </w:r>
            <w:r w:rsidRPr="00790D7A">
              <w:rPr>
                <w:color w:val="000000"/>
              </w:rPr>
              <w:tab/>
            </w:r>
            <w:r w:rsidRPr="00790D7A">
              <w:rPr>
                <w:color w:val="000000"/>
              </w:rPr>
              <w:tab/>
            </w:r>
            <w:r w:rsidRPr="00790D7A">
              <w:rPr>
                <w:color w:val="000000"/>
              </w:rPr>
              <w:tab/>
              <w:t xml:space="preserve">RECHERCHE SPATIALE (espace vers Terre)  </w:t>
            </w:r>
            <w:r w:rsidRPr="00790D7A">
              <w:rPr>
                <w:rStyle w:val="Artref"/>
                <w:color w:val="000000"/>
              </w:rPr>
              <w:t>5.465</w:t>
            </w:r>
            <w:r w:rsidRPr="00790D7A">
              <w:rPr>
                <w:color w:val="000000"/>
              </w:rPr>
              <w:t xml:space="preserve">  </w:t>
            </w:r>
            <w:r w:rsidRPr="00790D7A">
              <w:rPr>
                <w:rStyle w:val="Artref"/>
                <w:color w:val="000000"/>
              </w:rPr>
              <w:t>5.466</w:t>
            </w:r>
          </w:p>
        </w:tc>
      </w:tr>
    </w:tbl>
    <w:p w:rsidR="00772D25" w:rsidRPr="00790D7A" w:rsidRDefault="001304E7" w:rsidP="001F1F54">
      <w:pPr>
        <w:pStyle w:val="Reasons"/>
        <w:rPr>
          <w:lang w:val="fr-CH"/>
        </w:rPr>
      </w:pPr>
      <w:r w:rsidRPr="00790D7A">
        <w:rPr>
          <w:b/>
        </w:rPr>
        <w:t>Motifs:</w:t>
      </w:r>
      <w:r w:rsidRPr="00790D7A">
        <w:tab/>
      </w:r>
      <w:r w:rsidR="00530276" w:rsidRPr="00790D7A">
        <w:t xml:space="preserve">Les études sont incomplètes et indiquent qu’il y aurait un certain nombre </w:t>
      </w:r>
      <w:r w:rsidR="001F1F54">
        <w:t>d'inconvénients importants</w:t>
      </w:r>
      <w:r w:rsidR="00530276" w:rsidRPr="00790D7A">
        <w:t xml:space="preserve"> en cas d’attribution au SFS dans les bandes de fréquences </w:t>
      </w:r>
      <w:r w:rsidR="001F1F54">
        <w:t>considér</w:t>
      </w:r>
      <w:r w:rsidR="00530276" w:rsidRPr="00790D7A">
        <w:t xml:space="preserve">ées. </w:t>
      </w:r>
    </w:p>
    <w:p w:rsidR="00772D25" w:rsidRPr="00790D7A" w:rsidRDefault="001304E7" w:rsidP="00790D7A">
      <w:pPr>
        <w:pStyle w:val="Proposal"/>
      </w:pPr>
      <w:r w:rsidRPr="00790D7A">
        <w:t>SUP</w:t>
      </w:r>
      <w:r w:rsidRPr="00790D7A">
        <w:tab/>
        <w:t>CUB/66A9A1/3</w:t>
      </w:r>
    </w:p>
    <w:p w:rsidR="00DD4258" w:rsidRPr="00790D7A" w:rsidRDefault="001304E7" w:rsidP="00790D7A">
      <w:pPr>
        <w:pStyle w:val="ResNo"/>
      </w:pPr>
      <w:r w:rsidRPr="00790D7A">
        <w:t>RÉSOLU</w:t>
      </w:r>
      <w:bookmarkStart w:id="6" w:name="_GoBack"/>
      <w:bookmarkEnd w:id="6"/>
      <w:r w:rsidRPr="00790D7A">
        <w:t xml:space="preserve">TION </w:t>
      </w:r>
      <w:r w:rsidRPr="00790D7A">
        <w:rPr>
          <w:rStyle w:val="href"/>
        </w:rPr>
        <w:t>758</w:t>
      </w:r>
      <w:r w:rsidRPr="00790D7A">
        <w:t xml:space="preserve"> (CMR-12)</w:t>
      </w:r>
    </w:p>
    <w:p w:rsidR="00DD4258" w:rsidRPr="00790D7A" w:rsidRDefault="001304E7" w:rsidP="00790D7A">
      <w:pPr>
        <w:pStyle w:val="Restitle"/>
      </w:pPr>
      <w:r w:rsidRPr="00790D7A">
        <w:t xml:space="preserve">Attribution au service fixe par satellite et au service mobile maritime </w:t>
      </w:r>
      <w:r w:rsidRPr="00790D7A">
        <w:br/>
        <w:t>par satellite dans la gamme 7/8 GHz</w:t>
      </w:r>
    </w:p>
    <w:p w:rsidR="00772D25" w:rsidRPr="00790D7A" w:rsidRDefault="001304E7" w:rsidP="00790D7A">
      <w:pPr>
        <w:pStyle w:val="Reasons"/>
      </w:pPr>
      <w:r w:rsidRPr="00790D7A">
        <w:rPr>
          <w:b/>
        </w:rPr>
        <w:t>Motifs:</w:t>
      </w:r>
      <w:r w:rsidRPr="00790D7A">
        <w:tab/>
      </w:r>
      <w:r w:rsidR="00530276" w:rsidRPr="00790D7A">
        <w:t xml:space="preserve">Cette Résolution n’a plus lieu d’être. </w:t>
      </w:r>
    </w:p>
    <w:p w:rsidR="003D602F" w:rsidRPr="00790D7A" w:rsidRDefault="003D602F" w:rsidP="00790D7A">
      <w:pPr>
        <w:pStyle w:val="Reasons"/>
      </w:pPr>
    </w:p>
    <w:p w:rsidR="003D602F" w:rsidRDefault="003D602F" w:rsidP="00790D7A">
      <w:pPr>
        <w:jc w:val="center"/>
      </w:pPr>
      <w:r w:rsidRPr="00790D7A">
        <w:t>______________</w:t>
      </w:r>
    </w:p>
    <w:sectPr w:rsidR="003D602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4C" w:rsidRDefault="003E194C">
      <w:r>
        <w:separator/>
      </w:r>
    </w:p>
  </w:endnote>
  <w:endnote w:type="continuationSeparator" w:id="0">
    <w:p w:rsidR="003E194C" w:rsidRDefault="003E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4D24">
      <w:rPr>
        <w:noProof/>
        <w:lang w:val="en-US"/>
      </w:rPr>
      <w:t>P:\FRA\ITU-R\CONF-R\CMR15\000\066ADD09ADD01F.docx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27D5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4D2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4D24">
      <w:rPr>
        <w:lang w:val="en-US"/>
      </w:rPr>
      <w:t>P:\FRA\ITU-R\CONF-R\CMR15\000\066ADD09ADD01F.docx</w:t>
    </w:r>
    <w:r>
      <w:fldChar w:fldCharType="end"/>
    </w:r>
    <w:r w:rsidR="00A3596F">
      <w:t xml:space="preserve"> (388388)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27D5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4D2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4D24">
      <w:rPr>
        <w:lang w:val="en-US"/>
      </w:rPr>
      <w:t>P:\FRA\ITU-R\CONF-R\CMR15\000\066ADD09ADD01F.docx</w:t>
    </w:r>
    <w:r>
      <w:fldChar w:fldCharType="end"/>
    </w:r>
    <w:r w:rsidR="00A3596F">
      <w:t xml:space="preserve"> (388388)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27D5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4D2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4C" w:rsidRDefault="003E194C">
      <w:r>
        <w:rPr>
          <w:b/>
        </w:rPr>
        <w:t>_______________</w:t>
      </w:r>
    </w:p>
  </w:footnote>
  <w:footnote w:type="continuationSeparator" w:id="0">
    <w:p w:rsidR="003E194C" w:rsidRDefault="003E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927D5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66(Add.9)(Add.1)-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2757D"/>
    <w:rsid w:val="0003522F"/>
    <w:rsid w:val="00080E2C"/>
    <w:rsid w:val="000A4755"/>
    <w:rsid w:val="000B2E0C"/>
    <w:rsid w:val="000B3D0C"/>
    <w:rsid w:val="001167B9"/>
    <w:rsid w:val="00123819"/>
    <w:rsid w:val="001267A0"/>
    <w:rsid w:val="001304E7"/>
    <w:rsid w:val="0015203F"/>
    <w:rsid w:val="00160C64"/>
    <w:rsid w:val="0018169B"/>
    <w:rsid w:val="0019352B"/>
    <w:rsid w:val="001960D0"/>
    <w:rsid w:val="001F17E8"/>
    <w:rsid w:val="001F1F54"/>
    <w:rsid w:val="00204306"/>
    <w:rsid w:val="00232FD2"/>
    <w:rsid w:val="0025790B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D602F"/>
    <w:rsid w:val="003E112B"/>
    <w:rsid w:val="003E194C"/>
    <w:rsid w:val="003E1D1C"/>
    <w:rsid w:val="003E7B05"/>
    <w:rsid w:val="003F23BE"/>
    <w:rsid w:val="003F3D10"/>
    <w:rsid w:val="00466211"/>
    <w:rsid w:val="004834A9"/>
    <w:rsid w:val="004D01FC"/>
    <w:rsid w:val="004E28C3"/>
    <w:rsid w:val="004F1F8E"/>
    <w:rsid w:val="004F7621"/>
    <w:rsid w:val="00512A32"/>
    <w:rsid w:val="00530276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2D25"/>
    <w:rsid w:val="00774362"/>
    <w:rsid w:val="00786598"/>
    <w:rsid w:val="00790D7A"/>
    <w:rsid w:val="007A04E8"/>
    <w:rsid w:val="00851625"/>
    <w:rsid w:val="00856880"/>
    <w:rsid w:val="00863C0A"/>
    <w:rsid w:val="008A3120"/>
    <w:rsid w:val="008D41BE"/>
    <w:rsid w:val="008D58D3"/>
    <w:rsid w:val="00923064"/>
    <w:rsid w:val="00930FFD"/>
    <w:rsid w:val="00936D25"/>
    <w:rsid w:val="00936F53"/>
    <w:rsid w:val="00941EA5"/>
    <w:rsid w:val="00956F28"/>
    <w:rsid w:val="00964700"/>
    <w:rsid w:val="00966C16"/>
    <w:rsid w:val="0098732F"/>
    <w:rsid w:val="009A045F"/>
    <w:rsid w:val="009C7E7C"/>
    <w:rsid w:val="00A00473"/>
    <w:rsid w:val="00A03C9B"/>
    <w:rsid w:val="00A3596F"/>
    <w:rsid w:val="00A37105"/>
    <w:rsid w:val="00A606C3"/>
    <w:rsid w:val="00A720BB"/>
    <w:rsid w:val="00A74D24"/>
    <w:rsid w:val="00A83B09"/>
    <w:rsid w:val="00A84541"/>
    <w:rsid w:val="00AE36A0"/>
    <w:rsid w:val="00B00294"/>
    <w:rsid w:val="00B04EDB"/>
    <w:rsid w:val="00B64FD0"/>
    <w:rsid w:val="00BA5BD0"/>
    <w:rsid w:val="00BB1D82"/>
    <w:rsid w:val="00BC1460"/>
    <w:rsid w:val="00BE3BB7"/>
    <w:rsid w:val="00BF26E7"/>
    <w:rsid w:val="00C53FCA"/>
    <w:rsid w:val="00C71AC1"/>
    <w:rsid w:val="00C76BAF"/>
    <w:rsid w:val="00C814B9"/>
    <w:rsid w:val="00CD21AF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5AF3"/>
    <w:rsid w:val="00DD67AB"/>
    <w:rsid w:val="00DE0932"/>
    <w:rsid w:val="00E03A27"/>
    <w:rsid w:val="00E049F1"/>
    <w:rsid w:val="00E37A25"/>
    <w:rsid w:val="00E51C2D"/>
    <w:rsid w:val="00E537FF"/>
    <w:rsid w:val="00E56C67"/>
    <w:rsid w:val="00E6539B"/>
    <w:rsid w:val="00E70A31"/>
    <w:rsid w:val="00E927D5"/>
    <w:rsid w:val="00EA3F38"/>
    <w:rsid w:val="00EA5AB6"/>
    <w:rsid w:val="00EC2645"/>
    <w:rsid w:val="00EC7615"/>
    <w:rsid w:val="00ED16AA"/>
    <w:rsid w:val="00ED3DA1"/>
    <w:rsid w:val="00EF662E"/>
    <w:rsid w:val="00F148F1"/>
    <w:rsid w:val="00FA3BBF"/>
    <w:rsid w:val="00FC41F8"/>
    <w:rsid w:val="00FE20A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40DCD1C-D720-410E-ACF4-CF2D9521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R15-WRC15-C-0066!A9-A1!MSW-F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79504-AA3F-4992-BCC4-A4B29B66766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R15-WRC15-C-0066!A9-A1!MSW-F</vt:lpstr>
    </vt:vector>
  </TitlesOfParts>
  <Manager>Secrétariat général - Pool</Manager>
  <Company>Union internationale des télécommunications (UIT)</Company>
  <LinksUpToDate>false</LinksUpToDate>
  <CharactersWithSpaces>3616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R15-WRC15-C-0066!A9-A1!MSW-F</dc:title>
  <dc:subject>Conférence mondiale des radiocommunications - 2015</dc:subject>
  <dc:creator>Documents Proposals Manager (DPM)</dc:creator>
  <cp:keywords>DPM_v5.2015.10.270_prod</cp:keywords>
  <dc:description/>
  <cp:lastModifiedBy>Gachet, Christelle</cp:lastModifiedBy>
  <cp:revision>16</cp:revision>
  <cp:lastPrinted>2015-10-29T12:21:00Z</cp:lastPrinted>
  <dcterms:created xsi:type="dcterms:W3CDTF">2015-10-29T12:10:00Z</dcterms:created>
  <dcterms:modified xsi:type="dcterms:W3CDTF">2015-10-29T13:31:00Z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