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31754F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31754F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31754F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31754F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31754F" w:rsidRDefault="003E1608" w:rsidP="0031754F">
            <w:pPr>
              <w:pStyle w:val="Adress"/>
              <w:framePr w:hSpace="0" w:wrap="auto" w:xAlign="left" w:yAlign="inline"/>
              <w:rPr>
                <w:rtl/>
              </w:rPr>
            </w:pPr>
            <w:r w:rsidRPr="0031754F">
              <w:rPr>
                <w:rtl/>
              </w:rPr>
              <w:t xml:space="preserve">الإضافة </w:t>
            </w:r>
            <w:r w:rsidRPr="0031754F">
              <w:t>1</w:t>
            </w:r>
            <w:r w:rsidRPr="0031754F">
              <w:br/>
            </w:r>
            <w:r w:rsidRPr="0031754F">
              <w:rPr>
                <w:rtl/>
              </w:rPr>
              <w:t>للوثيقة</w:t>
            </w:r>
            <w:r w:rsidRPr="0031754F">
              <w:t>66(Add.9)-</w:t>
            </w:r>
            <w:r w:rsidR="0031754F" w:rsidRPr="0031754F">
              <w:t>A</w:t>
            </w:r>
            <w:r w:rsidRPr="0031754F">
              <w:t xml:space="preserve"> 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31754F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31754F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31754F">
              <w:rPr>
                <w:rFonts w:eastAsia="SimSun"/>
              </w:rPr>
              <w:t>15</w:t>
            </w:r>
            <w:r w:rsidRPr="0031754F">
              <w:rPr>
                <w:rFonts w:eastAsia="SimSun"/>
                <w:rtl/>
              </w:rPr>
              <w:t xml:space="preserve"> أكتوبر </w:t>
            </w:r>
            <w:r w:rsidRPr="0031754F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31754F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31754F" w:rsidRDefault="00764079" w:rsidP="008D7E3A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31754F">
              <w:rPr>
                <w:rFonts w:eastAsia="SimSun"/>
                <w:rtl/>
              </w:rPr>
              <w:t xml:space="preserve">الأصل: </w:t>
            </w:r>
            <w:r w:rsidR="008D7E3A">
              <w:rPr>
                <w:rFonts w:eastAsia="SimSun" w:hint="cs"/>
                <w:rtl/>
              </w:rPr>
              <w:t>بالإسبانية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31754F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3435A9">
            <w:pPr>
              <w:pStyle w:val="Source"/>
              <w:spacing w:before="600"/>
              <w:rPr>
                <w:rtl/>
              </w:rPr>
            </w:pPr>
            <w:r w:rsidRPr="008204AC">
              <w:rPr>
                <w:rtl/>
              </w:rPr>
              <w:t>كوبـا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DC3C10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3435A9">
            <w:pPr>
              <w:pStyle w:val="Title2"/>
              <w:spacing w:before="240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C3C10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DC3C10">
              <w:rPr>
                <w:lang w:val="en-US"/>
              </w:rPr>
              <w:t>1.9.1</w:t>
            </w:r>
            <w:r w:rsidR="00DC3C10">
              <w:rPr>
                <w:rFonts w:hint="cs"/>
                <w:rtl/>
                <w:lang w:val="en-US"/>
              </w:rPr>
              <w:t xml:space="preserve"> </w:t>
            </w:r>
            <w:r w:rsidRPr="008204AC">
              <w:rPr>
                <w:rtl/>
              </w:rPr>
              <w:t>من جدول الأعمال</w:t>
            </w:r>
          </w:p>
        </w:tc>
      </w:tr>
    </w:tbl>
    <w:p w:rsidR="001D597A" w:rsidRPr="00431196" w:rsidRDefault="00A25F8A" w:rsidP="00205E46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9.1</w:t>
      </w:r>
      <w:r w:rsidRPr="00431196">
        <w:rPr>
          <w:rFonts w:eastAsia="SimSun" w:hint="cs"/>
          <w:rtl/>
        </w:rPr>
        <w:tab/>
        <w:t xml:space="preserve">النظر وفقاً للقرار </w:t>
      </w:r>
      <w:r w:rsidRPr="00431196">
        <w:rPr>
          <w:rFonts w:eastAsia="SimSun"/>
          <w:b/>
          <w:bCs/>
        </w:rPr>
        <w:t>758 </w:t>
      </w:r>
      <w:r w:rsidRPr="00431196">
        <w:rPr>
          <w:rFonts w:eastAsia="SimSun"/>
          <w:b/>
        </w:rPr>
        <w:t>(WRC</w:t>
      </w:r>
      <w:r w:rsidRPr="00431196">
        <w:rPr>
          <w:rFonts w:eastAsia="SimSun"/>
          <w:b/>
        </w:rPr>
        <w:noBreakHyphen/>
        <w:t>12)</w:t>
      </w:r>
      <w:r w:rsidRPr="00431196">
        <w:rPr>
          <w:rFonts w:eastAsia="SimSun" w:hint="cs"/>
          <w:rtl/>
        </w:rPr>
        <w:t xml:space="preserve"> في:</w:t>
      </w:r>
    </w:p>
    <w:p w:rsidR="001D597A" w:rsidRPr="00431196" w:rsidRDefault="00A25F8A" w:rsidP="003435A9">
      <w:pPr>
        <w:spacing w:line="180" w:lineRule="auto"/>
        <w:rPr>
          <w:rFonts w:eastAsia="SimSun"/>
          <w:rtl/>
        </w:rPr>
      </w:pPr>
      <w:r w:rsidRPr="00431196">
        <w:rPr>
          <w:rFonts w:eastAsia="SimSun"/>
        </w:rPr>
        <w:t>1.9.1</w:t>
      </w:r>
      <w:r w:rsidRPr="00431196">
        <w:rPr>
          <w:rFonts w:eastAsia="SimSun" w:hint="cs"/>
          <w:rtl/>
        </w:rPr>
        <w:tab/>
        <w:t xml:space="preserve">إمكانية منح توزيعات جديدة للخدمة الثابتة الساتلية في نطاقي الترددات </w:t>
      </w:r>
      <w:r w:rsidRPr="00431196">
        <w:rPr>
          <w:rFonts w:eastAsia="SimSun"/>
        </w:rPr>
        <w:t>MHz 7 250</w:t>
      </w:r>
      <w:r w:rsidRPr="00431196">
        <w:rPr>
          <w:rFonts w:eastAsia="SimSun"/>
        </w:rPr>
        <w:noBreakHyphen/>
        <w:t>7 150</w:t>
      </w:r>
      <w:r w:rsidRPr="00431196">
        <w:rPr>
          <w:rFonts w:eastAsia="SimSun" w:hint="cs"/>
          <w:rtl/>
        </w:rPr>
        <w:t xml:space="preserve"> (فضاء-أرض) و</w:t>
      </w:r>
      <w:r w:rsidRPr="00431196">
        <w:rPr>
          <w:rFonts w:eastAsia="SimSun"/>
        </w:rPr>
        <w:t>MHz 8 500</w:t>
      </w:r>
      <w:r w:rsidR="00DC3C10">
        <w:rPr>
          <w:rFonts w:eastAsia="SimSun"/>
        </w:rPr>
        <w:noBreakHyphen/>
      </w:r>
      <w:r w:rsidRPr="00431196">
        <w:rPr>
          <w:rFonts w:eastAsia="SimSun"/>
        </w:rPr>
        <w:t>8 400</w:t>
      </w:r>
      <w:r w:rsidRPr="00431196">
        <w:rPr>
          <w:rFonts w:eastAsia="SimSun" w:hint="cs"/>
          <w:rtl/>
        </w:rPr>
        <w:t xml:space="preserve"> (أرض-فضاء) رهناً بشروط التقاسم المناسبة؛</w:t>
      </w:r>
    </w:p>
    <w:p w:rsidR="00F16602" w:rsidRDefault="00205E46" w:rsidP="003435A9">
      <w:pPr>
        <w:pStyle w:val="Headingb"/>
        <w:spacing w:line="180" w:lineRule="auto"/>
        <w:rPr>
          <w:rtl/>
        </w:rPr>
      </w:pPr>
      <w:r>
        <w:rPr>
          <w:rFonts w:hint="cs"/>
          <w:rtl/>
        </w:rPr>
        <w:t>مقدمة</w:t>
      </w:r>
    </w:p>
    <w:p w:rsidR="00211DCC" w:rsidRPr="008D7E3A" w:rsidRDefault="000F665D" w:rsidP="00A81ECD">
      <w:pPr>
        <w:spacing w:line="180" w:lineRule="auto"/>
        <w:rPr>
          <w:rtl/>
          <w:lang w:bidi="ar-EG"/>
        </w:rPr>
      </w:pPr>
      <w:r w:rsidRPr="008D7E3A">
        <w:rPr>
          <w:rFonts w:hint="cs"/>
          <w:rtl/>
          <w:lang w:bidi="ar-EG"/>
        </w:rPr>
        <w:t xml:space="preserve">يوزّع للخدمة الثابتة الساتلية </w:t>
      </w:r>
      <w:r w:rsidRPr="008D7E3A">
        <w:rPr>
          <w:lang w:bidi="ar-EG"/>
        </w:rPr>
        <w:t>(FSS)</w:t>
      </w:r>
      <w:r w:rsidRPr="008D7E3A">
        <w:rPr>
          <w:rFonts w:hint="cs"/>
          <w:rtl/>
        </w:rPr>
        <w:t xml:space="preserve"> نطاقا التردد</w:t>
      </w:r>
      <w:r w:rsidR="00205E46" w:rsidRPr="008D7E3A">
        <w:rPr>
          <w:rFonts w:hint="cs"/>
          <w:rtl/>
        </w:rPr>
        <w:t xml:space="preserve"> </w:t>
      </w:r>
      <w:r w:rsidR="00205E46" w:rsidRPr="008D7E3A">
        <w:t>MHz 7 750</w:t>
      </w:r>
      <w:r w:rsidR="00205E46" w:rsidRPr="008D7E3A">
        <w:noBreakHyphen/>
        <w:t>7 250</w:t>
      </w:r>
      <w:r w:rsidR="00205E46" w:rsidRPr="008D7E3A">
        <w:rPr>
          <w:rFonts w:hint="cs"/>
          <w:rtl/>
        </w:rPr>
        <w:t xml:space="preserve"> </w:t>
      </w:r>
      <w:r w:rsidRPr="008D7E3A">
        <w:rPr>
          <w:rFonts w:hint="cs"/>
          <w:rtl/>
        </w:rPr>
        <w:t xml:space="preserve">للوصلة </w:t>
      </w:r>
      <w:r w:rsidR="00205E46" w:rsidRPr="008D7E3A">
        <w:rPr>
          <w:rFonts w:hint="cs"/>
          <w:rtl/>
        </w:rPr>
        <w:t>فضاء-أرض و</w:t>
      </w:r>
      <w:r w:rsidR="00205E46" w:rsidRPr="008D7E3A">
        <w:t>MHz 8 400</w:t>
      </w:r>
      <w:r w:rsidR="00205E46" w:rsidRPr="008D7E3A">
        <w:noBreakHyphen/>
        <w:t>7 900</w:t>
      </w:r>
      <w:r w:rsidR="00205E46" w:rsidRPr="008D7E3A">
        <w:rPr>
          <w:rFonts w:hint="cs"/>
          <w:rtl/>
        </w:rPr>
        <w:t xml:space="preserve"> </w:t>
      </w:r>
      <w:r w:rsidRPr="008D7E3A">
        <w:rPr>
          <w:rFonts w:hint="cs"/>
          <w:rtl/>
        </w:rPr>
        <w:t xml:space="preserve">للوصلة </w:t>
      </w:r>
      <w:r w:rsidR="00205E46" w:rsidRPr="008D7E3A">
        <w:rPr>
          <w:rFonts w:hint="cs"/>
          <w:rtl/>
        </w:rPr>
        <w:t>أرض</w:t>
      </w:r>
      <w:r w:rsidR="00A81ECD">
        <w:rPr>
          <w:rtl/>
        </w:rPr>
        <w:noBreakHyphen/>
      </w:r>
      <w:bookmarkStart w:id="1" w:name="_GoBack"/>
      <w:bookmarkEnd w:id="1"/>
      <w:r w:rsidR="00205E46" w:rsidRPr="008D7E3A">
        <w:rPr>
          <w:rFonts w:hint="cs"/>
          <w:rtl/>
        </w:rPr>
        <w:t>فضاء</w:t>
      </w:r>
      <w:r w:rsidR="008D7E3A">
        <w:rPr>
          <w:rFonts w:hint="cs"/>
          <w:rtl/>
        </w:rPr>
        <w:t>.</w:t>
      </w:r>
      <w:r w:rsidR="006530F9">
        <w:rPr>
          <w:rFonts w:hint="cs"/>
          <w:rtl/>
        </w:rPr>
        <w:t xml:space="preserve"> </w:t>
      </w:r>
      <w:r w:rsidRPr="008D7E3A">
        <w:rPr>
          <w:rFonts w:hint="cs"/>
          <w:rtl/>
          <w:lang w:bidi="ar-EG"/>
        </w:rPr>
        <w:t xml:space="preserve">وقد ألمحت بعض الإدارات إلى ضرورة توسيع هذه التوزيعات بمقدار </w:t>
      </w:r>
      <w:r w:rsidRPr="008D7E3A">
        <w:rPr>
          <w:lang w:bidi="ar-EG"/>
        </w:rPr>
        <w:t>MHz</w:t>
      </w:r>
      <w:r w:rsidR="003435A9" w:rsidRPr="008D7E3A">
        <w:rPr>
          <w:lang w:bidi="ar-EG"/>
        </w:rPr>
        <w:t> </w:t>
      </w:r>
      <w:r w:rsidRPr="008D7E3A">
        <w:rPr>
          <w:lang w:bidi="ar-EG"/>
        </w:rPr>
        <w:t>100</w:t>
      </w:r>
      <w:r w:rsidRPr="008D7E3A">
        <w:rPr>
          <w:rFonts w:hint="cs"/>
          <w:rtl/>
          <w:lang w:bidi="ar-EG"/>
        </w:rPr>
        <w:t xml:space="preserve"> </w:t>
      </w:r>
      <w:r w:rsidR="00615F3C" w:rsidRPr="008D7E3A">
        <w:rPr>
          <w:rFonts w:hint="cs"/>
          <w:rtl/>
          <w:lang w:bidi="ar-EG"/>
        </w:rPr>
        <w:t>لتشمل</w:t>
      </w:r>
      <w:r w:rsidRPr="008D7E3A">
        <w:rPr>
          <w:rFonts w:hint="cs"/>
          <w:rtl/>
          <w:lang w:bidi="ar-EG"/>
        </w:rPr>
        <w:t xml:space="preserve"> </w:t>
      </w:r>
      <w:r w:rsidR="00615F3C" w:rsidRPr="008D7E3A">
        <w:rPr>
          <w:rFonts w:hint="cs"/>
          <w:rtl/>
          <w:lang w:bidi="ar-EG"/>
        </w:rPr>
        <w:t xml:space="preserve">نطاقي </w:t>
      </w:r>
      <w:r w:rsidRPr="008D7E3A">
        <w:rPr>
          <w:rFonts w:hint="cs"/>
          <w:rtl/>
          <w:lang w:bidi="ar-EG"/>
        </w:rPr>
        <w:t xml:space="preserve">الترددات </w:t>
      </w:r>
      <w:r w:rsidRPr="008D7E3A">
        <w:rPr>
          <w:lang w:bidi="ar-EG"/>
        </w:rPr>
        <w:t>MHz</w:t>
      </w:r>
      <w:r w:rsidR="003435A9" w:rsidRPr="008D7E3A">
        <w:rPr>
          <w:lang w:bidi="ar-EG"/>
        </w:rPr>
        <w:t> </w:t>
      </w:r>
      <w:r w:rsidRPr="008D7E3A">
        <w:rPr>
          <w:lang w:bidi="ar-EG"/>
        </w:rPr>
        <w:t>7</w:t>
      </w:r>
      <w:r w:rsidR="003435A9" w:rsidRPr="008D7E3A">
        <w:rPr>
          <w:lang w:bidi="ar-EG"/>
        </w:rPr>
        <w:t> </w:t>
      </w:r>
      <w:r w:rsidRPr="008D7E3A">
        <w:rPr>
          <w:lang w:bidi="ar-EG"/>
        </w:rPr>
        <w:t>250</w:t>
      </w:r>
      <w:r w:rsidR="003435A9" w:rsidRPr="008D7E3A">
        <w:rPr>
          <w:lang w:bidi="ar-EG"/>
        </w:rPr>
        <w:noBreakHyphen/>
      </w:r>
      <w:r w:rsidRPr="008D7E3A">
        <w:rPr>
          <w:lang w:bidi="ar-EG"/>
        </w:rPr>
        <w:t>7</w:t>
      </w:r>
      <w:r w:rsidR="003435A9" w:rsidRPr="008D7E3A">
        <w:rPr>
          <w:lang w:bidi="ar-EG"/>
        </w:rPr>
        <w:t> </w:t>
      </w:r>
      <w:r w:rsidRPr="008D7E3A">
        <w:rPr>
          <w:lang w:bidi="ar-EG"/>
        </w:rPr>
        <w:t>150</w:t>
      </w:r>
      <w:r w:rsidRPr="008D7E3A">
        <w:rPr>
          <w:rFonts w:hint="cs"/>
          <w:rtl/>
          <w:lang w:bidi="ar-EG"/>
        </w:rPr>
        <w:t xml:space="preserve"> و</w:t>
      </w:r>
      <w:r w:rsidRPr="008D7E3A">
        <w:rPr>
          <w:lang w:bidi="ar-EG"/>
        </w:rPr>
        <w:t>MHz</w:t>
      </w:r>
      <w:r w:rsidR="003435A9" w:rsidRPr="008D7E3A">
        <w:rPr>
          <w:lang w:bidi="ar-EG"/>
        </w:rPr>
        <w:t> </w:t>
      </w:r>
      <w:r w:rsidRPr="008D7E3A">
        <w:rPr>
          <w:lang w:bidi="ar-EG"/>
        </w:rPr>
        <w:t>8</w:t>
      </w:r>
      <w:r w:rsidR="003435A9" w:rsidRPr="008D7E3A">
        <w:rPr>
          <w:lang w:bidi="ar-EG"/>
        </w:rPr>
        <w:t> </w:t>
      </w:r>
      <w:r w:rsidRPr="008D7E3A">
        <w:rPr>
          <w:lang w:bidi="ar-EG"/>
        </w:rPr>
        <w:t>500</w:t>
      </w:r>
      <w:r w:rsidR="003435A9" w:rsidRPr="008D7E3A">
        <w:rPr>
          <w:lang w:bidi="ar-EG"/>
        </w:rPr>
        <w:noBreakHyphen/>
      </w:r>
      <w:r w:rsidRPr="008D7E3A">
        <w:rPr>
          <w:lang w:bidi="ar-EG"/>
        </w:rPr>
        <w:t>8</w:t>
      </w:r>
      <w:r w:rsidR="003435A9" w:rsidRPr="008D7E3A">
        <w:rPr>
          <w:lang w:bidi="ar-EG"/>
        </w:rPr>
        <w:t> </w:t>
      </w:r>
      <w:r w:rsidRPr="008D7E3A">
        <w:rPr>
          <w:lang w:bidi="ar-EG"/>
        </w:rPr>
        <w:t>400</w:t>
      </w:r>
      <w:r w:rsidR="003435A9" w:rsidRPr="008D7E3A">
        <w:rPr>
          <w:rFonts w:hint="cs"/>
          <w:rtl/>
          <w:lang w:bidi="ar-EG"/>
        </w:rPr>
        <w:t>.</w:t>
      </w:r>
    </w:p>
    <w:p w:rsidR="00205E46" w:rsidRPr="00700AA3" w:rsidRDefault="00615F3C" w:rsidP="003435A9">
      <w:pPr>
        <w:spacing w:line="180" w:lineRule="auto"/>
        <w:rPr>
          <w:rtl/>
        </w:rPr>
      </w:pPr>
      <w:r>
        <w:rPr>
          <w:rFonts w:hint="cs"/>
          <w:rtl/>
        </w:rPr>
        <w:t>يوجد في النطاقان ال</w:t>
      </w:r>
      <w:r w:rsidR="003435A9">
        <w:rPr>
          <w:rFonts w:hint="cs"/>
          <w:rtl/>
        </w:rPr>
        <w:t>معنيان توزيعات لخدمة الأبحاث الفضائية تعمل في اتجاهات إ</w:t>
      </w:r>
      <w:r>
        <w:rPr>
          <w:rFonts w:hint="cs"/>
          <w:rtl/>
        </w:rPr>
        <w:t xml:space="preserve">رسال معاكسة لتلك المقترحة للتوزيع المحتمل للخدمة الثابتة الساتلية. بالإضافة إلى ذلك، </w:t>
      </w:r>
      <w:r w:rsidR="00211DCC">
        <w:rPr>
          <w:rtl/>
        </w:rPr>
        <w:t>تحقق القياسات في</w:t>
      </w:r>
      <w:r w:rsidR="00211DCC">
        <w:rPr>
          <w:rFonts w:hint="cs"/>
          <w:rtl/>
        </w:rPr>
        <w:t> </w:t>
      </w:r>
      <w:r w:rsidR="00211DCC">
        <w:rPr>
          <w:rtl/>
        </w:rPr>
        <w:t>النطاق</w:t>
      </w:r>
      <w:r w:rsidR="00211DCC">
        <w:rPr>
          <w:rFonts w:hint="cs"/>
          <w:rtl/>
        </w:rPr>
        <w:t> </w:t>
      </w:r>
      <w:r w:rsidR="00211DCC">
        <w:t>MHz 7 250-7 075</w:t>
      </w:r>
      <w:r w:rsidR="00211DCC">
        <w:rPr>
          <w:rtl/>
        </w:rPr>
        <w:t xml:space="preserve"> بواسطة محاسيس منفعلة ذات موجات صغرية</w:t>
      </w:r>
      <w:r w:rsidR="006530F9">
        <w:rPr>
          <w:rFonts w:hint="cs"/>
          <w:rtl/>
        </w:rPr>
        <w:t xml:space="preserve"> في الرقم </w:t>
      </w:r>
      <w:r w:rsidR="006530F9">
        <w:t>458.5</w:t>
      </w:r>
      <w:r>
        <w:rPr>
          <w:rFonts w:hint="cs"/>
          <w:rtl/>
        </w:rPr>
        <w:t>، وقد أشير إلى أنه على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211DCC">
        <w:rPr>
          <w:rtl/>
        </w:rPr>
        <w:t xml:space="preserve">لإدارات، حين تخطط </w:t>
      </w:r>
      <w:r>
        <w:rPr>
          <w:rFonts w:hint="cs"/>
          <w:rtl/>
        </w:rPr>
        <w:t xml:space="preserve">لاستعمال هذا النطاق في </w:t>
      </w:r>
      <w:r w:rsidR="00211DCC">
        <w:rPr>
          <w:rtl/>
        </w:rPr>
        <w:t>المستقبل، ألا</w:t>
      </w:r>
      <w:r w:rsidR="003435A9">
        <w:rPr>
          <w:rFonts w:hint="cs"/>
          <w:rtl/>
        </w:rPr>
        <w:t>َّ</w:t>
      </w:r>
      <w:r w:rsidR="00211DCC">
        <w:rPr>
          <w:rtl/>
        </w:rPr>
        <w:t xml:space="preserve"> تهمل متطلبات خدمة استكشاف الأرض الساتلية (المنفعلة) وخدمة الأبحاث الفضائية (المنفعلة).</w:t>
      </w:r>
    </w:p>
    <w:p w:rsidR="00205E46" w:rsidRDefault="00615F3C" w:rsidP="003435A9">
      <w:pPr>
        <w:spacing w:line="180" w:lineRule="auto"/>
        <w:rPr>
          <w:lang w:bidi="ar-EG"/>
        </w:rPr>
      </w:pPr>
      <w:r>
        <w:rPr>
          <w:rFonts w:hint="cs"/>
          <w:rtl/>
        </w:rPr>
        <w:t>وي</w:t>
      </w:r>
      <w:r w:rsidR="003435A9">
        <w:rPr>
          <w:rFonts w:hint="cs"/>
          <w:rtl/>
        </w:rPr>
        <w:t>ُ</w:t>
      </w:r>
      <w:r>
        <w:rPr>
          <w:rFonts w:hint="cs"/>
          <w:rtl/>
        </w:rPr>
        <w:t xml:space="preserve">ظهر تحليل نتائج الدراسات التي شملها تقرير الاجتماع التحضيري للمؤتمر (الأسلوبين </w:t>
      </w:r>
      <w:r>
        <w:t>A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B</w:t>
      </w:r>
      <w:r>
        <w:rPr>
          <w:rFonts w:hint="cs"/>
          <w:rtl/>
          <w:lang w:bidi="ar-EG"/>
        </w:rPr>
        <w:t>) الكثير</w:t>
      </w:r>
      <w:r w:rsidR="00EB5B00">
        <w:rPr>
          <w:rFonts w:hint="cs"/>
          <w:rtl/>
          <w:lang w:bidi="ar-EG"/>
        </w:rPr>
        <w:t xml:space="preserve"> من المساوئ، بما في ذلك إمكانية التسبب بتداخل في المركبات الفضائية المستقبلية في خدمة الأبحاث الفضائية ووضع قيود على التطور المستقبلي لهذه الخدمة. علاوة</w:t>
      </w:r>
      <w:r w:rsidR="003435A9">
        <w:rPr>
          <w:rFonts w:hint="cs"/>
          <w:rtl/>
          <w:lang w:bidi="ar-EG"/>
        </w:rPr>
        <w:t>ً</w:t>
      </w:r>
      <w:r w:rsidR="00EB5B00">
        <w:rPr>
          <w:rFonts w:hint="cs"/>
          <w:rtl/>
          <w:lang w:bidi="ar-EG"/>
        </w:rPr>
        <w:t xml:space="preserve"> على ذلك، يمكن أن نضيف أن الدراسات ليست كاملة وأنه لم يكن ممكناً في الواقع أخذ الرحلات المأهولة المستقبلية لخدمة الأبحاث الفضائية في الاعتبار. وفوق ذلك، ذكر أنه </w:t>
      </w:r>
      <w:r w:rsidR="00EB5B00">
        <w:rPr>
          <w:color w:val="000000"/>
          <w:rtl/>
        </w:rPr>
        <w:t>ينبغي أن تخضع وسائل تحقق مكتب الاتصالات الراديوية من الالتزام بقناع كثافة القدرة</w:t>
      </w:r>
      <w:r w:rsidR="00EB5B00">
        <w:rPr>
          <w:color w:val="000000"/>
        </w:rPr>
        <w:t xml:space="preserve"> e.i.r.p. </w:t>
      </w:r>
      <w:r w:rsidR="003435A9">
        <w:rPr>
          <w:rFonts w:hint="cs"/>
          <w:color w:val="000000"/>
          <w:rtl/>
        </w:rPr>
        <w:t xml:space="preserve">المقترح لتوزيعات </w:t>
      </w:r>
      <w:r w:rsidR="00EB5B00">
        <w:rPr>
          <w:rFonts w:hint="cs"/>
          <w:color w:val="000000"/>
          <w:rtl/>
        </w:rPr>
        <w:t xml:space="preserve">جديدة </w:t>
      </w:r>
      <w:r w:rsidR="00EB5B00">
        <w:rPr>
          <w:color w:val="000000"/>
          <w:rtl/>
        </w:rPr>
        <w:t>لمزيد من الدراسة</w:t>
      </w:r>
      <w:r w:rsidR="00EB5B00">
        <w:rPr>
          <w:rFonts w:hint="cs"/>
          <w:color w:val="000000"/>
          <w:rtl/>
        </w:rPr>
        <w:t>.</w:t>
      </w:r>
    </w:p>
    <w:p w:rsidR="004F50B6" w:rsidRDefault="008B70AD" w:rsidP="003435A9">
      <w:pPr>
        <w:spacing w:line="180" w:lineRule="auto"/>
        <w:rPr>
          <w:rtl/>
        </w:rPr>
      </w:pPr>
      <w:r>
        <w:rPr>
          <w:rFonts w:hint="cs"/>
          <w:rtl/>
        </w:rPr>
        <w:t>و</w:t>
      </w:r>
      <w:r w:rsidR="00EB5B00">
        <w:rPr>
          <w:rFonts w:hint="cs"/>
          <w:rtl/>
        </w:rPr>
        <w:t xml:space="preserve">يستعمل هذان النطاقان بشكل </w:t>
      </w:r>
      <w:r>
        <w:rPr>
          <w:rFonts w:hint="cs"/>
          <w:rtl/>
        </w:rPr>
        <w:t>كبير</w:t>
      </w:r>
      <w:r w:rsidR="00EB5B00">
        <w:rPr>
          <w:rFonts w:hint="cs"/>
          <w:rtl/>
        </w:rPr>
        <w:t xml:space="preserve"> في شبكات الخدمة الثابتة التي </w:t>
      </w:r>
      <w:r>
        <w:rPr>
          <w:rFonts w:hint="cs"/>
          <w:rtl/>
        </w:rPr>
        <w:t>يحتمل أن</w:t>
      </w:r>
      <w:r w:rsidR="00EB5B00">
        <w:rPr>
          <w:rFonts w:hint="cs"/>
          <w:rtl/>
        </w:rPr>
        <w:t xml:space="preserve"> تتطلب مسافات تنسيق كبيرة جداً</w:t>
      </w:r>
      <w:r>
        <w:rPr>
          <w:rFonts w:hint="cs"/>
          <w:rtl/>
        </w:rPr>
        <w:t xml:space="preserve"> للتقاسم مع المحطات الأرضية للخدمة الثابتة الساتلية.</w:t>
      </w:r>
    </w:p>
    <w:p w:rsidR="004F50B6" w:rsidRDefault="008B70AD" w:rsidP="00FD6542">
      <w:pPr>
        <w:spacing w:line="180" w:lineRule="auto"/>
        <w:rPr>
          <w:rtl/>
        </w:rPr>
      </w:pPr>
      <w:r>
        <w:rPr>
          <w:rFonts w:hint="cs"/>
          <w:rtl/>
        </w:rPr>
        <w:lastRenderedPageBreak/>
        <w:t>بناء</w:t>
      </w:r>
      <w:r w:rsidR="003435A9">
        <w:rPr>
          <w:rFonts w:hint="cs"/>
          <w:rtl/>
        </w:rPr>
        <w:t>ً</w:t>
      </w:r>
      <w:r>
        <w:rPr>
          <w:rFonts w:hint="cs"/>
          <w:rtl/>
        </w:rPr>
        <w:t xml:space="preserve"> على ما تقدم، ترى إدارة كوبا أن الحالة لا تبرر منح توزيع للخدمة الثابتة الساتلية، وبالتالي فإنها تتقدم بالمقترح</w:t>
      </w:r>
      <w:r w:rsidR="00FD6542">
        <w:rPr>
          <w:rFonts w:hint="eastAsia"/>
          <w:rtl/>
        </w:rPr>
        <w:t> </w:t>
      </w:r>
      <w:r>
        <w:rPr>
          <w:rFonts w:hint="cs"/>
          <w:rtl/>
        </w:rPr>
        <w:t>التالي:</w:t>
      </w:r>
    </w:p>
    <w:p w:rsidR="009F37C9" w:rsidRDefault="00A25F8A" w:rsidP="008A6056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A25F8A" w:rsidP="009F37C9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9F37C9" w:rsidRDefault="00A25F8A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6A5C8A" w:rsidRDefault="00A25F8A">
      <w:pPr>
        <w:pStyle w:val="Proposal"/>
      </w:pPr>
      <w:r>
        <w:rPr>
          <w:u w:val="single"/>
        </w:rPr>
        <w:t>NOC</w:t>
      </w:r>
      <w:r>
        <w:tab/>
        <w:t>CUB/66A9A1/1</w:t>
      </w:r>
    </w:p>
    <w:p w:rsidR="009F37C9" w:rsidRPr="002F7F63" w:rsidRDefault="00A25F8A">
      <w:pPr>
        <w:pStyle w:val="Tabletitle"/>
        <w:rPr>
          <w:rtl/>
        </w:rPr>
        <w:pPrChange w:id="3" w:author="El Wardany, Samy" w:date="2011-08-01T14:42:00Z">
          <w:pPr/>
        </w:pPrChange>
      </w:pPr>
      <w:r w:rsidRPr="002F7F63">
        <w:t>MHz 7 250-5 570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EB34B5" w:rsidTr="00B87AF9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5" w:rsidRDefault="00A25F8A" w:rsidP="00EB34B5">
            <w:pPr>
              <w:pStyle w:val="Tablehead"/>
              <w:keepNext/>
              <w:keepLines/>
            </w:pPr>
            <w:r>
              <w:rPr>
                <w:rtl/>
              </w:rPr>
              <w:t>التوزيع على الخدمات</w:t>
            </w:r>
          </w:p>
        </w:tc>
      </w:tr>
      <w:tr w:rsidR="00EB34B5" w:rsidTr="00B87AF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4B5" w:rsidRDefault="00A25F8A" w:rsidP="00EB34B5">
            <w:pPr>
              <w:pStyle w:val="Tablehead"/>
              <w:keepNext/>
              <w:keepLines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4B5" w:rsidRDefault="00A25F8A" w:rsidP="00EB34B5">
            <w:pPr>
              <w:pStyle w:val="Tablehead"/>
              <w:keepNext/>
              <w:keepLines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4B5" w:rsidRDefault="00A25F8A" w:rsidP="00EB34B5">
            <w:pPr>
              <w:pStyle w:val="Tablehead"/>
              <w:keepNext/>
              <w:keepLines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EB34B5" w:rsidTr="00B87AF9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5" w:rsidRDefault="00A25F8A" w:rsidP="005F1F1C">
            <w:pPr>
              <w:pStyle w:val="TabletextS5"/>
            </w:pPr>
            <w:r w:rsidRPr="00FA3B95">
              <w:rPr>
                <w:rStyle w:val="Tablefreq"/>
              </w:rPr>
              <w:t>7 235-7 145</w:t>
            </w:r>
            <w:r>
              <w:tab/>
            </w: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:rsidR="00EB34B5" w:rsidRDefault="00A25F8A" w:rsidP="005F1F1C">
            <w:pPr>
              <w:pStyle w:val="TabletextS5"/>
              <w:rPr>
                <w:b/>
                <w:bCs/>
                <w:rtl/>
              </w:rPr>
            </w:pPr>
            <w:r>
              <w:tab/>
            </w:r>
            <w:r>
              <w:tab/>
            </w:r>
            <w:r>
              <w:rPr>
                <w:b/>
                <w:bCs/>
                <w:rtl/>
              </w:rPr>
              <w:t>متنقلة</w:t>
            </w:r>
          </w:p>
          <w:p w:rsidR="00EB34B5" w:rsidRDefault="00A25F8A" w:rsidP="005F1F1C">
            <w:pPr>
              <w:pStyle w:val="TabletextS5"/>
            </w:pPr>
            <w:r>
              <w:rPr>
                <w:b/>
                <w:bCs/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 xml:space="preserve">أبحاث فضائية </w:t>
            </w:r>
            <w:r>
              <w:rPr>
                <w:rtl/>
              </w:rPr>
              <w:t>(أرض-فضاء)</w:t>
            </w:r>
            <w:r w:rsidRPr="00585738">
              <w:rPr>
                <w:rStyle w:val="Artref"/>
                <w:b w:val="0"/>
                <w:bCs w:val="0"/>
              </w:rPr>
              <w:t>460.5</w:t>
            </w:r>
            <w:r w:rsidRPr="00557F3F">
              <w:rPr>
                <w:rStyle w:val="Artref"/>
              </w:rPr>
              <w:t xml:space="preserve">  </w:t>
            </w:r>
          </w:p>
          <w:p w:rsidR="00EB34B5" w:rsidRPr="00FA3B95" w:rsidRDefault="00A25F8A" w:rsidP="00ED09F0">
            <w:pPr>
              <w:pStyle w:val="TabletextS5"/>
              <w:rPr>
                <w:rStyle w:val="Tablefreq"/>
              </w:rPr>
            </w:pPr>
            <w:r>
              <w:tab/>
            </w:r>
            <w:r>
              <w:tab/>
            </w:r>
            <w:r w:rsidRPr="00ED09F0">
              <w:rPr>
                <w:rStyle w:val="Artref"/>
                <w:b w:val="0"/>
                <w:bCs w:val="0"/>
              </w:rPr>
              <w:t>458.5</w:t>
            </w:r>
            <w:r w:rsidRPr="00ED09F0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ED09F0">
              <w:rPr>
                <w:rStyle w:val="Artref"/>
                <w:b w:val="0"/>
                <w:bCs w:val="0"/>
              </w:rPr>
              <w:t>459.5</w:t>
            </w:r>
          </w:p>
        </w:tc>
      </w:tr>
      <w:tr w:rsidR="00EB34B5" w:rsidTr="00B87AF9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5" w:rsidRDefault="00A25F8A" w:rsidP="005F1F1C">
            <w:pPr>
              <w:pStyle w:val="TabletextS5"/>
            </w:pPr>
            <w:r w:rsidRPr="00FA3B95">
              <w:rPr>
                <w:rStyle w:val="Tablefreq"/>
              </w:rPr>
              <w:t>7 250-7 235</w:t>
            </w:r>
            <w:r>
              <w:tab/>
            </w: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:rsidR="00EB34B5" w:rsidRDefault="00A25F8A" w:rsidP="005F1F1C">
            <w:pPr>
              <w:pStyle w:val="TabletextS5"/>
              <w:rPr>
                <w:rtl/>
              </w:rPr>
            </w:pPr>
            <w:r>
              <w:tab/>
            </w:r>
            <w:r>
              <w:tab/>
            </w:r>
            <w:r>
              <w:rPr>
                <w:b/>
                <w:bCs/>
                <w:rtl/>
              </w:rPr>
              <w:t>متنقلة</w:t>
            </w:r>
          </w:p>
          <w:p w:rsidR="00EB34B5" w:rsidRPr="00ED09F0" w:rsidRDefault="00A25F8A" w:rsidP="00ED09F0">
            <w:pPr>
              <w:pStyle w:val="TabletextS5"/>
              <w:rPr>
                <w:rStyle w:val="Tablefreq"/>
                <w:b w:val="0"/>
                <w:bCs w:val="0"/>
              </w:rPr>
            </w:pPr>
            <w:r>
              <w:tab/>
            </w:r>
            <w:r>
              <w:tab/>
            </w:r>
            <w:r w:rsidRPr="00ED09F0">
              <w:rPr>
                <w:rStyle w:val="Artref"/>
                <w:b w:val="0"/>
                <w:bCs w:val="0"/>
              </w:rPr>
              <w:t>458.5</w:t>
            </w:r>
          </w:p>
        </w:tc>
      </w:tr>
    </w:tbl>
    <w:p w:rsidR="006A5C8A" w:rsidRDefault="006A5C8A">
      <w:pPr>
        <w:pStyle w:val="Reasons"/>
      </w:pPr>
    </w:p>
    <w:p w:rsidR="006A5C8A" w:rsidRDefault="00A25F8A">
      <w:pPr>
        <w:pStyle w:val="Proposal"/>
      </w:pPr>
      <w:r>
        <w:rPr>
          <w:u w:val="single"/>
        </w:rPr>
        <w:t>NOC</w:t>
      </w:r>
      <w:r>
        <w:tab/>
        <w:t>CUB/66A9A1/2</w:t>
      </w:r>
    </w:p>
    <w:p w:rsidR="009F37C9" w:rsidRDefault="00A25F8A">
      <w:pPr>
        <w:pStyle w:val="Tabletitle"/>
        <w:rPr>
          <w:rtl/>
        </w:rPr>
        <w:pPrChange w:id="4" w:author="El Wardany, Samy" w:date="2011-08-01T14:42:00Z">
          <w:pPr/>
        </w:pPrChange>
      </w:pPr>
      <w:r>
        <w:t>MHz 8 500-7 250</w:t>
      </w:r>
    </w:p>
    <w:tbl>
      <w:tblPr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A25F8A" w:rsidP="005F1F1C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475D0D" w:rsidTr="00475D0D">
        <w:trPr>
          <w:cantSplit/>
        </w:trPr>
        <w:tc>
          <w:tcPr>
            <w:tcW w:w="3119" w:type="dxa"/>
          </w:tcPr>
          <w:p w:rsidR="00475D0D" w:rsidRDefault="00A25F8A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</w:tcPr>
          <w:p w:rsidR="00475D0D" w:rsidRDefault="00A25F8A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</w:tcPr>
          <w:p w:rsidR="00475D0D" w:rsidRDefault="00A25F8A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A25F8A" w:rsidP="005F1F1C">
            <w:pPr>
              <w:pStyle w:val="TabletextS5"/>
            </w:pPr>
            <w:r w:rsidRPr="0048256A">
              <w:rPr>
                <w:rStyle w:val="Tablefreq"/>
              </w:rPr>
              <w:t>8 500-8 400</w:t>
            </w:r>
            <w:r>
              <w:tab/>
            </w:r>
            <w:r>
              <w:tab/>
            </w:r>
            <w:r>
              <w:rPr>
                <w:b/>
                <w:bCs/>
                <w:rtl/>
              </w:rPr>
              <w:t xml:space="preserve">ثابتة </w:t>
            </w:r>
          </w:p>
          <w:p w:rsidR="00475D0D" w:rsidRDefault="00A25F8A" w:rsidP="005F1F1C">
            <w:pPr>
              <w:pStyle w:val="TabletextS5"/>
            </w:pPr>
            <w:r>
              <w:tab/>
            </w:r>
            <w:r>
              <w:tab/>
            </w:r>
            <w:r>
              <w:rPr>
                <w:b/>
                <w:bCs/>
                <w:rtl/>
                <w:lang w:val="fr-CH"/>
              </w:rPr>
              <w:t>متنقلة</w:t>
            </w:r>
            <w:r>
              <w:rPr>
                <w:rtl/>
              </w:rPr>
              <w:t xml:space="preserve"> </w:t>
            </w:r>
            <w:r>
              <w:rPr>
                <w:rtl/>
                <w:lang w:val="fr-CH"/>
              </w:rPr>
              <w:t>باستثناء</w:t>
            </w:r>
            <w:r>
              <w:rPr>
                <w:rtl/>
              </w:rPr>
              <w:t xml:space="preserve"> </w:t>
            </w:r>
            <w:r>
              <w:rPr>
                <w:rtl/>
                <w:lang w:val="fr-CH"/>
              </w:rPr>
              <w:t>المتنقلة</w:t>
            </w:r>
            <w:r>
              <w:rPr>
                <w:rtl/>
              </w:rPr>
              <w:t xml:space="preserve"> </w:t>
            </w:r>
            <w:r>
              <w:rPr>
                <w:rtl/>
                <w:lang w:val="fr-CH"/>
              </w:rPr>
              <w:t>للطيران</w:t>
            </w:r>
          </w:p>
          <w:p w:rsidR="00475D0D" w:rsidRDefault="00A25F8A" w:rsidP="005F1F1C">
            <w:pPr>
              <w:pStyle w:val="TabletextS5"/>
              <w:rPr>
                <w:rtl/>
              </w:rPr>
            </w:pPr>
            <w:r>
              <w:tab/>
            </w:r>
            <w:r>
              <w:tab/>
            </w:r>
            <w:r>
              <w:rPr>
                <w:b/>
                <w:bCs/>
                <w:rtl/>
              </w:rPr>
              <w:t xml:space="preserve">أبحاث فضائية </w:t>
            </w:r>
            <w:r>
              <w:rPr>
                <w:rtl/>
              </w:rPr>
              <w:t xml:space="preserve"> (فضاء-أرض)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ED09F0">
              <w:rPr>
                <w:rStyle w:val="Artref"/>
                <w:b w:val="0"/>
                <w:bCs w:val="0"/>
              </w:rPr>
              <w:t>465.5</w:t>
            </w:r>
            <w:r>
              <w:rPr>
                <w:rtl/>
              </w:rPr>
              <w:t xml:space="preserve">  </w:t>
            </w:r>
            <w:r w:rsidRPr="00ED09F0">
              <w:rPr>
                <w:rStyle w:val="Artref"/>
                <w:b w:val="0"/>
                <w:bCs w:val="0"/>
              </w:rPr>
              <w:t>466.5</w:t>
            </w:r>
          </w:p>
        </w:tc>
      </w:tr>
    </w:tbl>
    <w:p w:rsidR="006A5C8A" w:rsidRDefault="00A25F8A" w:rsidP="00585738">
      <w:pPr>
        <w:pStyle w:val="Reasons"/>
      </w:pPr>
      <w:r>
        <w:rPr>
          <w:rtl/>
        </w:rPr>
        <w:t>الأسباب:</w:t>
      </w:r>
      <w:r>
        <w:tab/>
      </w:r>
      <w:r w:rsidR="0097792F">
        <w:rPr>
          <w:rFonts w:hint="cs"/>
          <w:b w:val="0"/>
          <w:bCs w:val="0"/>
          <w:rtl/>
        </w:rPr>
        <w:t>لأ</w:t>
      </w:r>
      <w:r w:rsidR="008B70AD">
        <w:rPr>
          <w:rFonts w:hint="cs"/>
          <w:b w:val="0"/>
          <w:bCs w:val="0"/>
          <w:rtl/>
        </w:rPr>
        <w:t>ن الدراسات غير مكتملة وتبين عدداً من المساوئ الهامة التي ينطوي عليها منح توزيع للخدمة الثابتة الساتلية في</w:t>
      </w:r>
      <w:r w:rsidR="0097792F">
        <w:rPr>
          <w:rFonts w:hint="eastAsia"/>
          <w:b w:val="0"/>
          <w:bCs w:val="0"/>
          <w:rtl/>
        </w:rPr>
        <w:t> </w:t>
      </w:r>
      <w:r w:rsidR="008B70AD">
        <w:rPr>
          <w:rFonts w:hint="cs"/>
          <w:b w:val="0"/>
          <w:bCs w:val="0"/>
          <w:rtl/>
        </w:rPr>
        <w:t>نطاقات التردد قيد البحث.</w:t>
      </w:r>
    </w:p>
    <w:p w:rsidR="006A5C8A" w:rsidRDefault="00A25F8A">
      <w:pPr>
        <w:pStyle w:val="Proposal"/>
      </w:pPr>
      <w:r>
        <w:t>SUP</w:t>
      </w:r>
      <w:r>
        <w:tab/>
        <w:t>CUB/66A9A1/3</w:t>
      </w:r>
    </w:p>
    <w:p w:rsidR="00D053B6" w:rsidRPr="00F555FE" w:rsidRDefault="00A25F8A" w:rsidP="00D053B6">
      <w:pPr>
        <w:pStyle w:val="ResNo"/>
        <w:tabs>
          <w:tab w:val="left" w:pos="782"/>
          <w:tab w:val="center" w:pos="4819"/>
        </w:tabs>
        <w:spacing w:line="185" w:lineRule="auto"/>
        <w:rPr>
          <w:rtl/>
        </w:rPr>
      </w:pPr>
      <w:bookmarkStart w:id="5" w:name="_Toc327956783"/>
      <w:r w:rsidRPr="00F555FE">
        <w:rPr>
          <w:rFonts w:hint="cs"/>
          <w:rtl/>
        </w:rPr>
        <w:t xml:space="preserve">القـرار </w:t>
      </w:r>
      <w:r w:rsidRPr="00A21FE4">
        <w:rPr>
          <w:rStyle w:val="href"/>
        </w:rPr>
        <w:t>758</w:t>
      </w:r>
      <w:r w:rsidRPr="00F555FE">
        <w:t xml:space="preserve"> (WRC</w:t>
      </w:r>
      <w:r w:rsidRPr="00F555FE">
        <w:noBreakHyphen/>
        <w:t>12)</w:t>
      </w:r>
      <w:bookmarkEnd w:id="5"/>
    </w:p>
    <w:p w:rsidR="00D053B6" w:rsidRDefault="00A25F8A" w:rsidP="00332847">
      <w:pPr>
        <w:pStyle w:val="Restitle"/>
        <w:spacing w:line="185" w:lineRule="auto"/>
        <w:rPr>
          <w:rtl/>
        </w:rPr>
      </w:pPr>
      <w:bookmarkStart w:id="6" w:name="_Toc327956784"/>
      <w:r>
        <w:rPr>
          <w:rFonts w:hint="cs"/>
          <w:rtl/>
        </w:rPr>
        <w:t xml:space="preserve">التوزيعات للخدمة الثابتة الساتلية والخدمة المتنقلة البحرية الساتلية </w:t>
      </w:r>
      <w:r w:rsidR="0097792F">
        <w:rPr>
          <w:rtl/>
        </w:rPr>
        <w:br/>
      </w:r>
      <w:r>
        <w:rPr>
          <w:rFonts w:hint="cs"/>
          <w:rtl/>
        </w:rPr>
        <w:t xml:space="preserve">في المدى </w:t>
      </w:r>
      <w:r>
        <w:t>GHz 8/7</w:t>
      </w:r>
      <w:bookmarkEnd w:id="6"/>
    </w:p>
    <w:p w:rsidR="006A5C8A" w:rsidRDefault="00A25F8A" w:rsidP="008B70AD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8B70AD" w:rsidRPr="008B70AD">
        <w:rPr>
          <w:rFonts w:hint="cs"/>
          <w:b w:val="0"/>
          <w:bCs w:val="0"/>
          <w:rtl/>
        </w:rPr>
        <w:t>لم تعد هناك حاجة لهذا القرار.</w:t>
      </w:r>
    </w:p>
    <w:p w:rsidR="00A25F8A" w:rsidRPr="00A25F8A" w:rsidRDefault="00A25F8A" w:rsidP="00585738">
      <w:pPr>
        <w:spacing w:before="24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A25F8A" w:rsidRPr="00A25F8A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FC2B32" w:rsidRDefault="00281F5F" w:rsidP="00FC2B32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FC2B32">
      <w:instrText xml:space="preserve"> FILENAME \p \* MERGEFORMAT </w:instrText>
    </w:r>
    <w:r w:rsidRPr="00CB4300">
      <w:fldChar w:fldCharType="separate"/>
    </w:r>
    <w:r w:rsidR="00FC2B32" w:rsidRPr="00FC2B32">
      <w:rPr>
        <w:noProof/>
      </w:rPr>
      <w:t>P:\TRAD\A\ITU-R\CONF-R\CMR15\000\066ADD09ADD01A.docx</w:t>
    </w:r>
    <w:r w:rsidRPr="00CB4300">
      <w:fldChar w:fldCharType="end"/>
    </w:r>
    <w:r w:rsidRPr="00FC2B32">
      <w:t xml:space="preserve">  (</w:t>
    </w:r>
    <w:r w:rsidR="00FC2B32" w:rsidRPr="00FC2B32">
      <w:t>388388</w:t>
    </w:r>
    <w:r w:rsidRPr="00FC2B32">
      <w:t>)</w:t>
    </w:r>
    <w:r w:rsidRPr="00FC2B32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A81ECD">
      <w:rPr>
        <w:noProof/>
      </w:rPr>
      <w:t>01.11.15</w:t>
    </w:r>
    <w:r w:rsidRPr="00CB4300">
      <w:fldChar w:fldCharType="end"/>
    </w:r>
    <w:r w:rsidRPr="00FC2B32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FC2B32" w:rsidRDefault="00281F5F" w:rsidP="00FC2B32">
    <w:pPr>
      <w:pStyle w:val="Footer"/>
    </w:pPr>
    <w:r>
      <w:fldChar w:fldCharType="begin"/>
    </w:r>
    <w:r w:rsidRPr="00FC2B32">
      <w:instrText xml:space="preserve"> FILENAME \p \* MERGEFORMAT </w:instrText>
    </w:r>
    <w:r>
      <w:fldChar w:fldCharType="separate"/>
    </w:r>
    <w:r w:rsidR="00FC2B32" w:rsidRPr="00FC2B32">
      <w:rPr>
        <w:noProof/>
      </w:rPr>
      <w:t>P:\TRAD\A\ITU-R\CONF-R\CMR15\000\066ADD09ADD01A.docx</w:t>
    </w:r>
    <w:r>
      <w:fldChar w:fldCharType="end"/>
    </w:r>
    <w:r w:rsidRPr="00FC2B32">
      <w:t xml:space="preserve">   (</w:t>
    </w:r>
    <w:r w:rsidR="00FC2B32">
      <w:t>388388</w:t>
    </w:r>
    <w:r w:rsidRPr="00FC2B32">
      <w:t>)</w:t>
    </w:r>
    <w:r w:rsidRPr="00FC2B32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81ECD">
      <w:rPr>
        <w:noProof/>
      </w:rPr>
      <w:t>01.11.15</w:t>
    </w:r>
    <w:r w:rsidRPr="00B12661">
      <w:fldChar w:fldCharType="end"/>
    </w:r>
    <w:r w:rsidRPr="00FC2B32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A81ECD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66(Add.9)(Add.1)-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0F665D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5E46"/>
    <w:rsid w:val="002075D4"/>
    <w:rsid w:val="00211B2A"/>
    <w:rsid w:val="00211DCC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1CD0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1754F"/>
    <w:rsid w:val="0033737F"/>
    <w:rsid w:val="003435A9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4F50B6"/>
    <w:rsid w:val="00505FCA"/>
    <w:rsid w:val="00510C2D"/>
    <w:rsid w:val="005169F4"/>
    <w:rsid w:val="005210D1"/>
    <w:rsid w:val="00523146"/>
    <w:rsid w:val="00523275"/>
    <w:rsid w:val="00531DC7"/>
    <w:rsid w:val="005350B0"/>
    <w:rsid w:val="00544756"/>
    <w:rsid w:val="00546A99"/>
    <w:rsid w:val="00553411"/>
    <w:rsid w:val="00554AE7"/>
    <w:rsid w:val="00564746"/>
    <w:rsid w:val="0056512C"/>
    <w:rsid w:val="00576D0A"/>
    <w:rsid w:val="00576FCC"/>
    <w:rsid w:val="00584333"/>
    <w:rsid w:val="00585738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15F3C"/>
    <w:rsid w:val="006315B5"/>
    <w:rsid w:val="0063263A"/>
    <w:rsid w:val="00651343"/>
    <w:rsid w:val="006530F9"/>
    <w:rsid w:val="0065562F"/>
    <w:rsid w:val="00680A66"/>
    <w:rsid w:val="00681391"/>
    <w:rsid w:val="006A12AC"/>
    <w:rsid w:val="006A2162"/>
    <w:rsid w:val="006A5C8A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9F6"/>
    <w:rsid w:val="00770AA0"/>
    <w:rsid w:val="00771F7E"/>
    <w:rsid w:val="00773E9C"/>
    <w:rsid w:val="00776F6B"/>
    <w:rsid w:val="00777694"/>
    <w:rsid w:val="00786A7E"/>
    <w:rsid w:val="007A0802"/>
    <w:rsid w:val="007B0341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B70AD"/>
    <w:rsid w:val="008D4F14"/>
    <w:rsid w:val="008D6ACC"/>
    <w:rsid w:val="008D7AF0"/>
    <w:rsid w:val="008D7E3A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7792F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5F8A"/>
    <w:rsid w:val="00A26758"/>
    <w:rsid w:val="00A26D0E"/>
    <w:rsid w:val="00A278E9"/>
    <w:rsid w:val="00A3451F"/>
    <w:rsid w:val="00A36268"/>
    <w:rsid w:val="00A40B2C"/>
    <w:rsid w:val="00A66D2B"/>
    <w:rsid w:val="00A81ECD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3C10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B5B00"/>
    <w:rsid w:val="00EC09B9"/>
    <w:rsid w:val="00ED048C"/>
    <w:rsid w:val="00ED09F0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B32"/>
    <w:rsid w:val="00FC2CD0"/>
    <w:rsid w:val="00FD0594"/>
    <w:rsid w:val="00FD6542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FF61E00B-35F0-48D6-87FA-56052517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R15-WRC15-C-0066!A9-A1!MSW-A</DPM_x0020_File_x0020_name>
    <DPM_x0020_Author xmlns="32a1a8c5-2265-4ebc-b7a0-2071e2c5c9bb" xsi:nil="false">Documents Proposals Manager (DPM)</DPM_x0020_Author>
    <DPM_x0020_Version xmlns="32a1a8c5-2265-4ebc-b7a0-2071e2c5c9bb" xsi:nil="false">DPM_v5.2015.10.270_prod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19B2B87-B689-4E61-9215-A5326AE78A01}">
  <ds:schemaRefs>
    <ds:schemaRef ds:uri="996b2e75-67fd-4955-a3b0-5ab9934cb50b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32a1a8c5-2265-4ebc-b7a0-2071e2c5c9bb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DFAE1F-A399-4B28-B888-D57CB87A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425</Words>
  <Characters>2301</Characters>
  <Application>Microsoft Office Word</Application>
  <DocSecurity>0</DocSecurity>
  <Lines>51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R15-WRC15-C-0066!A9-A1!MSW-A</vt:lpstr>
    </vt:vector>
  </TitlesOfParts>
  <Manager>General Secretariat - Pool</Manager>
  <Company>International Telecommunication Union (ITU)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R15-WRC15-C-0066!A9-A1!MSW-A</dc:title>
  <dc:creator>Documents Proposals Manager (DPM)</dc:creator>
  <cp:keywords>DPM_v5.2015.10.270_prod</cp:keywords>
  <cp:lastModifiedBy>Awad, Samy</cp:lastModifiedBy>
  <cp:revision>8</cp:revision>
  <cp:lastPrinted>2011-11-07T13:53:00Z</cp:lastPrinted>
  <dcterms:created xsi:type="dcterms:W3CDTF">2015-11-01T15:46:00Z</dcterms:created>
  <dcterms:modified xsi:type="dcterms:W3CDTF">2015-11-01T18:52:00Z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