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5145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36"/>
                <w:szCs w:val="36"/>
                <w:highlight w:val="yellow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  <w:r w:rsidR="00FA2B8C">
              <w:rPr>
                <w:rFonts w:ascii="Verdana" w:hAnsi="Verdana"/>
                <w:b/>
                <w:sz w:val="20"/>
              </w:rPr>
              <w:br/>
            </w:r>
            <w:r w:rsidR="00FA2B8C"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5145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highlight w:val="yellow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Cuba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1.8</w:t>
            </w:r>
          </w:p>
        </w:tc>
      </w:tr>
    </w:tbl>
    <w:bookmarkEnd w:id="6"/>
    <w:bookmarkEnd w:id="7"/>
    <w:p w:rsidR="000D385F" w:rsidRPr="009A2B70" w:rsidRDefault="00EF70D8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241FA2" w:rsidRPr="00847CB5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847CB5" w:rsidRPr="007D0A04" w:rsidRDefault="00847CB5" w:rsidP="00847CB5">
      <w:pPr>
        <w:pStyle w:val="Headingb"/>
        <w:rPr>
          <w:lang w:val="en-US"/>
        </w:rPr>
      </w:pPr>
      <w:r w:rsidRPr="007D0A04">
        <w:rPr>
          <w:lang w:val="en-US"/>
        </w:rPr>
        <w:t xml:space="preserve">Introduction </w:t>
      </w:r>
    </w:p>
    <w:p w:rsidR="00627262" w:rsidRPr="008360BB" w:rsidRDefault="007D0A04" w:rsidP="00123A1C">
      <w:pPr>
        <w:rPr>
          <w:lang w:val="en-US"/>
        </w:rPr>
      </w:pPr>
      <w:r>
        <w:rPr>
          <w:lang w:val="en-US"/>
        </w:rPr>
        <w:t xml:space="preserve">WRC-03 adopted provisions allowing the use of earth stations on board vessels (ESVs) operating in </w:t>
      </w:r>
      <w:r w:rsidR="00847CB5">
        <w:t>frequency band</w:t>
      </w:r>
      <w:r>
        <w:t>s</w:t>
      </w:r>
      <w:r w:rsidR="00847CB5">
        <w:t xml:space="preserve"> 5 925-6 425 MHz and 14-14.5 GHz</w:t>
      </w:r>
      <w:r>
        <w:t xml:space="preserve"> with the aim of </w:t>
      </w:r>
      <w:r w:rsidR="00627262">
        <w:t>ensuring adequate</w:t>
      </w:r>
      <w:r>
        <w:t xml:space="preserve"> protection for terrestrial service stations </w:t>
      </w:r>
      <w:r w:rsidR="00627262">
        <w:t>operating</w:t>
      </w:r>
      <w:r>
        <w:t xml:space="preserve"> in </w:t>
      </w:r>
      <w:r w:rsidR="00627262">
        <w:t>those</w:t>
      </w:r>
      <w:r>
        <w:t xml:space="preserve"> </w:t>
      </w:r>
      <w:r w:rsidR="00627262">
        <w:t>frequency</w:t>
      </w:r>
      <w:r>
        <w:t xml:space="preserve"> </w:t>
      </w:r>
      <w:r w:rsidR="00627262">
        <w:t>bands</w:t>
      </w:r>
      <w:r w:rsidR="008360BB">
        <w:t>. Resolution</w:t>
      </w:r>
      <w:r w:rsidR="00123A1C">
        <w:t> </w:t>
      </w:r>
      <w:r w:rsidR="008360BB">
        <w:t>902 (WRC</w:t>
      </w:r>
      <w:r w:rsidR="008360BB">
        <w:noBreakHyphen/>
      </w:r>
      <w:r>
        <w:t xml:space="preserve">03) established </w:t>
      </w:r>
      <w:r w:rsidR="008360BB">
        <w:t xml:space="preserve">minimum </w:t>
      </w:r>
      <w:r w:rsidR="00627262">
        <w:t>distances from the low-water mark</w:t>
      </w:r>
      <w:r w:rsidR="00B822C6">
        <w:t>,</w:t>
      </w:r>
      <w:r w:rsidR="00627262">
        <w:t xml:space="preserve"> as well as technical limits applicable to ESVs transmitting in the bands in question.</w:t>
      </w:r>
    </w:p>
    <w:p w:rsidR="00627262" w:rsidRDefault="00627262" w:rsidP="0051454A">
      <w:r>
        <w:t xml:space="preserve">Analyses undertaken in relation to this issue have taken into account </w:t>
      </w:r>
      <w:r w:rsidR="008360BB">
        <w:t>the evolution of tec</w:t>
      </w:r>
      <w:r>
        <w:t>hnology and the growth in traffic involving vessels using this ser</w:t>
      </w:r>
      <w:r w:rsidR="0051454A">
        <w:t>vice</w:t>
      </w:r>
      <w:r>
        <w:t xml:space="preserve">, and have come to different </w:t>
      </w:r>
      <w:r w:rsidR="0051454A">
        <w:t>conclusions</w:t>
      </w:r>
      <w:r>
        <w:t xml:space="preserve"> as </w:t>
      </w:r>
      <w:r w:rsidR="0051454A">
        <w:t>regards</w:t>
      </w:r>
      <w:r>
        <w:t xml:space="preserve"> </w:t>
      </w:r>
      <w:r w:rsidR="0051454A">
        <w:t>the</w:t>
      </w:r>
      <w:r>
        <w:t xml:space="preserve"> need to reduce or increase the distances </w:t>
      </w:r>
      <w:r w:rsidR="0051454A">
        <w:t>referred</w:t>
      </w:r>
      <w:r>
        <w:t xml:space="preserve"> to in </w:t>
      </w:r>
      <w:r w:rsidR="0051454A">
        <w:t>Resolution</w:t>
      </w:r>
      <w:r>
        <w:t xml:space="preserve"> 902.</w:t>
      </w:r>
    </w:p>
    <w:p w:rsidR="00627262" w:rsidRDefault="00627262" w:rsidP="00B822C6">
      <w:r>
        <w:t>In the light of th</w:t>
      </w:r>
      <w:r w:rsidR="008360BB">
        <w:t>is situation</w:t>
      </w:r>
      <w:r w:rsidR="00B822C6">
        <w:t>,</w:t>
      </w:r>
      <w:r>
        <w:t xml:space="preserve"> and </w:t>
      </w:r>
      <w:r w:rsidR="0051454A">
        <w:t>the</w:t>
      </w:r>
      <w:r>
        <w:t xml:space="preserve"> fact that many </w:t>
      </w:r>
      <w:r w:rsidR="0051454A">
        <w:t>aspects</w:t>
      </w:r>
      <w:r>
        <w:t xml:space="preserve"> still </w:t>
      </w:r>
      <w:r w:rsidR="0051454A">
        <w:t>require</w:t>
      </w:r>
      <w:r>
        <w:t xml:space="preserve"> </w:t>
      </w:r>
      <w:r w:rsidR="0051454A">
        <w:t>consideration</w:t>
      </w:r>
      <w:r>
        <w:t xml:space="preserve"> and more detailed </w:t>
      </w:r>
      <w:r w:rsidR="0051454A">
        <w:t>study</w:t>
      </w:r>
      <w:r>
        <w:t xml:space="preserve">, including elements </w:t>
      </w:r>
      <w:r w:rsidR="00B822C6">
        <w:t>pertaining to</w:t>
      </w:r>
      <w:r>
        <w:t xml:space="preserve"> procedure</w:t>
      </w:r>
      <w:r w:rsidR="00B822C6">
        <w:t>s</w:t>
      </w:r>
      <w:r>
        <w:t xml:space="preserve"> and </w:t>
      </w:r>
      <w:r w:rsidR="00B822C6">
        <w:t>regulatory issues</w:t>
      </w:r>
      <w:r w:rsidR="0051454A">
        <w:t>, the Cuban Administration considers that it is not appropriate to modify the current conditions under Resolution 902 (WRC-03) and accordingly proposes the following:</w:t>
      </w:r>
    </w:p>
    <w:p w:rsidR="00187BD9" w:rsidRPr="00847CB5" w:rsidRDefault="00187BD9" w:rsidP="00847CB5">
      <w:pPr>
        <w:rPr>
          <w:lang w:val="en-US"/>
        </w:rPr>
      </w:pPr>
      <w:r w:rsidRPr="00847CB5">
        <w:rPr>
          <w:lang w:val="en-US"/>
        </w:rPr>
        <w:br w:type="page"/>
      </w:r>
    </w:p>
    <w:p w:rsidR="00291110" w:rsidRDefault="00EF70D8">
      <w:pPr>
        <w:pStyle w:val="Proposal"/>
      </w:pPr>
      <w:r>
        <w:rPr>
          <w:u w:val="single"/>
        </w:rPr>
        <w:lastRenderedPageBreak/>
        <w:t>NOC</w:t>
      </w:r>
      <w:r>
        <w:tab/>
        <w:t>CUB/66A8/1</w:t>
      </w:r>
    </w:p>
    <w:p w:rsidR="00EE32F5" w:rsidRPr="006905BC" w:rsidRDefault="00EF70D8" w:rsidP="00EE32F5">
      <w:pPr>
        <w:pStyle w:val="ResNo"/>
      </w:pPr>
      <w:r w:rsidRPr="006905BC">
        <w:t xml:space="preserve">RESOLUTION </w:t>
      </w:r>
      <w:r w:rsidRPr="006905BC">
        <w:rPr>
          <w:rStyle w:val="href"/>
        </w:rPr>
        <w:t>902</w:t>
      </w:r>
      <w:r w:rsidRPr="006905BC">
        <w:t xml:space="preserve"> (WRC-03)</w:t>
      </w:r>
    </w:p>
    <w:p w:rsidR="00EE32F5" w:rsidRPr="006905BC" w:rsidRDefault="00EF70D8" w:rsidP="00651EBE">
      <w:pPr>
        <w:pStyle w:val="Restitle"/>
      </w:pPr>
      <w:bookmarkStart w:id="8" w:name="_Toc327364595"/>
      <w:r w:rsidRPr="006905BC">
        <w:t>Provisions relating to earth stations located on board vessels which operate in fixed-satellite service networks in the uplink bands 5 925-6 425 MHz and 14-14.5 GHz</w:t>
      </w:r>
      <w:bookmarkEnd w:id="8"/>
    </w:p>
    <w:p w:rsidR="00291110" w:rsidRDefault="00EF70D8" w:rsidP="0051454A">
      <w:pPr>
        <w:pStyle w:val="Reasons"/>
      </w:pPr>
      <w:r>
        <w:rPr>
          <w:b/>
        </w:rPr>
        <w:t>Reasons:</w:t>
      </w:r>
      <w:r>
        <w:tab/>
      </w:r>
      <w:r w:rsidR="0051454A">
        <w:t xml:space="preserve">To maintain the current provisions of </w:t>
      </w:r>
      <w:r w:rsidR="00847CB5">
        <w:t>Resolution 902 (WRC</w:t>
      </w:r>
      <w:r w:rsidR="00847CB5">
        <w:noBreakHyphen/>
        <w:t>03)</w:t>
      </w:r>
      <w:r w:rsidR="0051454A">
        <w:t xml:space="preserve"> in force</w:t>
      </w:r>
      <w:r w:rsidR="00847CB5">
        <w:t>.</w:t>
      </w:r>
    </w:p>
    <w:p w:rsidR="00291110" w:rsidRDefault="00EF70D8">
      <w:pPr>
        <w:pStyle w:val="Proposal"/>
      </w:pPr>
      <w:r>
        <w:t>SUP</w:t>
      </w:r>
      <w:r>
        <w:tab/>
        <w:t>CUB/66A8/2</w:t>
      </w:r>
    </w:p>
    <w:p w:rsidR="00C022A7" w:rsidRPr="006905BC" w:rsidRDefault="00EF70D8" w:rsidP="00C022A7">
      <w:pPr>
        <w:pStyle w:val="ResNo"/>
      </w:pPr>
      <w:bookmarkStart w:id="9" w:name="_Toc327364606"/>
      <w:r w:rsidRPr="006905BC">
        <w:t xml:space="preserve">RESOLUTION </w:t>
      </w:r>
      <w:r w:rsidRPr="006905BC">
        <w:rPr>
          <w:rStyle w:val="href"/>
        </w:rPr>
        <w:t>909</w:t>
      </w:r>
      <w:r w:rsidRPr="006905BC">
        <w:t xml:space="preserve"> (WRC</w:t>
      </w:r>
      <w:r w:rsidRPr="006905BC">
        <w:noBreakHyphen/>
        <w:t>12)</w:t>
      </w:r>
      <w:bookmarkEnd w:id="9"/>
    </w:p>
    <w:p w:rsidR="00C022A7" w:rsidRPr="006905BC" w:rsidRDefault="00EF70D8" w:rsidP="00651EBE">
      <w:pPr>
        <w:pStyle w:val="Restitle"/>
      </w:pPr>
      <w:bookmarkStart w:id="10" w:name="_Toc327364607"/>
      <w:r w:rsidRPr="006905BC">
        <w:t xml:space="preserve">Provisions relating to earth stations located on board vessels </w:t>
      </w:r>
      <w:r w:rsidRPr="006905BC">
        <w:br/>
        <w:t xml:space="preserve">which operate in fixed-satellite service networks in the </w:t>
      </w:r>
      <w:r w:rsidRPr="006905BC">
        <w:br/>
        <w:t>uplink bands 5 925-6 425 MHz and 14-14.5 GHz</w:t>
      </w:r>
      <w:bookmarkEnd w:id="10"/>
    </w:p>
    <w:p w:rsidR="00291110" w:rsidRDefault="00EF70D8">
      <w:pPr>
        <w:pStyle w:val="Reasons"/>
      </w:pPr>
      <w:r>
        <w:rPr>
          <w:b/>
        </w:rPr>
        <w:t>Reasons:</w:t>
      </w:r>
      <w:r>
        <w:tab/>
      </w:r>
      <w:r w:rsidR="00847CB5">
        <w:t>No longer necessary.</w:t>
      </w:r>
    </w:p>
    <w:p w:rsidR="00847CB5" w:rsidRDefault="00847CB5" w:rsidP="00123A1C"/>
    <w:p w:rsidR="00847CB5" w:rsidRDefault="00847CB5" w:rsidP="00123A1C"/>
    <w:p w:rsidR="00123A1C" w:rsidRDefault="00123A1C" w:rsidP="0032202E">
      <w:pPr>
        <w:pStyle w:val="Reasons"/>
      </w:pPr>
      <w:bookmarkStart w:id="11" w:name="_GoBack"/>
      <w:bookmarkEnd w:id="11"/>
    </w:p>
    <w:p w:rsidR="00123A1C" w:rsidRDefault="00123A1C">
      <w:pPr>
        <w:jc w:val="center"/>
      </w:pPr>
      <w:r>
        <w:t>______________</w:t>
      </w:r>
    </w:p>
    <w:p w:rsidR="00847CB5" w:rsidRDefault="00847CB5" w:rsidP="00123A1C"/>
    <w:sectPr w:rsidR="00847CB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731A6" w:rsidRDefault="00E45D05">
    <w:pPr>
      <w:ind w:right="360"/>
      <w:rPr>
        <w:lang w:val="es-ES"/>
      </w:rPr>
    </w:pPr>
    <w:r>
      <w:fldChar w:fldCharType="begin"/>
    </w:r>
    <w:r w:rsidRPr="004731A6">
      <w:rPr>
        <w:lang w:val="es-ES"/>
      </w:rPr>
      <w:instrText xml:space="preserve"> FILENAME \p  \* MERGEFORMAT </w:instrText>
    </w:r>
    <w:r>
      <w:fldChar w:fldCharType="separate"/>
    </w:r>
    <w:r w:rsidR="004731A6">
      <w:rPr>
        <w:noProof/>
        <w:lang w:val="es-ES"/>
      </w:rPr>
      <w:t>P:\TRAD\E\ITU-R\CONF-R\CMR15\000\066ADD08E.docx</w:t>
    </w:r>
    <w:r>
      <w:fldChar w:fldCharType="end"/>
    </w:r>
    <w:r w:rsidRPr="004731A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B8C">
      <w:rPr>
        <w:noProof/>
      </w:rPr>
      <w:t>19.10.15</w:t>
    </w:r>
    <w:r>
      <w:fldChar w:fldCharType="end"/>
    </w:r>
    <w:r w:rsidRPr="004731A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31A6">
      <w:rPr>
        <w:noProof/>
      </w:rPr>
      <w:t>17.10.15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5B2" w:rsidRDefault="00FA55B2" w:rsidP="00FA55B2">
    <w:pPr>
      <w:pStyle w:val="Footer"/>
    </w:pPr>
    <w:fldSimple w:instr=" FILENAME \p  \* MERGEFORMAT ">
      <w:r>
        <w:t>P:\ENG\ITU-R\CONF-R\CMR15\000\066ADD08E.docx</w:t>
      </w:r>
    </w:fldSimple>
    <w:r>
      <w:t xml:space="preserve"> (388387)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A2B8C"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5B2" w:rsidRDefault="00FA2B8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55B2">
      <w:t>P:\ENG\ITU-R\CONF-R\CMR15\000\066ADD08E.docx</w:t>
    </w:r>
    <w:r>
      <w:fldChar w:fldCharType="end"/>
    </w:r>
    <w:r w:rsidR="00FA55B2">
      <w:t xml:space="preserve"> (388387)</w:t>
    </w:r>
    <w:r w:rsidR="00FA55B2">
      <w:tab/>
    </w:r>
    <w:r w:rsidR="00FA55B2">
      <w:fldChar w:fldCharType="begin"/>
    </w:r>
    <w:r w:rsidR="00FA55B2">
      <w:instrText xml:space="preserve"> SAVEDATE \@ DD.MM.YY </w:instrText>
    </w:r>
    <w:r w:rsidR="00FA55B2">
      <w:fldChar w:fldCharType="separate"/>
    </w:r>
    <w:r>
      <w:t>19.10.15</w:t>
    </w:r>
    <w:r w:rsidR="00FA55B2">
      <w:fldChar w:fldCharType="end"/>
    </w:r>
    <w:r w:rsidR="00FA55B2">
      <w:tab/>
    </w:r>
    <w:r w:rsidR="00FA55B2">
      <w:fldChar w:fldCharType="begin"/>
    </w:r>
    <w:r w:rsidR="00FA55B2">
      <w:instrText xml:space="preserve"> PRINTDATE \@ DD.MM.YY </w:instrText>
    </w:r>
    <w:r w:rsidR="00FA55B2">
      <w:fldChar w:fldCharType="separate"/>
    </w:r>
    <w:r w:rsidR="00FA55B2">
      <w:t>17.10.15</w:t>
    </w:r>
    <w:r w:rsidR="00FA55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A2B8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66(Add.8)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A1C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1944"/>
    <w:rsid w:val="00241FA2"/>
    <w:rsid w:val="00271316"/>
    <w:rsid w:val="00291110"/>
    <w:rsid w:val="002B349C"/>
    <w:rsid w:val="002D3BA1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31A6"/>
    <w:rsid w:val="00492075"/>
    <w:rsid w:val="004969AD"/>
    <w:rsid w:val="004A26C4"/>
    <w:rsid w:val="004B13CB"/>
    <w:rsid w:val="004D26EA"/>
    <w:rsid w:val="004D2BFB"/>
    <w:rsid w:val="004D5D5C"/>
    <w:rsid w:val="0050139F"/>
    <w:rsid w:val="0051454A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7262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0A04"/>
    <w:rsid w:val="007D5320"/>
    <w:rsid w:val="00800972"/>
    <w:rsid w:val="00804475"/>
    <w:rsid w:val="00811633"/>
    <w:rsid w:val="008360BB"/>
    <w:rsid w:val="00841216"/>
    <w:rsid w:val="00847CB5"/>
    <w:rsid w:val="0085593B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822C6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0B66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0D8"/>
    <w:rsid w:val="00F02766"/>
    <w:rsid w:val="00F05BD4"/>
    <w:rsid w:val="00F6155B"/>
    <w:rsid w:val="00F65C19"/>
    <w:rsid w:val="00FA2B8C"/>
    <w:rsid w:val="00FA55B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72A7CDC-16F7-425E-BF52-AC51DBF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R15-WRC15-C-0066!A8!MSW-E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A83282-36E1-4EA3-8B65-E862D4B5C46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94C91E-9541-4331-B3E6-9DFD80E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19</TotalTime>
  <Pages>2</Pages>
  <Words>299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R15-WRC15-C-0066!A8!MSW-E</vt:lpstr>
    </vt:vector>
  </TitlesOfParts>
  <Manager>General Secretariat - Pool</Manager>
  <Company>International Telecommunication Union (ITU)</Company>
  <LinksUpToDate>false</LinksUpToDate>
  <CharactersWithSpaces>2045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Neal, Sharon</cp:lastModifiedBy>
  <cp:revision>5</cp:revision>
  <cp:lastPrinted>2015-10-17T14:01:00Z</cp:lastPrinted>
  <dcterms:created xsi:type="dcterms:W3CDTF">2015-10-19T10:10:00Z</dcterms:created>
  <dcterms:modified xsi:type="dcterms:W3CDTF">2015-10-19T12:36:00Z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